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 diagnóstico al Project Model Canvas</w:t>
      </w:r>
    </w:p>
    <w:p>
      <w:r>
        <w:rPr>
          <w:b/>
          <w:color w:val="287D83"/>
          <w:sz w:val="25"/>
        </w:rPr>
        <w:t>Construcción de dos asistentes especializados y un flujo de trabajo híbrido</w:t>
      </w:r>
    </w:p>
    <w:p>
      <w:r>
        <w:t>FICHA PEDAGÓGICA HD-04  |  Taller autónomo San Gabriel  |  1 al 13 de octubre de 2026</w:t>
      </w:r>
    </w:p>
    <w:tbl>
      <w:tblPr>
        <w:tblW w:type="auto" w:w="0"/>
        <w:tblLook w:firstColumn="1" w:firstRow="1" w:lastColumn="0" w:lastRow="0" w:noHBand="0" w:noVBand="1" w:val="04A0"/>
      </w:tblPr>
      <w:tblGrid>
        <w:gridCol w:w="9746"/>
      </w:tblGrid>
      <w:tr>
        <w:tc>
          <w:tcPr>
            <w:tcW w:type="dxa" w:w="9746"/>
            <w:shd w:fill="EAF3F3"/>
          </w:tcPr>
          <w:p>
            <w:pPr>
              <w:spacing w:after="40"/>
            </w:pPr>
            <w:r/>
            <w:r>
              <w:rPr>
                <w:b/>
                <w:color w:val="173D51"/>
              </w:rPr>
              <w:t>Para comenzar</w:t>
              <w:br/>
            </w:r>
            <w:r>
              <w:t>Esta ficha acompaña SG-05 y SG-06. Partan del informe descriptivo de la Parte A, de las dos fuentes y el conjunto de datos complementario revisados previamente, y de los documentos de la convocatoria. Para continuar, supongan que la Alcaldía aprobó la primera entrega. La retroalimentación del trabajo acumulado tendrá lugar en la sesión del 15 de octubre; no es necesario esperar esa revisión para completar la Parte B.</w:t>
            </w:r>
          </w:p>
        </w:tc>
      </w:tr>
    </w:tbl>
    <w:p>
      <w:pPr>
        <w:spacing w:after="0"/>
      </w:pPr>
    </w:p>
    <w:p>
      <w:pPr>
        <w:pStyle w:val="Heading1"/>
      </w:pPr>
      <w:r>
        <w:t>1. Qué se construirá</w:t>
      </w:r>
    </w:p>
    <w:p>
      <w:r>
        <w:t>El objetivo es producir una primera formulación visual del proyecto, no una formulación definitiva. Utilizarán dos funciones especializadas de IA dentro de un flujo que incluye revisión humana y una herramienta de composición gráfica. El grupo decide libremente cómo organiza su trabajo interno.</w:t>
      </w:r>
    </w:p>
    <w:tbl>
      <w:tblPr>
        <w:tblStyle w:val="TableGrid"/>
        <w:tblW w:type="auto" w:w="0"/>
        <w:jc w:val="center"/>
        <w:tblLook w:firstColumn="1" w:firstRow="1" w:lastColumn="0" w:lastRow="0" w:noHBand="0" w:noVBand="1" w:val="04A0"/>
      </w:tblPr>
      <w:tblGrid>
        <w:gridCol w:w="3249"/>
        <w:gridCol w:w="3249"/>
        <w:gridCol w:w="3249"/>
      </w:tblGrid>
      <w:tr>
        <w:trPr>
          <w:tblHeader/>
        </w:trPr>
        <w:tc>
          <w:tcPr>
            <w:tcW w:type="dxa" w:w="3249"/>
            <w:shd w:fill="EAF3F3"/>
            <w:vAlign w:val="center"/>
          </w:tcPr>
          <w:p>
            <w:pPr>
              <w:spacing w:after="40" w:line="250" w:lineRule="auto"/>
            </w:pPr>
            <w:r/>
            <w:r>
              <w:rPr>
                <w:b/>
                <w:sz w:val="18"/>
              </w:rPr>
              <w:t>Función</w:t>
            </w:r>
          </w:p>
        </w:tc>
        <w:tc>
          <w:tcPr>
            <w:tcW w:type="dxa" w:w="3249"/>
            <w:shd w:fill="EAF3F3"/>
            <w:vAlign w:val="center"/>
          </w:tcPr>
          <w:p>
            <w:pPr>
              <w:spacing w:after="40" w:line="250" w:lineRule="auto"/>
            </w:pPr>
            <w:r/>
            <w:r>
              <w:rPr>
                <w:b/>
                <w:sz w:val="18"/>
              </w:rPr>
              <w:t>Qué recibe</w:t>
            </w:r>
          </w:p>
        </w:tc>
        <w:tc>
          <w:tcPr>
            <w:tcW w:type="dxa" w:w="3249"/>
            <w:shd w:fill="EAF3F3"/>
            <w:vAlign w:val="center"/>
          </w:tcPr>
          <w:p>
            <w:pPr>
              <w:spacing w:after="40" w:line="250" w:lineRule="auto"/>
            </w:pPr>
            <w:r/>
            <w:r>
              <w:rPr>
                <w:b/>
                <w:sz w:val="18"/>
              </w:rPr>
              <w:t>Qué entrega</w:t>
            </w:r>
          </w:p>
        </w:tc>
      </w:tr>
      <w:tr>
        <w:tc>
          <w:tcPr>
            <w:tcW w:type="dxa" w:w="3249"/>
            <w:shd w:fill="F6F5F0"/>
            <w:vAlign w:val="center"/>
          </w:tcPr>
          <w:p>
            <w:pPr>
              <w:spacing w:after="40" w:line="250" w:lineRule="auto"/>
            </w:pPr>
            <w:r/>
            <w:r>
              <w:rPr>
                <w:b/>
                <w:sz w:val="18"/>
              </w:rPr>
              <w:t>Asistente 1. Diagnóstico</w:t>
            </w:r>
          </w:p>
        </w:tc>
        <w:tc>
          <w:tcPr>
            <w:tcW w:type="dxa" w:w="3249"/>
            <w:shd w:fill="F6F5F0"/>
            <w:vAlign w:val="center"/>
          </w:tcPr>
          <w:p>
            <w:pPr>
              <w:spacing w:after="40" w:line="250" w:lineRule="auto"/>
            </w:pPr>
            <w:r/>
            <w:r>
              <w:rPr>
                <w:b w:val="0"/>
                <w:sz w:val="18"/>
              </w:rPr>
              <w:t>Informe descriptivo, fuentes complementarias y contexto de San Gabriel.</w:t>
            </w:r>
          </w:p>
        </w:tc>
        <w:tc>
          <w:tcPr>
            <w:tcW w:type="dxa" w:w="3249"/>
            <w:shd w:fill="F6F5F0"/>
            <w:vAlign w:val="center"/>
          </w:tcPr>
          <w:p>
            <w:pPr>
              <w:spacing w:after="40" w:line="250" w:lineRule="auto"/>
            </w:pPr>
            <w:r/>
            <w:r>
              <w:rPr>
                <w:b w:val="0"/>
                <w:sz w:val="18"/>
              </w:rPr>
              <w:t>Síntesis sustentada del problema, causas, consecuencias, población y necesidades.</w:t>
            </w:r>
          </w:p>
        </w:tc>
      </w:tr>
      <w:tr>
        <w:tc>
          <w:tcPr>
            <w:tcW w:type="dxa" w:w="3249"/>
            <w:vAlign w:val="center"/>
          </w:tcPr>
          <w:p>
            <w:pPr>
              <w:spacing w:after="40" w:line="250" w:lineRule="auto"/>
            </w:pPr>
            <w:r/>
            <w:r>
              <w:rPr>
                <w:b/>
                <w:sz w:val="18"/>
              </w:rPr>
              <w:t>Revisión del grupo</w:t>
            </w:r>
          </w:p>
        </w:tc>
        <w:tc>
          <w:tcPr>
            <w:tcW w:type="dxa" w:w="3249"/>
            <w:vAlign w:val="center"/>
          </w:tcPr>
          <w:p>
            <w:pPr>
              <w:spacing w:after="40" w:line="250" w:lineRule="auto"/>
            </w:pPr>
            <w:r/>
            <w:r>
              <w:rPr>
                <w:b w:val="0"/>
                <w:sz w:val="18"/>
              </w:rPr>
              <w:t>Salida del asistente 1 y evidencia original.</w:t>
            </w:r>
          </w:p>
        </w:tc>
        <w:tc>
          <w:tcPr>
            <w:tcW w:type="dxa" w:w="3249"/>
            <w:vAlign w:val="center"/>
          </w:tcPr>
          <w:p>
            <w:pPr>
              <w:spacing w:after="40" w:line="250" w:lineRule="auto"/>
            </w:pPr>
            <w:r/>
            <w:r>
              <w:rPr>
                <w:b w:val="0"/>
                <w:sz w:val="18"/>
              </w:rPr>
              <w:t>Diagnóstico revisado y autorizado para la formulación.</w:t>
            </w:r>
          </w:p>
        </w:tc>
      </w:tr>
      <w:tr>
        <w:tc>
          <w:tcPr>
            <w:tcW w:type="dxa" w:w="3249"/>
            <w:shd w:fill="F6F5F0"/>
            <w:vAlign w:val="center"/>
          </w:tcPr>
          <w:p>
            <w:pPr>
              <w:spacing w:after="40" w:line="250" w:lineRule="auto"/>
            </w:pPr>
            <w:r/>
            <w:r>
              <w:rPr>
                <w:b/>
                <w:sz w:val="18"/>
              </w:rPr>
              <w:t>Asistente 2. Formulación</w:t>
            </w:r>
          </w:p>
        </w:tc>
        <w:tc>
          <w:tcPr>
            <w:tcW w:type="dxa" w:w="3249"/>
            <w:shd w:fill="F6F5F0"/>
            <w:vAlign w:val="center"/>
          </w:tcPr>
          <w:p>
            <w:pPr>
              <w:spacing w:after="40" w:line="250" w:lineRule="auto"/>
            </w:pPr>
            <w:r/>
            <w:r>
              <w:rPr>
                <w:b w:val="0"/>
                <w:sz w:val="18"/>
              </w:rPr>
              <w:t>Diagnóstico revisado, solicitud SG-05 y estructura SG-06.</w:t>
            </w:r>
          </w:p>
        </w:tc>
        <w:tc>
          <w:tcPr>
            <w:tcW w:type="dxa" w:w="3249"/>
            <w:shd w:fill="F6F5F0"/>
            <w:vAlign w:val="center"/>
          </w:tcPr>
          <w:p>
            <w:pPr>
              <w:spacing w:after="40" w:line="250" w:lineRule="auto"/>
            </w:pPr>
            <w:r/>
            <w:r>
              <w:rPr>
                <w:b w:val="0"/>
                <w:sz w:val="18"/>
              </w:rPr>
              <w:t>Contenidos preliminares y vacíos identificados para los componentes del Canvas.</w:t>
            </w:r>
          </w:p>
        </w:tc>
      </w:tr>
      <w:tr>
        <w:tc>
          <w:tcPr>
            <w:tcW w:type="dxa" w:w="3249"/>
            <w:vAlign w:val="center"/>
          </w:tcPr>
          <w:p>
            <w:pPr>
              <w:spacing w:after="40" w:line="250" w:lineRule="auto"/>
            </w:pPr>
            <w:r/>
            <w:r>
              <w:rPr>
                <w:b/>
                <w:sz w:val="18"/>
              </w:rPr>
              <w:t>Integración del grupo</w:t>
            </w:r>
          </w:p>
        </w:tc>
        <w:tc>
          <w:tcPr>
            <w:tcW w:type="dxa" w:w="3249"/>
            <w:vAlign w:val="center"/>
          </w:tcPr>
          <w:p>
            <w:pPr>
              <w:spacing w:after="40" w:line="250" w:lineRule="auto"/>
            </w:pPr>
            <w:r/>
            <w:r>
              <w:rPr>
                <w:b w:val="0"/>
                <w:sz w:val="18"/>
              </w:rPr>
              <w:t>Propuesta del asistente 2, evidencia y plantilla.</w:t>
            </w:r>
          </w:p>
        </w:tc>
        <w:tc>
          <w:tcPr>
            <w:tcW w:type="dxa" w:w="3249"/>
            <w:vAlign w:val="center"/>
          </w:tcPr>
          <w:p>
            <w:pPr>
              <w:spacing w:after="40" w:line="250" w:lineRule="auto"/>
            </w:pPr>
            <w:r/>
            <w:r>
              <w:rPr>
                <w:b w:val="0"/>
                <w:sz w:val="18"/>
              </w:rPr>
              <w:t>Project Model Canvas 1.0 revisado y presentado visualmente.</w:t>
            </w:r>
          </w:p>
        </w:tc>
      </w:tr>
    </w:tbl>
    <w:p>
      <w:pPr>
        <w:spacing w:after="0"/>
      </w:pPr>
    </w:p>
    <w:tbl>
      <w:tblPr>
        <w:tblW w:type="auto" w:w="0"/>
        <w:tblLook w:firstColumn="1" w:firstRow="1" w:lastColumn="0" w:lastRow="0" w:noHBand="0" w:noVBand="1" w:val="04A0"/>
      </w:tblPr>
      <w:tblGrid>
        <w:gridCol w:w="9746"/>
      </w:tblGrid>
      <w:tr>
        <w:tc>
          <w:tcPr>
            <w:tcW w:type="dxa" w:w="9746"/>
            <w:shd w:fill="EAF3F3"/>
          </w:tcPr>
          <w:p>
            <w:pPr>
              <w:spacing w:after="40"/>
            </w:pPr>
            <w:r/>
            <w:r>
              <w:rPr>
                <w:b/>
                <w:color w:val="173D51"/>
              </w:rPr>
              <w:t>Dos asistentes no significan dos plataformas</w:t>
              <w:br/>
            </w:r>
            <w:r>
              <w:t>Pueden crearse mediante funciones específicas de una herramienta de IA, dos conversaciones separadas con instrucciones iniciales estables u otra solución disponible. Lo importante es delimitar sus tareas y no tratar una sola consulta genérica como si fuera todo el proceso.</w:t>
            </w:r>
          </w:p>
        </w:tc>
      </w:tr>
    </w:tbl>
    <w:p>
      <w:pPr>
        <w:spacing w:after="0"/>
      </w:pPr>
    </w:p>
    <w:p>
      <w:pPr>
        <w:pStyle w:val="Heading1"/>
      </w:pPr>
      <w:r>
        <w:t>2. Preparar los insumos</w:t>
      </w:r>
    </w:p>
    <w:p>
      <w:pPr>
        <w:pStyle w:val="ListBullet"/>
      </w:pPr>
      <w:r>
        <w:t>Informe descriptivo de la Parte A y, cuando sea necesario, la base sintética de 479 respuestas.</w:t>
      </w:r>
    </w:p>
    <w:p>
      <w:pPr>
        <w:pStyle w:val="ListBullet"/>
      </w:pPr>
      <w:r>
        <w:t>Dos fuentes y al menos un conjunto de datos complementario de la actividad anterior.</w:t>
      </w:r>
    </w:p>
    <w:p>
      <w:pPr>
        <w:pStyle w:val="ListBullet"/>
      </w:pPr>
      <w:r>
        <w:t>Convocatoria inicial, comunicación SG-05 y plantilla de referencia SG-06.</w:t>
      </w:r>
    </w:p>
    <w:p>
      <w:pPr>
        <w:pStyle w:val="ListBullet"/>
      </w:pPr>
      <w:r>
        <w:t>Una carpeta de trabajo que permita guardar las configuraciones, salidas revisadas y Canvas.</w:t>
      </w:r>
    </w:p>
    <w:p>
      <w:r>
        <w:t>Antes de compartir archivos con una herramienta, comprueben qué información es necesaria, eviten cargar datos personales innecesarios y revisen los permisos de acceso. Diferencien siempre los registros sintéticos, las fuentes documentales, las interpretaciones y los supuestos de diseño.</w:t>
      </w:r>
    </w:p>
    <w:p>
      <w:pPr>
        <w:pStyle w:val="Heading1"/>
      </w:pPr>
      <w:r>
        <w:t>3. Configurar el asistente de diagnóstico</w:t>
      </w:r>
    </w:p>
    <w:p>
      <w:r>
        <w:t>La tarea de este asistente es organizar la evidencia; no debe seleccionar por sí mismo la solución del proyecto. Construyan su instrucción inicial completando estos seis elementos:</w:t>
      </w:r>
    </w:p>
    <w:tbl>
      <w:tblPr>
        <w:tblStyle w:val="TableGrid"/>
        <w:tblW w:type="auto" w:w="0"/>
        <w:jc w:val="center"/>
        <w:tblLook w:firstColumn="1" w:firstRow="1" w:lastColumn="0" w:lastRow="0" w:noHBand="0" w:noVBand="1" w:val="04A0"/>
      </w:tblPr>
      <w:tblGrid>
        <w:gridCol w:w="4873"/>
        <w:gridCol w:w="4873"/>
      </w:tblGrid>
      <w:tr>
        <w:trPr>
          <w:tblHeader/>
        </w:trPr>
        <w:tc>
          <w:tcPr>
            <w:tcW w:type="dxa" w:w="4873"/>
            <w:shd w:fill="EAF3F3"/>
            <w:vAlign w:val="center"/>
          </w:tcPr>
          <w:p>
            <w:pPr>
              <w:spacing w:after="40" w:line="250" w:lineRule="auto"/>
            </w:pPr>
            <w:r/>
            <w:r>
              <w:rPr>
                <w:b/>
                <w:sz w:val="18"/>
              </w:rPr>
              <w:t>Elemento de configuración</w:t>
            </w:r>
          </w:p>
        </w:tc>
        <w:tc>
          <w:tcPr>
            <w:tcW w:type="dxa" w:w="4873"/>
            <w:shd w:fill="EAF3F3"/>
            <w:vAlign w:val="center"/>
          </w:tcPr>
          <w:p>
            <w:pPr>
              <w:spacing w:after="40" w:line="250" w:lineRule="auto"/>
            </w:pPr>
            <w:r/>
            <w:r>
              <w:rPr>
                <w:b/>
                <w:sz w:val="18"/>
              </w:rPr>
              <w:t>Qué deben especificar</w:t>
            </w:r>
          </w:p>
        </w:tc>
      </w:tr>
      <w:tr>
        <w:tc>
          <w:tcPr>
            <w:tcW w:type="dxa" w:w="4873"/>
            <w:shd w:fill="F6F5F0"/>
            <w:vAlign w:val="center"/>
          </w:tcPr>
          <w:p>
            <w:pPr>
              <w:spacing w:after="40" w:line="250" w:lineRule="auto"/>
            </w:pPr>
            <w:r/>
            <w:r>
              <w:rPr>
                <w:b/>
                <w:sz w:val="18"/>
              </w:rPr>
              <w:t>Identidad y alcance</w:t>
            </w:r>
          </w:p>
        </w:tc>
        <w:tc>
          <w:tcPr>
            <w:tcW w:type="dxa" w:w="4873"/>
            <w:shd w:fill="F6F5F0"/>
            <w:vAlign w:val="center"/>
          </w:tcPr>
          <w:p>
            <w:pPr>
              <w:spacing w:after="40" w:line="250" w:lineRule="auto"/>
            </w:pPr>
            <w:r/>
            <w:r>
              <w:rPr>
                <w:b w:val="0"/>
                <w:sz w:val="18"/>
              </w:rPr>
              <w:t>Su función es producir un diagnóstico preliminar del problema abordado por la consultora en San Gabriel.</w:t>
            </w:r>
          </w:p>
        </w:tc>
      </w:tr>
      <w:tr>
        <w:tc>
          <w:tcPr>
            <w:tcW w:type="dxa" w:w="4873"/>
            <w:vAlign w:val="center"/>
          </w:tcPr>
          <w:p>
            <w:pPr>
              <w:spacing w:after="40" w:line="250" w:lineRule="auto"/>
            </w:pPr>
            <w:r/>
            <w:r>
              <w:rPr>
                <w:b/>
                <w:sz w:val="18"/>
              </w:rPr>
              <w:t>Entradas</w:t>
            </w:r>
          </w:p>
        </w:tc>
        <w:tc>
          <w:tcPr>
            <w:tcW w:type="dxa" w:w="4873"/>
            <w:vAlign w:val="center"/>
          </w:tcPr>
          <w:p>
            <w:pPr>
              <w:spacing w:after="40" w:line="250" w:lineRule="auto"/>
            </w:pPr>
            <w:r/>
            <w:r>
              <w:rPr>
                <w:b w:val="0"/>
                <w:sz w:val="18"/>
              </w:rPr>
              <w:t>Qué documentos recibirá y cómo identificará cada uno (informe, fuente, conjunto de datos, convocatoria).</w:t>
            </w:r>
          </w:p>
        </w:tc>
      </w:tr>
      <w:tr>
        <w:tc>
          <w:tcPr>
            <w:tcW w:type="dxa" w:w="4873"/>
            <w:shd w:fill="F6F5F0"/>
            <w:vAlign w:val="center"/>
          </w:tcPr>
          <w:p>
            <w:pPr>
              <w:spacing w:after="40" w:line="250" w:lineRule="auto"/>
            </w:pPr>
            <w:r/>
            <w:r>
              <w:rPr>
                <w:b/>
                <w:sz w:val="18"/>
              </w:rPr>
              <w:t>Operaciones</w:t>
            </w:r>
          </w:p>
        </w:tc>
        <w:tc>
          <w:tcPr>
            <w:tcW w:type="dxa" w:w="4873"/>
            <w:shd w:fill="F6F5F0"/>
            <w:vAlign w:val="center"/>
          </w:tcPr>
          <w:p>
            <w:pPr>
              <w:spacing w:after="40" w:line="250" w:lineRule="auto"/>
            </w:pPr>
            <w:r/>
            <w:r>
              <w:rPr>
                <w:b w:val="0"/>
                <w:sz w:val="18"/>
              </w:rPr>
              <w:t>Sintetizar hallazgos; distinguir condiciones relevantes; proponer causas y efectos como hipótesis; identificar diferencias territoriales pertinentes.</w:t>
            </w:r>
          </w:p>
        </w:tc>
      </w:tr>
      <w:tr>
        <w:tc>
          <w:tcPr>
            <w:tcW w:type="dxa" w:w="4873"/>
            <w:vAlign w:val="center"/>
          </w:tcPr>
          <w:p>
            <w:pPr>
              <w:spacing w:after="40" w:line="250" w:lineRule="auto"/>
            </w:pPr>
            <w:r/>
            <w:r>
              <w:rPr>
                <w:b/>
                <w:sz w:val="18"/>
              </w:rPr>
              <w:t>Restricciones</w:t>
            </w:r>
          </w:p>
        </w:tc>
        <w:tc>
          <w:tcPr>
            <w:tcW w:type="dxa" w:w="4873"/>
            <w:vAlign w:val="center"/>
          </w:tcPr>
          <w:p>
            <w:pPr>
              <w:spacing w:after="40" w:line="250" w:lineRule="auto"/>
            </w:pPr>
            <w:r/>
            <w:r>
              <w:rPr>
                <w:b w:val="0"/>
                <w:sz w:val="18"/>
              </w:rPr>
              <w:t>No inventar cifras o fuentes; no atribuir representatividad empírica a los datos sintéticos; señalar vacíos y no formular actividades de intervención.</w:t>
            </w:r>
          </w:p>
        </w:tc>
      </w:tr>
      <w:tr>
        <w:tc>
          <w:tcPr>
            <w:tcW w:type="dxa" w:w="4873"/>
            <w:shd w:fill="F6F5F0"/>
            <w:vAlign w:val="center"/>
          </w:tcPr>
          <w:p>
            <w:pPr>
              <w:spacing w:after="40" w:line="250" w:lineRule="auto"/>
            </w:pPr>
            <w:r/>
            <w:r>
              <w:rPr>
                <w:b/>
                <w:sz w:val="18"/>
              </w:rPr>
              <w:t>Formato de salida</w:t>
            </w:r>
          </w:p>
        </w:tc>
        <w:tc>
          <w:tcPr>
            <w:tcW w:type="dxa" w:w="4873"/>
            <w:shd w:fill="F6F5F0"/>
            <w:vAlign w:val="center"/>
          </w:tcPr>
          <w:p>
            <w:pPr>
              <w:spacing w:after="40" w:line="250" w:lineRule="auto"/>
            </w:pPr>
            <w:r/>
            <w:r>
              <w:rPr>
                <w:b w:val="0"/>
                <w:sz w:val="18"/>
              </w:rPr>
              <w:t>Problema central, evidencia de apoyo, población, posibles causas, posibles consecuencias, vacíos y preguntas por resolver.</w:t>
            </w:r>
          </w:p>
        </w:tc>
      </w:tr>
      <w:tr>
        <w:tc>
          <w:tcPr>
            <w:tcW w:type="dxa" w:w="4873"/>
            <w:vAlign w:val="center"/>
          </w:tcPr>
          <w:p>
            <w:pPr>
              <w:spacing w:after="40" w:line="250" w:lineRule="auto"/>
            </w:pPr>
            <w:r/>
            <w:r>
              <w:rPr>
                <w:b/>
                <w:sz w:val="18"/>
              </w:rPr>
              <w:t>Criterio de cierre</w:t>
            </w:r>
          </w:p>
        </w:tc>
        <w:tc>
          <w:tcPr>
            <w:tcW w:type="dxa" w:w="4873"/>
            <w:vAlign w:val="center"/>
          </w:tcPr>
          <w:p>
            <w:pPr>
              <w:spacing w:after="40" w:line="250" w:lineRule="auto"/>
            </w:pPr>
            <w:r/>
            <w:r>
              <w:rPr>
                <w:b w:val="0"/>
                <w:sz w:val="18"/>
              </w:rPr>
              <w:t>Cada afirmación importante debe poder rastrearse a una fuente o identificarse expresamente como interpretación o supuesto.</w:t>
            </w:r>
          </w:p>
        </w:tc>
      </w:tr>
    </w:tbl>
    <w:p>
      <w:pPr>
        <w:spacing w:after="0"/>
      </w:pPr>
    </w:p>
    <w:p>
      <w:r>
        <w:rPr>
          <w:b/>
        </w:rPr>
        <w:t xml:space="preserve">1. Ejecución. </w:t>
      </w:r>
      <w:r>
        <w:t>Entreguen los insumos y pidan la salida en el formato especificado. Si la herramienta no acepta adjuntos, transfieran fragmentos relevantes identificando documento y sección.</w:t>
      </w:r>
    </w:p>
    <w:p>
      <w:r>
        <w:rPr>
          <w:b/>
        </w:rPr>
        <w:t xml:space="preserve">2. Comprobación grupal. </w:t>
      </w:r>
      <w:r>
        <w:t>Confronten los datos y afirmaciones con el informe y las fuentes. Revisen las inferencias causales, la población y el territorio. Corrijan o retiren conclusiones sin fundamento.</w:t>
      </w:r>
    </w:p>
    <w:p>
      <w:r>
        <w:rPr>
          <w:b/>
        </w:rPr>
        <w:t xml:space="preserve">3. Ajuste. </w:t>
      </w:r>
      <w:r>
        <w:t>Si aparecen problemas, modifiquen las instrucciones y ejecuten nuevamente la función. Conserven la configuración finalmente utilizada y el diagnóstico revisado.</w:t>
      </w:r>
    </w:p>
    <w:p>
      <w:r>
        <w:br w:type="page"/>
      </w:r>
    </w:p>
    <w:p>
      <w:pPr>
        <w:pStyle w:val="Heading1"/>
      </w:pPr>
      <w:r>
        <w:t>4. Configurar el asistente de formulación</w:t>
      </w:r>
    </w:p>
    <w:p>
      <w:r>
        <w:t>Este segundo asistente recibe únicamente el diagnóstico ya revisado, SG-05 y la estructura del Canvas. Su función es proponer una primera arquitectura del proyecto, no tomar decisiones definitivas en nombre de la consultora.</w:t>
      </w:r>
    </w:p>
    <w:tbl>
      <w:tblPr>
        <w:tblStyle w:val="TableGrid"/>
        <w:tblW w:type="auto" w:w="0"/>
        <w:jc w:val="center"/>
        <w:tblLook w:firstColumn="1" w:firstRow="1" w:lastColumn="0" w:lastRow="0" w:noHBand="0" w:noVBand="1" w:val="04A0"/>
      </w:tblPr>
      <w:tblGrid>
        <w:gridCol w:w="4873"/>
        <w:gridCol w:w="4873"/>
      </w:tblGrid>
      <w:tr>
        <w:trPr>
          <w:tblHeader/>
        </w:trPr>
        <w:tc>
          <w:tcPr>
            <w:tcW w:type="dxa" w:w="4873"/>
            <w:shd w:fill="EAF3F3"/>
            <w:vAlign w:val="center"/>
          </w:tcPr>
          <w:p>
            <w:pPr>
              <w:spacing w:after="40" w:line="250" w:lineRule="auto"/>
            </w:pPr>
            <w:r/>
            <w:r>
              <w:rPr>
                <w:b/>
                <w:sz w:val="18"/>
              </w:rPr>
              <w:t>Elemento de configuración</w:t>
            </w:r>
          </w:p>
        </w:tc>
        <w:tc>
          <w:tcPr>
            <w:tcW w:type="dxa" w:w="4873"/>
            <w:shd w:fill="EAF3F3"/>
            <w:vAlign w:val="center"/>
          </w:tcPr>
          <w:p>
            <w:pPr>
              <w:spacing w:after="40" w:line="250" w:lineRule="auto"/>
            </w:pPr>
            <w:r/>
            <w:r>
              <w:rPr>
                <w:b/>
                <w:sz w:val="18"/>
              </w:rPr>
              <w:t>Qué deben especificar</w:t>
            </w:r>
          </w:p>
        </w:tc>
      </w:tr>
      <w:tr>
        <w:tc>
          <w:tcPr>
            <w:tcW w:type="dxa" w:w="4873"/>
            <w:shd w:fill="F6F5F0"/>
            <w:vAlign w:val="center"/>
          </w:tcPr>
          <w:p>
            <w:pPr>
              <w:spacing w:after="40" w:line="250" w:lineRule="auto"/>
            </w:pPr>
            <w:r/>
            <w:r>
              <w:rPr>
                <w:b/>
                <w:sz w:val="18"/>
              </w:rPr>
              <w:t>Identidad y alcance</w:t>
            </w:r>
          </w:p>
        </w:tc>
        <w:tc>
          <w:tcPr>
            <w:tcW w:type="dxa" w:w="4873"/>
            <w:shd w:fill="F6F5F0"/>
            <w:vAlign w:val="center"/>
          </w:tcPr>
          <w:p>
            <w:pPr>
              <w:spacing w:after="40" w:line="250" w:lineRule="auto"/>
            </w:pPr>
            <w:r/>
            <w:r>
              <w:rPr>
                <w:b w:val="0"/>
                <w:sz w:val="18"/>
              </w:rPr>
              <w:t>Estructurar una propuesta preliminar de intervención coherente con el diagnóstico revisado.</w:t>
            </w:r>
          </w:p>
        </w:tc>
      </w:tr>
      <w:tr>
        <w:tc>
          <w:tcPr>
            <w:tcW w:type="dxa" w:w="4873"/>
            <w:vAlign w:val="center"/>
          </w:tcPr>
          <w:p>
            <w:pPr>
              <w:spacing w:after="40" w:line="250" w:lineRule="auto"/>
            </w:pPr>
            <w:r/>
            <w:r>
              <w:rPr>
                <w:b/>
                <w:sz w:val="18"/>
              </w:rPr>
              <w:t>Entradas</w:t>
            </w:r>
          </w:p>
        </w:tc>
        <w:tc>
          <w:tcPr>
            <w:tcW w:type="dxa" w:w="4873"/>
            <w:vAlign w:val="center"/>
          </w:tcPr>
          <w:p>
            <w:pPr>
              <w:spacing w:after="40" w:line="250" w:lineRule="auto"/>
            </w:pPr>
            <w:r/>
            <w:r>
              <w:rPr>
                <w:b w:val="0"/>
                <w:sz w:val="18"/>
              </w:rPr>
              <w:t>Diagnóstico validado por el grupo, condiciones de SG-05 y nombres de los trece campos de SG-06.</w:t>
            </w:r>
          </w:p>
        </w:tc>
      </w:tr>
      <w:tr>
        <w:tc>
          <w:tcPr>
            <w:tcW w:type="dxa" w:w="4873"/>
            <w:shd w:fill="F6F5F0"/>
            <w:vAlign w:val="center"/>
          </w:tcPr>
          <w:p>
            <w:pPr>
              <w:spacing w:after="40" w:line="250" w:lineRule="auto"/>
            </w:pPr>
            <w:r/>
            <w:r>
              <w:rPr>
                <w:b/>
                <w:sz w:val="18"/>
              </w:rPr>
              <w:t>Operaciones</w:t>
            </w:r>
          </w:p>
        </w:tc>
        <w:tc>
          <w:tcPr>
            <w:tcW w:type="dxa" w:w="4873"/>
            <w:shd w:fill="F6F5F0"/>
            <w:vAlign w:val="center"/>
          </w:tcPr>
          <w:p>
            <w:pPr>
              <w:spacing w:after="40" w:line="250" w:lineRule="auto"/>
            </w:pPr>
            <w:r/>
            <w:r>
              <w:rPr>
                <w:b w:val="0"/>
                <w:sz w:val="18"/>
              </w:rPr>
              <w:t>Proponer objetivo, beneficios, producto o servicio, requisitos, actores, entregables, premisas, restricciones, riesgos, tiempo y costos preliminares.</w:t>
            </w:r>
          </w:p>
        </w:tc>
      </w:tr>
      <w:tr>
        <w:tc>
          <w:tcPr>
            <w:tcW w:type="dxa" w:w="4873"/>
            <w:vAlign w:val="center"/>
          </w:tcPr>
          <w:p>
            <w:pPr>
              <w:spacing w:after="40" w:line="250" w:lineRule="auto"/>
            </w:pPr>
            <w:r/>
            <w:r>
              <w:rPr>
                <w:b/>
                <w:sz w:val="18"/>
              </w:rPr>
              <w:t>Restricciones</w:t>
            </w:r>
          </w:p>
        </w:tc>
        <w:tc>
          <w:tcPr>
            <w:tcW w:type="dxa" w:w="4873"/>
            <w:vAlign w:val="center"/>
          </w:tcPr>
          <w:p>
            <w:pPr>
              <w:spacing w:after="40" w:line="250" w:lineRule="auto"/>
            </w:pPr>
            <w:r/>
            <w:r>
              <w:rPr>
                <w:b w:val="0"/>
                <w:sz w:val="18"/>
              </w:rPr>
              <w:t>No transformar supuestos en hechos; no asignar valores monetarios, fechas ni capacidades institucionales sin base suficiente; marcar lo pendiente.</w:t>
            </w:r>
          </w:p>
        </w:tc>
      </w:tr>
      <w:tr>
        <w:tc>
          <w:tcPr>
            <w:tcW w:type="dxa" w:w="4873"/>
            <w:shd w:fill="F6F5F0"/>
            <w:vAlign w:val="center"/>
          </w:tcPr>
          <w:p>
            <w:pPr>
              <w:spacing w:after="40" w:line="250" w:lineRule="auto"/>
            </w:pPr>
            <w:r/>
            <w:r>
              <w:rPr>
                <w:b/>
                <w:sz w:val="18"/>
              </w:rPr>
              <w:t>Formato de salida</w:t>
            </w:r>
          </w:p>
        </w:tc>
        <w:tc>
          <w:tcPr>
            <w:tcW w:type="dxa" w:w="4873"/>
            <w:shd w:fill="F6F5F0"/>
            <w:vAlign w:val="center"/>
          </w:tcPr>
          <w:p>
            <w:pPr>
              <w:spacing w:after="40" w:line="250" w:lineRule="auto"/>
            </w:pPr>
            <w:r/>
            <w:r>
              <w:rPr>
                <w:b w:val="0"/>
                <w:sz w:val="18"/>
              </w:rPr>
              <w:t>Borrador organizado campo por campo, acompañado por evidencia, supuesto o decisión pendiente cuando corresponda.</w:t>
            </w:r>
          </w:p>
        </w:tc>
      </w:tr>
      <w:tr>
        <w:tc>
          <w:tcPr>
            <w:tcW w:type="dxa" w:w="4873"/>
            <w:vAlign w:val="center"/>
          </w:tcPr>
          <w:p>
            <w:pPr>
              <w:spacing w:after="40" w:line="250" w:lineRule="auto"/>
            </w:pPr>
            <w:r/>
            <w:r>
              <w:rPr>
                <w:b/>
                <w:sz w:val="18"/>
              </w:rPr>
              <w:t>Criterio de cierre</w:t>
            </w:r>
          </w:p>
        </w:tc>
        <w:tc>
          <w:tcPr>
            <w:tcW w:type="dxa" w:w="4873"/>
            <w:vAlign w:val="center"/>
          </w:tcPr>
          <w:p>
            <w:pPr>
              <w:spacing w:after="40" w:line="250" w:lineRule="auto"/>
            </w:pPr>
            <w:r/>
            <w:r>
              <w:rPr>
                <w:b w:val="0"/>
                <w:sz w:val="18"/>
              </w:rPr>
              <w:t>Problema, objetivo, beneficios, producto y requisitos deben mantener una relación lógica reconocible.</w:t>
            </w:r>
          </w:p>
        </w:tc>
      </w:tr>
    </w:tbl>
    <w:p>
      <w:pPr>
        <w:spacing w:after="0"/>
      </w:pPr>
    </w:p>
    <w:p>
      <w:r>
        <w:rPr>
          <w:b/>
        </w:rPr>
        <w:t xml:space="preserve">1. Transferencia. </w:t>
      </w:r>
      <w:r>
        <w:t>Introduzcan el diagnóstico revisado como insumo explícito. No transfieran automáticamente la primera respuesta del asistente de diagnóstico.</w:t>
      </w:r>
    </w:p>
    <w:p>
      <w:r>
        <w:rPr>
          <w:b/>
        </w:rPr>
        <w:t xml:space="preserve">2. Revisión. </w:t>
      </w:r>
      <w:r>
        <w:t>Comprueben que los componentes propuestos responden a SG-05 y que las soluciones no desbordan el problema o la población objetivo.</w:t>
      </w:r>
    </w:p>
    <w:p>
      <w:r>
        <w:rPr>
          <w:b/>
        </w:rPr>
        <w:t xml:space="preserve">3. Ajuste e integración. </w:t>
      </w:r>
      <w:r>
        <w:t>Corrijan las instrucciones si es necesario. El grupo selecciona, modifica o descarta propuestas antes de trasladarlas al Canvas.</w:t>
      </w:r>
    </w:p>
    <w:p>
      <w:pPr>
        <w:pStyle w:val="Heading2"/>
        <w:keepNext/>
        <w:keepLines/>
        <w:spacing w:before="240" w:after="80"/>
      </w:pPr>
      <w:r>
        <w:rPr>
          <w:b/>
          <w:color w:val="15424E"/>
          <w:sz w:val="25"/>
        </w:rPr>
        <w:t>5. Comprender el Project Model Canvas antes de diligenciarlo</w:t>
      </w:r>
    </w:p>
    <w:p>
      <w:pPr>
        <w:pStyle w:val="Heading3"/>
        <w:keepNext/>
        <w:keepLines/>
        <w:spacing w:before="140" w:after="80"/>
      </w:pPr>
      <w:r>
        <w:rPr>
          <w:b/>
          <w:color w:val="15424E"/>
          <w:sz w:val="22"/>
        </w:rPr>
        <w:t>5.1. Origen: por qué surge este modelo</w:t>
      </w:r>
    </w:p>
    <w:p>
      <w:pPr>
        <w:spacing w:after="120" w:line="269" w:lineRule="auto"/>
      </w:pPr>
      <w:r>
        <w:t>El Project Model Canvas (PMC) fue desarrollado por el consultor brasileño José Finocchio Junior y difundido en su libro Project Model Canvas: Gerenciamento de Projetos sem Burocracia (2013). Surgió ante una dificultad habitual en la preparación de proyectos: la información se distribuye entre numerosos documentos, especialidades y responsables; aunque cada sección pueda parecer correcta por separado, el equipo no siempre comparte una visión clara de qué pretende cambiar, qué entregará, con quién, bajo qué condiciones y con cuáles recursos.</w:t>
      </w:r>
    </w:p>
    <w:p>
      <w:pPr>
        <w:spacing w:after="120" w:line="269" w:lineRule="auto"/>
      </w:pPr>
      <w:r>
        <w:t>Finocchio Junior reconoce influencias de la facilitación visual, el pensamiento gráfico y la estética del Business Model Canvas. Sin embargo, no trasladó directamente un modelo de negocios al terreno de proyectos: un modelo de negocio describe cómo una organización crea, entrega y captura valor de manera relativamente continua; un proyecto, en cambio, es un esfuerzo temporal orientado a producir un resultado singular. El PMC busca hacer visible esa lógica temporal e integrada de la intervención.</w:t>
      </w:r>
    </w:p>
    <w:p>
      <w:pPr>
        <w:spacing w:after="120" w:line="269" w:lineRule="auto"/>
      </w:pPr>
      <w:r>
        <w:t>La propuesta reúne trece componentes de planificación en un solo lienzo y los ordena mediante preguntas encadenadas: ¿por qué realizar el proyecto?, ¿qué se producirá?, ¿quién participa?, ¿cómo se hará posible? y ¿cuándo y cuánto se requiere? El valor del lienzo no reside en comprimir un informe largo, sino en poner a la vista dependencias, omisiones e inconsistencias para que un equipo pueda discutirlas y corregirlas conjuntamente.</w:t>
      </w:r>
    </w:p>
    <w:p>
      <w:pPr>
        <w:pStyle w:val="Heading3"/>
        <w:keepNext/>
        <w:keepLines/>
        <w:spacing w:before="140" w:after="80"/>
      </w:pPr>
      <w:r>
        <w:rPr>
          <w:b/>
          <w:color w:val="15424E"/>
          <w:sz w:val="22"/>
        </w:rPr>
        <w:t>5.2. Qué aporta frente a otras formas de formular proyectos</w:t>
      </w:r>
    </w:p>
    <w:p>
      <w:pPr>
        <w:spacing w:after="120" w:line="269" w:lineRule="auto"/>
      </w:pPr>
      <w:r>
        <w:t>El PMC no reemplaza automáticamente otras metodologías. Su aporte específico consiste en ofrecer una representación sintética y simultánea de elementos que en instrumentos narrativos o secuenciales suelen aparecer separados. La posibilidad de verlos juntos favorece la conversación colectiva, la negociación de supuestos y la reformulación temprana, especialmente cuando todavía no existe información para un plan exhaustivo.</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3249"/>
            <w:vAlign w:val="center"/>
            <w:shd w:fill="DCE8E3"/>
          </w:tcPr>
          <w:p>
            <w:pPr>
              <w:spacing w:after="40"/>
            </w:pPr>
            <w:r>
              <w:rPr>
                <w:b/>
                <w:sz w:val="18"/>
              </w:rPr>
              <w:t>Referencia</w:t>
            </w:r>
          </w:p>
        </w:tc>
        <w:tc>
          <w:tcPr>
            <w:tcW w:type="dxa" w:w="3249"/>
            <w:vAlign w:val="center"/>
            <w:shd w:fill="DCE8E3"/>
          </w:tcPr>
          <w:p>
            <w:pPr>
              <w:spacing w:after="40"/>
            </w:pPr>
            <w:r>
              <w:rPr>
                <w:b/>
                <w:sz w:val="18"/>
              </w:rPr>
              <w:t>Pregunta que organiza</w:t>
            </w:r>
          </w:p>
        </w:tc>
        <w:tc>
          <w:tcPr>
            <w:tcW w:type="dxa" w:w="3249"/>
            <w:vAlign w:val="center"/>
            <w:shd w:fill="DCE8E3"/>
          </w:tcPr>
          <w:p>
            <w:pPr>
              <w:spacing w:after="40"/>
            </w:pPr>
            <w:r>
              <w:rPr>
                <w:b/>
                <w:sz w:val="18"/>
              </w:rPr>
              <w:t>Relación y aporte del PMC</w:t>
            </w:r>
          </w:p>
        </w:tc>
      </w:tr>
      <w:tr>
        <w:trPr>
          <w:cantSplit/>
        </w:trPr>
        <w:tc>
          <w:tcPr>
            <w:tcW w:type="dxa" w:w="3249"/>
            <w:vAlign w:val="center"/>
          </w:tcPr>
          <w:p>
            <w:pPr>
              <w:spacing w:after="40"/>
            </w:pPr>
            <w:r>
              <w:rPr>
                <w:sz w:val="18"/>
              </w:rPr>
              <w:t>Business Model Canvas</w:t>
            </w:r>
          </w:p>
        </w:tc>
        <w:tc>
          <w:tcPr>
            <w:tcW w:type="dxa" w:w="3249"/>
            <w:vAlign w:val="center"/>
          </w:tcPr>
          <w:p>
            <w:pPr>
              <w:spacing w:after="40"/>
            </w:pPr>
            <w:r>
              <w:rPr>
                <w:sz w:val="18"/>
              </w:rPr>
              <w:t>¿Cómo crea, entrega y captura valor un modelo de negocio?</w:t>
            </w:r>
          </w:p>
        </w:tc>
        <w:tc>
          <w:tcPr>
            <w:tcW w:type="dxa" w:w="3249"/>
            <w:vAlign w:val="center"/>
          </w:tcPr>
          <w:p>
            <w:pPr>
              <w:spacing w:after="40"/>
            </w:pPr>
            <w:r>
              <w:rPr>
                <w:sz w:val="18"/>
              </w:rPr>
              <w:t>El PMC se concentra en un esfuerzo temporal: sus entregables, condiciones de ejecución, riesgos, tiempos y costos. No debe confundirse una propuesta de proyecto con un modelo de sostenibilidad empresarial.</w:t>
            </w:r>
          </w:p>
        </w:tc>
      </w:tr>
      <w:tr>
        <w:trPr>
          <w:cantSplit/>
        </w:trPr>
        <w:tc>
          <w:tcPr>
            <w:tcW w:type="dxa" w:w="3249"/>
            <w:vAlign w:val="center"/>
          </w:tcPr>
          <w:p>
            <w:pPr>
              <w:spacing w:after="40"/>
            </w:pPr>
            <w:r>
              <w:rPr>
                <w:sz w:val="18"/>
              </w:rPr>
              <w:t>MGA / formulación de inversión pública</w:t>
            </w:r>
          </w:p>
        </w:tc>
        <w:tc>
          <w:tcPr>
            <w:tcW w:type="dxa" w:w="3249"/>
            <w:vAlign w:val="center"/>
          </w:tcPr>
          <w:p>
            <w:pPr>
              <w:spacing w:after="40"/>
            </w:pPr>
            <w:r>
              <w:rPr>
                <w:sz w:val="18"/>
              </w:rPr>
              <w:t>¿Cómo identificar, preparar, evaluar y programar una inversión pública?</w:t>
            </w:r>
          </w:p>
        </w:tc>
        <w:tc>
          <w:tcPr>
            <w:tcW w:type="dxa" w:w="3249"/>
            <w:vAlign w:val="center"/>
          </w:tcPr>
          <w:p>
            <w:pPr>
              <w:spacing w:after="40"/>
            </w:pPr>
            <w:r>
              <w:rPr>
                <w:sz w:val="18"/>
              </w:rPr>
              <w:t>El PMC permite discutir tempranamente la coherencia global del proyecto y comunicarla visualmente. No sustituye los análisis técnicos, económicos, financieros y procedimentales exigibles a una inversión pública.</w:t>
            </w:r>
          </w:p>
        </w:tc>
      </w:tr>
      <w:tr>
        <w:trPr>
          <w:cantSplit/>
        </w:trPr>
        <w:tc>
          <w:tcPr>
            <w:tcW w:type="dxa" w:w="3249"/>
            <w:vAlign w:val="center"/>
          </w:tcPr>
          <w:p>
            <w:pPr>
              <w:spacing w:after="40"/>
            </w:pPr>
            <w:r>
              <w:rPr>
                <w:sz w:val="18"/>
              </w:rPr>
              <w:t>Estándares y prácticas de dirección de proyectos (PMI)</w:t>
            </w:r>
          </w:p>
        </w:tc>
        <w:tc>
          <w:tcPr>
            <w:tcW w:type="dxa" w:w="3249"/>
            <w:vAlign w:val="center"/>
          </w:tcPr>
          <w:p>
            <w:pPr>
              <w:spacing w:after="40"/>
            </w:pPr>
            <w:r>
              <w:rPr>
                <w:sz w:val="18"/>
              </w:rPr>
              <w:t>¿Cómo orientar la dirección y gestión de proyectos?</w:t>
            </w:r>
          </w:p>
        </w:tc>
        <w:tc>
          <w:tcPr>
            <w:tcW w:type="dxa" w:w="3249"/>
            <w:vAlign w:val="center"/>
          </w:tcPr>
          <w:p>
            <w:pPr>
              <w:spacing w:after="40"/>
            </w:pPr>
            <w:r>
              <w:rPr>
                <w:sz w:val="18"/>
              </w:rPr>
              <w:t>El PMC es un artefacto visual de concepción y alineación. No sustituye un sistema completo de dirección, control, gobernanza ni gestión de cambios.</w:t>
            </w:r>
          </w:p>
        </w:tc>
      </w:tr>
      <w:tr>
        <w:trPr>
          <w:cantSplit/>
        </w:trPr>
        <w:tc>
          <w:tcPr>
            <w:tcW w:type="dxa" w:w="3249"/>
            <w:vAlign w:val="center"/>
          </w:tcPr>
          <w:p>
            <w:pPr>
              <w:spacing w:after="40"/>
            </w:pPr>
            <w:r>
              <w:rPr>
                <w:sz w:val="18"/>
              </w:rPr>
              <w:t>Documento tradicional de formulación</w:t>
            </w:r>
          </w:p>
        </w:tc>
        <w:tc>
          <w:tcPr>
            <w:tcW w:type="dxa" w:w="3249"/>
            <w:vAlign w:val="center"/>
          </w:tcPr>
          <w:p>
            <w:pPr>
              <w:spacing w:after="40"/>
            </w:pPr>
            <w:r>
              <w:rPr>
                <w:sz w:val="18"/>
              </w:rPr>
              <w:t>¿Cómo argumentar y desarrollar en detalle cada dimensión?</w:t>
            </w:r>
          </w:p>
        </w:tc>
        <w:tc>
          <w:tcPr>
            <w:tcW w:type="dxa" w:w="3249"/>
            <w:vAlign w:val="center"/>
          </w:tcPr>
          <w:p>
            <w:pPr>
              <w:spacing w:after="40"/>
            </w:pPr>
            <w:r>
              <w:rPr>
                <w:sz w:val="18"/>
              </w:rPr>
              <w:t>El PMC hace visibles las relaciones entre dimensiones sobre un mismo plano; el documento extenso conserva su utilidad para fundamentar decisiones y presentar anexos, cálculos y estudios.</w:t>
            </w:r>
          </w:p>
        </w:tc>
      </w:tr>
    </w:tbl>
    <w:p>
      <w:pPr>
        <w:spacing w:after="120" w:line="269" w:lineRule="auto"/>
      </w:pPr>
      <w:r>
        <w:t>Por eso, el Canvas puede ser el punto de partida de una formulación y luego desarrollarse en otros formatos. Su principal ventaja no es que una metodología deje de ser necesaria, sino que reduce la dificultad de construir una interpretación compartida antes de profundizar en ella.</w:t>
      </w:r>
    </w:p>
    <w:p>
      <w:pPr>
        <w:pStyle w:val="Heading3"/>
        <w:keepNext/>
        <w:keepLines/>
        <w:spacing w:before="140" w:after="80"/>
      </w:pPr>
      <w:r>
        <w:rPr>
          <w:b/>
          <w:color w:val="15424E"/>
          <w:sz w:val="22"/>
        </w:rPr>
        <w:t>5.3. Cómo se lee y utiliza un lienzo</w:t>
      </w:r>
    </w:p>
    <w:p>
      <w:pPr>
        <w:spacing w:after="120" w:line="269" w:lineRule="auto"/>
      </w:pPr>
      <w:r>
        <w:t>Las cinco preguntas se recorren de izquierda a derecha, pero el proceso no es rígidamente lineal. Al definir un producto pueden aparecer requisitos que obligan a revisar el objetivo; al estimar recursos pueden identificarse restricciones que obligan a ajustar entregables. El lienzo se construye por aproximaciones sucesivas. Debe mostrar acuerdos actuales, hipótesis de trabajo y vacíos abiertos, distinguiendo unos de otros.</w:t>
      </w:r>
    </w:p>
    <w:p>
      <w:pPr>
        <w:spacing w:after="120" w:line="269" w:lineRule="auto"/>
      </w:pPr>
      <w:r>
        <w:t>Escriban en cada casilla ideas breves y específicas, preferiblemente verificables. Eviten párrafos que oculten decisiones. El vínculo entre casillas importa más que su apariencia aislada: justificación → objetivo → beneficios → producto → requisitos; actores y equipo → entregables → restricciones y riesgos → tiempos y costos.</w:t>
      </w:r>
    </w:p>
    <w:p>
      <w:pPr>
        <w:spacing w:after="120" w:line="269" w:lineRule="auto"/>
      </w:pPr>
      <w:r>
        <w:t>SG-06 es una plantilla editable de referencia. Cada consultora podrá rediseñar su presentación con la herramienta gráfica que prefiera, siempre que conserve los trece campos y sus nombres, permita leer sus relaciones y mantenga la información requerida. El diseño visual debe ayudar a comprender el proyecto, no reemplazar su contenido.</w:t>
      </w:r>
    </w:p>
    <w:p>
      <w:pPr>
        <w:pStyle w:val="Heading2"/>
        <w:keepNext/>
        <w:keepLines/>
        <w:spacing w:before="240" w:after="80"/>
      </w:pPr>
      <w:r>
        <w:rPr>
          <w:b/>
          <w:color w:val="15424E"/>
          <w:sz w:val="25"/>
        </w:rPr>
        <w:t>6. Los trece componentes: significado, construcción y relaciones</w:t>
      </w:r>
    </w:p>
    <w:p>
      <w:pPr>
        <w:spacing w:after="120" w:line="269" w:lineRule="auto"/>
      </w:pPr>
      <w:r>
        <w:t>Los siguientes apartados definen cada componente de forma general. La orientación para San Gabriel aparece al final de cada explicación únicamente como ejemplo de aplicación: no limita el uso del PMC a proyectos juveniles, municipales o de carácter público.</w:t>
      </w:r>
    </w:p>
    <w:p>
      <w:pPr>
        <w:pStyle w:val="Heading3"/>
        <w:keepNext/>
        <w:keepLines/>
        <w:spacing w:before="140" w:after="80"/>
      </w:pPr>
      <w:r>
        <w:rPr>
          <w:b/>
          <w:color w:val="15424E"/>
          <w:sz w:val="22"/>
        </w:rPr>
        <w:t>¿POR QUÉ?</w:t>
      </w:r>
    </w:p>
    <w:p>
      <w:pPr>
        <w:spacing w:after="40" w:line="269" w:lineRule="auto" w:before="120"/>
      </w:pPr>
      <w:r>
        <w:rPr>
          <w:b/>
        </w:rPr>
        <w:t>01. JUSTIFICATIVAS</w:t>
      </w:r>
    </w:p>
    <w:p>
      <w:pPr>
        <w:spacing w:after="120" w:line="269" w:lineRule="auto"/>
      </w:pPr>
      <w:r>
        <w:rPr>
          <w:b/>
        </w:rPr>
        <w:t xml:space="preserve">Qué representa. </w:t>
      </w:r>
      <w:r>
        <w:t>Explican la situación que da origen al proyecto: necesidades no atendidas, problemas, oportunidades de mejora o exigencias que hacen razonable invertir esfuerzos y recursos. Deben describir la brecha entre una situación observable y otra considerada deseable, indicar su relevancia y mostrar por qué amerita una intervención organizada. No son la lista de actividades que se quieren realizar ni una descripción genérica del sector.</w:t>
      </w:r>
    </w:p>
    <w:p>
      <w:pPr>
        <w:spacing w:after="120" w:line="269" w:lineRule="auto"/>
      </w:pPr>
      <w:r>
        <w:rPr>
          <w:b/>
        </w:rPr>
        <w:t xml:space="preserve">Cómo trabajarlo y con qué se conecta. </w:t>
      </w:r>
      <w:r>
        <w:t>Pregúntense: ¿qué evidencia muestra el problema?, ¿quién lo experimenta?, ¿cuál es su magnitud y por qué requiere atención? Se relaciona directamente con el objetivo: si cambia la justificación, puede cambiar el sentido del proyecto.</w:t>
      </w:r>
    </w:p>
    <w:p>
      <w:pPr>
        <w:spacing w:after="120" w:line="269" w:lineRule="auto"/>
      </w:pPr>
      <w:r>
        <w:rPr>
          <w:b/>
        </w:rPr>
        <w:t xml:space="preserve">Aplicación posible a San Gabriel. </w:t>
      </w:r>
      <w:r>
        <w:t>En San Gabriel: diferenciar los hallazgos de la base sintética de la evidencia externa y explicar qué necesidad de la población juvenil se pretende atender, sin presentar la simulación como una medición real.</w:t>
      </w:r>
    </w:p>
    <w:p>
      <w:pPr>
        <w:spacing w:after="40" w:line="269" w:lineRule="auto" w:before="120"/>
      </w:pPr>
      <w:r>
        <w:rPr>
          <w:b/>
        </w:rPr>
        <w:t>02. OBJETIVO SMART</w:t>
      </w:r>
    </w:p>
    <w:p>
      <w:pPr>
        <w:spacing w:after="120" w:line="269" w:lineRule="auto"/>
      </w:pPr>
      <w:r>
        <w:rPr>
          <w:b/>
        </w:rPr>
        <w:t xml:space="preserve">Qué representa. </w:t>
      </w:r>
      <w:r>
        <w:t>Expresa el estado que el proyecto busca alcanzar, no solo aquello que ejecutará. Especifica un resultado reconocible y delimita su alcance con criterios SMART: específico, medible, alcanzable, relevante y temporalmente situado. Debe ser compatible con la capacidad de actuación del proyecto; una meta excesivamente amplia puede corresponder a una política o transformación social de largo plazo, no al proyecto concreto.</w:t>
      </w:r>
    </w:p>
    <w:p>
      <w:pPr>
        <w:spacing w:after="120" w:line="269" w:lineRule="auto"/>
      </w:pPr>
      <w:r>
        <w:rPr>
          <w:b/>
        </w:rPr>
        <w:t xml:space="preserve">Cómo trabajarlo y con qué se conecta. </w:t>
      </w:r>
      <w:r>
        <w:t>Pregúntense: ¿qué cambiará, para quién, cuánto o cómo se reconocerá el logro y en qué horizonte? No confundan “realizar talleres” con “mejorar una capacidad”. El objetivo conecta la justificación con los beneficios y orienta la elección del producto.</w:t>
      </w:r>
    </w:p>
    <w:p>
      <w:pPr>
        <w:spacing w:after="120" w:line="269" w:lineRule="auto"/>
      </w:pPr>
      <w:r>
        <w:rPr>
          <w:b/>
        </w:rPr>
        <w:t xml:space="preserve">Aplicación posible a San Gabriel. </w:t>
      </w:r>
      <w:r>
        <w:t>En San Gabriel: proponer un cambio preliminar compatible con la población y el problema delimitados; usar metas cuantificadas solo cuando se puedan justificar.</w:t>
      </w:r>
    </w:p>
    <w:p>
      <w:pPr>
        <w:spacing w:after="40" w:line="269" w:lineRule="auto" w:before="120"/>
      </w:pPr>
      <w:r>
        <w:rPr>
          <w:b/>
        </w:rPr>
        <w:t>03. BENEFICIOS</w:t>
      </w:r>
    </w:p>
    <w:p>
      <w:pPr>
        <w:spacing w:after="120" w:line="269" w:lineRule="auto"/>
      </w:pPr>
      <w:r>
        <w:rPr>
          <w:b/>
        </w:rPr>
        <w:t xml:space="preserve">Qué representa. </w:t>
      </w:r>
      <w:r>
        <w:t>Son las mejoras o ventajas que se espera obtener gracias al uso del producto del proyecto. Pueden ser sociales, organizacionales, económicos, ambientales, culturales u operativos. Responden a la pregunta sobre el valor generado: por qué importa contar con el producto una vez entregado. Un beneficio esperado no es un impacto ya demostrado y puede manifestarse después del cierre del proyecto.</w:t>
      </w:r>
    </w:p>
    <w:p>
      <w:pPr>
        <w:spacing w:after="120" w:line="269" w:lineRule="auto"/>
      </w:pPr>
      <w:r>
        <w:rPr>
          <w:b/>
        </w:rPr>
        <w:t xml:space="preserve">Cómo trabajarlo y con qué se conecta. </w:t>
      </w:r>
      <w:r>
        <w:t>Pregúntense: ¿qué mejora experimentarán las personas u organizaciones si utilizan el producto? Distingan tres planos: entregable (lo que se produce), resultado (lo que cambia con su uso) y beneficio (el valor de ese cambio).</w:t>
      </w:r>
    </w:p>
    <w:p>
      <w:pPr>
        <w:spacing w:after="120" w:line="269" w:lineRule="auto"/>
      </w:pPr>
      <w:r>
        <w:rPr>
          <w:b/>
        </w:rPr>
        <w:t xml:space="preserve">Aplicación posible a San Gabriel. </w:t>
      </w:r>
      <w:r>
        <w:t>En San Gabriel: describir beneficios potenciales para la población objetivo sin confundirlos con servicios prestados ni atribuir efectos causales a la encuesta sintética.</w:t>
      </w:r>
    </w:p>
    <w:p>
      <w:pPr>
        <w:pStyle w:val="Heading3"/>
        <w:keepNext/>
        <w:keepLines/>
        <w:spacing w:before="140" w:after="80"/>
      </w:pPr>
      <w:r>
        <w:rPr>
          <w:b/>
          <w:color w:val="15424E"/>
          <w:sz w:val="22"/>
        </w:rPr>
        <w:t>¿QUÉ?</w:t>
      </w:r>
    </w:p>
    <w:p>
      <w:pPr>
        <w:spacing w:after="40" w:line="269" w:lineRule="auto" w:before="120"/>
      </w:pPr>
      <w:r>
        <w:rPr>
          <w:b/>
        </w:rPr>
        <w:t>04. PRODUCTO</w:t>
      </w:r>
    </w:p>
    <w:p>
      <w:pPr>
        <w:spacing w:after="120" w:line="269" w:lineRule="auto"/>
      </w:pPr>
      <w:r>
        <w:rPr>
          <w:b/>
        </w:rPr>
        <w:t xml:space="preserve">Qué representa. </w:t>
      </w:r>
      <w:r>
        <w:t>Define el resultado principal que el proyecto se compromete a entregar: un bien, servicio, capacidad instalada, sistema, intervención implementada u otro resultado singular verificable. Es el objeto central del compromiso del proyecto. No equivale a enumerar todas las tareas necesarias para ejecutarlo; tampoco es necesariamente un producto comercial.</w:t>
      </w:r>
    </w:p>
    <w:p>
      <w:pPr>
        <w:spacing w:after="120" w:line="269" w:lineRule="auto"/>
      </w:pPr>
      <w:r>
        <w:rPr>
          <w:b/>
        </w:rPr>
        <w:t xml:space="preserve">Cómo trabajarlo y con qué se conecta. </w:t>
      </w:r>
      <w:r>
        <w:t>Pregúntense: ¿qué existirá o estará disponible al finalizar que antes no estaba?, ¿cómo podrá constatarse su entrega? El producto materializa el objetivo y debe ofrecer condiciones para generar los beneficios anunciados.</w:t>
      </w:r>
    </w:p>
    <w:p>
      <w:pPr>
        <w:spacing w:after="120" w:line="269" w:lineRule="auto"/>
      </w:pPr>
      <w:r>
        <w:rPr>
          <w:b/>
        </w:rPr>
        <w:t xml:space="preserve">Aplicación posible a San Gabriel. </w:t>
      </w:r>
      <w:r>
        <w:t>En San Gabriel: decidir qué solución concreta podría producir la consultora o la organización ejecutora para atender la necesidad priorizada.</w:t>
      </w:r>
    </w:p>
    <w:p>
      <w:pPr>
        <w:spacing w:after="40" w:line="269" w:lineRule="auto" w:before="120"/>
      </w:pPr>
      <w:r>
        <w:rPr>
          <w:b/>
        </w:rPr>
        <w:t>05. REQUISITOS</w:t>
      </w:r>
    </w:p>
    <w:p>
      <w:pPr>
        <w:spacing w:after="120" w:line="269" w:lineRule="auto"/>
      </w:pPr>
      <w:r>
        <w:rPr>
          <w:b/>
        </w:rPr>
        <w:t xml:space="preserve">Qué representa. </w:t>
      </w:r>
      <w:r>
        <w:t>Son condiciones que el producto debe satisfacer para ser aceptable, utilizable y pertinente. Pueden referirse a funcionalidad, calidad, cobertura, accesibilidad, seguridad, desempeño, enfoque diferencial, cumplimiento normativo o compatibilidad tecnológica. Un producto puede existir y, aun así, fracasar si incumple requisitos fundamentales de sus destinatarios.</w:t>
      </w:r>
    </w:p>
    <w:p>
      <w:pPr>
        <w:spacing w:after="120" w:line="269" w:lineRule="auto"/>
      </w:pPr>
      <w:r>
        <w:rPr>
          <w:b/>
        </w:rPr>
        <w:t xml:space="preserve">Cómo trabajarlo y con qué se conecta. </w:t>
      </w:r>
      <w:r>
        <w:t>Pregúntense: ¿qué debe poder hacer el producto?, ¿qué características mínimas debe tener y quién las validará? Diferencien requisitos del producto de las restricciones del proyecto: “acceso desde celular” puede ser requisito; “presupuesto máximo disponible” es restricción.</w:t>
      </w:r>
    </w:p>
    <w:p>
      <w:pPr>
        <w:spacing w:after="120" w:line="269" w:lineRule="auto"/>
      </w:pPr>
      <w:r>
        <w:rPr>
          <w:b/>
        </w:rPr>
        <w:t xml:space="preserve">Aplicación posible a San Gabriel. </w:t>
      </w:r>
      <w:r>
        <w:t>En San Gabriel: precisar condiciones de acceso y pertinencia territorial que debería cumplir el producto elegido, sin dar por resueltos problemas de conectividad o cobertura.</w:t>
      </w:r>
    </w:p>
    <w:p>
      <w:pPr>
        <w:pStyle w:val="Heading3"/>
        <w:keepNext/>
        <w:keepLines/>
        <w:spacing w:before="140" w:after="80"/>
      </w:pPr>
      <w:r>
        <w:rPr>
          <w:b/>
          <w:color w:val="15424E"/>
          <w:sz w:val="22"/>
        </w:rPr>
        <w:t>¿QUIÉN?</w:t>
      </w:r>
    </w:p>
    <w:p>
      <w:pPr>
        <w:spacing w:after="40" w:line="269" w:lineRule="auto" w:before="120"/>
      </w:pPr>
      <w:r>
        <w:rPr>
          <w:b/>
        </w:rPr>
        <w:t>06. ACTORES INTERESADOS</w:t>
      </w:r>
    </w:p>
    <w:p>
      <w:pPr>
        <w:spacing w:after="120" w:line="269" w:lineRule="auto"/>
      </w:pPr>
      <w:r>
        <w:rPr>
          <w:b/>
        </w:rPr>
        <w:t xml:space="preserve">Qué representa. </w:t>
      </w:r>
      <w:r>
        <w:t>Identifica personas, colectivos e instituciones que afectan el proyecto, se ven afectados por él, lo financian, autorizan, apoyan, utilizan o pueden condicionarlo. No todos son beneficiarios ni todos tienen el mismo interés o influencia. Es fundamental comprender sus expectativas, posibles tensiones, responsabilidades y relaciones con el resultado del proyecto.</w:t>
      </w:r>
    </w:p>
    <w:p>
      <w:pPr>
        <w:spacing w:after="120" w:line="269" w:lineRule="auto"/>
      </w:pPr>
      <w:r>
        <w:rPr>
          <w:b/>
        </w:rPr>
        <w:t xml:space="preserve">Cómo trabajarlo y con qué se conecta. </w:t>
      </w:r>
      <w:r>
        <w:t>Pregúntense: ¿quién demanda, usa, aprueba, financia, acompaña o podría oponerse al proyecto? Distingan destinatarios directos, patrocinadores, aliados y otros interesados. Este campo orienta requisitos, riesgos y formas de participación.</w:t>
      </w:r>
    </w:p>
    <w:p>
      <w:pPr>
        <w:spacing w:after="120" w:line="269" w:lineRule="auto"/>
      </w:pPr>
      <w:r>
        <w:rPr>
          <w:b/>
        </w:rPr>
        <w:t xml:space="preserve">Aplicación posible a San Gabriel. </w:t>
      </w:r>
      <w:r>
        <w:t>En San Gabriel: distinguir los jóvenes destinatarios de la intervención, la Alcaldía como entidad convocante y otros actores cuya participación o autorización sea relevante.</w:t>
      </w:r>
    </w:p>
    <w:p>
      <w:pPr>
        <w:spacing w:after="40" w:line="269" w:lineRule="auto" w:before="120"/>
      </w:pPr>
      <w:r>
        <w:rPr>
          <w:b/>
        </w:rPr>
        <w:t>07. EQUIPO</w:t>
      </w:r>
    </w:p>
    <w:p>
      <w:pPr>
        <w:spacing w:after="120" w:line="269" w:lineRule="auto"/>
      </w:pPr>
      <w:r>
        <w:rPr>
          <w:b/>
        </w:rPr>
        <w:t xml:space="preserve">Qué representa. </w:t>
      </w:r>
      <w:r>
        <w:t>Reúne las capacidades humanas y funciones profesionales necesarias para diseñar, coordinar y realizar el proyecto. Mientras los actores interesados describen el entorno relacional de la intervención, el equipo identifica quién asumirá el trabajo de implementación y con qué competencias. Puede incluir perfiles técnicos, comunitarios, financieros, operativos o de coordinación.</w:t>
      </w:r>
    </w:p>
    <w:p>
      <w:pPr>
        <w:spacing w:after="120" w:line="269" w:lineRule="auto"/>
      </w:pPr>
      <w:r>
        <w:rPr>
          <w:b/>
        </w:rPr>
        <w:t xml:space="preserve">Cómo trabajarlo y con qué se conecta. </w:t>
      </w:r>
      <w:r>
        <w:t>Pregúntense: ¿qué conocimientos, responsabilidades y capacidades demanda la ejecución? No equivale a repartir las tareas académicas entre los integrantes de la consultora. Debe guardar relación con los entregables, costos y cronograma.</w:t>
      </w:r>
    </w:p>
    <w:p>
      <w:pPr>
        <w:spacing w:after="120" w:line="269" w:lineRule="auto"/>
      </w:pPr>
      <w:r>
        <w:rPr>
          <w:b/>
        </w:rPr>
        <w:t xml:space="preserve">Aplicación posible a San Gabriel. </w:t>
      </w:r>
      <w:r>
        <w:t>En San Gabriel: reconocer perfiles requeridos para una eventual implementación de la propuesta, aun si todavía no se conoce quién los contratará.</w:t>
      </w:r>
    </w:p>
    <w:p>
      <w:pPr>
        <w:pStyle w:val="Heading3"/>
        <w:keepNext/>
        <w:keepLines/>
        <w:spacing w:before="140" w:after="80"/>
      </w:pPr>
      <w:r>
        <w:rPr>
          <w:b/>
          <w:color w:val="15424E"/>
          <w:sz w:val="22"/>
        </w:rPr>
        <w:t>¿CÓMO?</w:t>
      </w:r>
    </w:p>
    <w:p>
      <w:pPr>
        <w:spacing w:after="40" w:line="269" w:lineRule="auto" w:before="120"/>
      </w:pPr>
      <w:r>
        <w:rPr>
          <w:b/>
        </w:rPr>
        <w:t>08. PREMISAS / SUPUESTOS</w:t>
      </w:r>
    </w:p>
    <w:p>
      <w:pPr>
        <w:spacing w:after="120" w:line="269" w:lineRule="auto"/>
      </w:pPr>
      <w:r>
        <w:rPr>
          <w:b/>
        </w:rPr>
        <w:t xml:space="preserve">Qué representa. </w:t>
      </w:r>
      <w:r>
        <w:t>Son condiciones que se toman provisionalmente como ciertas para poder planificar, aunque todavía deban comprobarse. Constituyen hipótesis operativas sobre disponibilidad, participación, acceso, apoyos, demanda u otros factores. No deben camuflarse como datos verificados: cada premisa implica una dependencia que debe revisarse al avanzar el proyecto.</w:t>
      </w:r>
    </w:p>
    <w:p>
      <w:pPr>
        <w:spacing w:after="120" w:line="269" w:lineRule="auto"/>
      </w:pPr>
      <w:r>
        <w:rPr>
          <w:b/>
        </w:rPr>
        <w:t xml:space="preserve">Cómo trabajarlo y con qué se conecta. </w:t>
      </w:r>
      <w:r>
        <w:t>Pregúntense: ¿qué estamos dando por sentado para que este diseño tenga sentido y qué pasaría si no se cumple? Se conectan con los riesgos, porque una premisa no verificada puede convertirse en una fuente de incertidumbre.</w:t>
      </w:r>
    </w:p>
    <w:p>
      <w:pPr>
        <w:spacing w:after="120" w:line="269" w:lineRule="auto"/>
      </w:pPr>
      <w:r>
        <w:rPr>
          <w:b/>
        </w:rPr>
        <w:t xml:space="preserve">Aplicación posible a San Gabriel. </w:t>
      </w:r>
      <w:r>
        <w:t>En San Gabriel: explicitar, por ejemplo, condiciones de participación o disponibilidad de aliados que no hayan sido corroboradas.</w:t>
      </w:r>
    </w:p>
    <w:p>
      <w:pPr>
        <w:spacing w:after="40" w:line="269" w:lineRule="auto" w:before="120"/>
      </w:pPr>
      <w:r>
        <w:rPr>
          <w:b/>
        </w:rPr>
        <w:t>09. GRUPOS DE ENTREGABLES</w:t>
      </w:r>
    </w:p>
    <w:p>
      <w:pPr>
        <w:spacing w:after="120" w:line="269" w:lineRule="auto"/>
      </w:pPr>
      <w:r>
        <w:rPr>
          <w:b/>
        </w:rPr>
        <w:t xml:space="preserve">Qué representa. </w:t>
      </w:r>
      <w:r>
        <w:t>Descompone el producto final en conjuntos significativos de resultados intermedios que deben producirse para obtenerlo. No es una agenda de tareas pequeñas: agrupa piezas, módulos, servicios parciales, etapas de desarrollo o resultados verificables con una lógica técnica y de integración. Hace visible qué debe producirse y ofrece una base para desarrollar después una estructura de desglose del trabajo.</w:t>
      </w:r>
    </w:p>
    <w:p>
      <w:pPr>
        <w:spacing w:after="120" w:line="269" w:lineRule="auto"/>
      </w:pPr>
      <w:r>
        <w:rPr>
          <w:b/>
        </w:rPr>
        <w:t xml:space="preserve">Cómo trabajarlo y con qué se conecta. </w:t>
      </w:r>
      <w:r>
        <w:t>Pregúntense: ¿qué componentes deben quedar terminados para poder entregar el producto? Cada grupo de entregables debe conectar con requisitos del producto, equipo, tiempo y costos. Eviten nombrar como entregables acciones vagas como “coordinar” o “hacer reuniones”.</w:t>
      </w:r>
    </w:p>
    <w:p>
      <w:pPr>
        <w:spacing w:after="120" w:line="269" w:lineRule="auto"/>
      </w:pPr>
      <w:r>
        <w:rPr>
          <w:b/>
        </w:rPr>
        <w:t xml:space="preserve">Aplicación posible a San Gabriel. </w:t>
      </w:r>
      <w:r>
        <w:t>En San Gabriel: descomponer la intervención propuesta en resultados parciales concretos, sin adelantar todavía un cronograma exhaustivo.</w:t>
      </w:r>
    </w:p>
    <w:p>
      <w:pPr>
        <w:spacing w:after="40" w:line="269" w:lineRule="auto" w:before="120"/>
      </w:pPr>
      <w:r>
        <w:rPr>
          <w:b/>
        </w:rPr>
        <w:t>10. RESTRICCIONES</w:t>
      </w:r>
    </w:p>
    <w:p>
      <w:pPr>
        <w:spacing w:after="120" w:line="269" w:lineRule="auto"/>
      </w:pPr>
      <w:r>
        <w:rPr>
          <w:b/>
        </w:rPr>
        <w:t xml:space="preserve">Qué representa. </w:t>
      </w:r>
      <w:r>
        <w:t>Son límites y condiciones que acotan las decisiones disponibles: recursos máximos, plazos obligatorios, alcance geográfico, reglas institucionales, condiciones legales, capacidad técnica, infraestructura o compromisos ya fijados. A diferencia de los riesgos, las restricciones son condiciones conocidas o establecidas al planificar. Deben orientar desde el comienzo la viabilidad de la propuesta.</w:t>
      </w:r>
    </w:p>
    <w:p>
      <w:pPr>
        <w:spacing w:after="120" w:line="269" w:lineRule="auto"/>
      </w:pPr>
      <w:r>
        <w:rPr>
          <w:b/>
        </w:rPr>
        <w:t xml:space="preserve">Cómo trabajarlo y con qué se conecta. </w:t>
      </w:r>
      <w:r>
        <w:t>Pregúntense: ¿qué no puede excederse, cambiarse o ignorarse? No confundan una restricción de presupuesto con el costo calculado: una es un límite; el otro es una estimación de recursos necesarios.</w:t>
      </w:r>
    </w:p>
    <w:p>
      <w:pPr>
        <w:spacing w:after="120" w:line="269" w:lineRule="auto"/>
      </w:pPr>
      <w:r>
        <w:rPr>
          <w:b/>
        </w:rPr>
        <w:t xml:space="preserve">Aplicación posible a San Gabriel. </w:t>
      </w:r>
      <w:r>
        <w:t>En San Gabriel: identificar los límites expresos en la solicitud de la Alcaldía y separar de ellos las restricciones que el grupo solo está suponiendo.</w:t>
      </w:r>
    </w:p>
    <w:p>
      <w:pPr>
        <w:pStyle w:val="Heading3"/>
        <w:keepNext/>
        <w:keepLines/>
        <w:spacing w:before="140" w:after="80"/>
      </w:pPr>
      <w:r>
        <w:rPr>
          <w:b/>
          <w:color w:val="15424E"/>
          <w:sz w:val="22"/>
        </w:rPr>
        <w:t>¿CUÁNDO Y CUÁNTO?</w:t>
      </w:r>
    </w:p>
    <w:p>
      <w:pPr>
        <w:spacing w:after="40" w:line="269" w:lineRule="auto" w:before="120"/>
      </w:pPr>
      <w:r>
        <w:rPr>
          <w:b/>
        </w:rPr>
        <w:t>11. RIESGOS</w:t>
      </w:r>
    </w:p>
    <w:p>
      <w:pPr>
        <w:spacing w:after="120" w:line="269" w:lineRule="auto"/>
      </w:pPr>
      <w:r>
        <w:rPr>
          <w:b/>
        </w:rPr>
        <w:t xml:space="preserve">Qué representa. </w:t>
      </w:r>
      <w:r>
        <w:t>Son eventos o condiciones futuras inciertas que, si ocurren, pueden afectar los objetivos, requisitos, recursos, calidad o plazo. Una descripción útil señala qué podría suceder, por qué, cuál sería su consecuencia y qué señales o respuestas iniciales podrían contemplarse. No es una lista genérica de preocupaciones ni una repetición de restricciones ya conocidas.</w:t>
      </w:r>
    </w:p>
    <w:p>
      <w:pPr>
        <w:spacing w:after="120" w:line="269" w:lineRule="auto"/>
      </w:pPr>
      <w:r>
        <w:rPr>
          <w:b/>
        </w:rPr>
        <w:t xml:space="preserve">Cómo trabajarlo y con qué se conecta. </w:t>
      </w:r>
      <w:r>
        <w:t>Pregúntense: ¿qué incertidumbre amenaza o puede favorecer el proyecto y qué efecto tendría? Relacionen cada riesgo con premisas, actores, entregables, requisitos o costos para evitar una casilla aislada.</w:t>
      </w:r>
    </w:p>
    <w:p>
      <w:pPr>
        <w:spacing w:after="120" w:line="269" w:lineRule="auto"/>
      </w:pPr>
      <w:r>
        <w:rPr>
          <w:b/>
        </w:rPr>
        <w:t xml:space="preserve">Aplicación posible a San Gabriel. </w:t>
      </w:r>
      <w:r>
        <w:t>En San Gabriel: considerar incertidumbres vinculadas con acceso a la población, participación o capacidades de ejecución, sin convertirlas automáticamente en hechos.</w:t>
      </w:r>
    </w:p>
    <w:p>
      <w:pPr>
        <w:spacing w:after="40" w:line="269" w:lineRule="auto" w:before="120"/>
      </w:pPr>
      <w:r>
        <w:rPr>
          <w:b/>
        </w:rPr>
        <w:t>12. LÍNEA DE TIEMPO</w:t>
      </w:r>
    </w:p>
    <w:p>
      <w:pPr>
        <w:spacing w:after="120" w:line="269" w:lineRule="auto"/>
      </w:pPr>
      <w:r>
        <w:rPr>
          <w:b/>
        </w:rPr>
        <w:t xml:space="preserve">Qué representa. </w:t>
      </w:r>
      <w:r>
        <w:t>Presenta la lógica temporal del proyecto mediante hitos, etapas y dependencias principales. Su propósito es mostrar cómo se organizará la ejecución y cuándo deben estar disponibles los entregables relevantes; todavía no necesita contener cada tarea ni reproducir un cronograma de gestión exhaustivo. El orden debe obedecer a la dependencia real entre actividades y productos.</w:t>
      </w:r>
    </w:p>
    <w:p>
      <w:pPr>
        <w:spacing w:after="120" w:line="269" w:lineRule="auto"/>
      </w:pPr>
      <w:r>
        <w:rPr>
          <w:b/>
        </w:rPr>
        <w:t xml:space="preserve">Cómo trabajarlo y con qué se conecta. </w:t>
      </w:r>
      <w:r>
        <w:t>Pregúntense: ¿qué debe ocurrir primero?, ¿qué entregable habilita otro?, ¿qué hitos permitirán verificar avances? Distínganla del calendario académico de elaboración del Canvas.</w:t>
      </w:r>
    </w:p>
    <w:p>
      <w:pPr>
        <w:spacing w:after="120" w:line="269" w:lineRule="auto"/>
      </w:pPr>
      <w:r>
        <w:rPr>
          <w:b/>
        </w:rPr>
        <w:t xml:space="preserve">Aplicación posible a San Gabriel. </w:t>
      </w:r>
      <w:r>
        <w:t>En San Gabriel: proponer una secuencia razonada de implementación del proyecto, distinta del plazo de entrega del taller.</w:t>
      </w:r>
    </w:p>
    <w:p>
      <w:pPr>
        <w:spacing w:after="40" w:line="269" w:lineRule="auto" w:before="120"/>
      </w:pPr>
      <w:r>
        <w:rPr>
          <w:b/>
        </w:rPr>
        <w:t>13. COSTOS</w:t>
      </w:r>
    </w:p>
    <w:p>
      <w:pPr>
        <w:spacing w:after="120" w:line="269" w:lineRule="auto"/>
      </w:pPr>
      <w:r>
        <w:rPr>
          <w:b/>
        </w:rPr>
        <w:t xml:space="preserve">Qué representa. </w:t>
      </w:r>
      <w:r>
        <w:t>Reúne una estimación preliminar de los recursos monetarios necesarios para obtener los entregables y ejecutar el proyecto, incluyendo recursos humanos, materiales, tecnológicos, logísticos, operativos y otros pertinentes. No equivale a fijar arbitrariamente un presupuesto: los costos deben derivarse del alcance, los requisitos, el equipo, la secuencia de trabajo y los supuestos disponibles.</w:t>
      </w:r>
    </w:p>
    <w:p>
      <w:pPr>
        <w:spacing w:after="120" w:line="269" w:lineRule="auto"/>
      </w:pPr>
      <w:r>
        <w:rPr>
          <w:b/>
        </w:rPr>
        <w:t xml:space="preserve">Cómo trabajarlo y con qué se conecta. </w:t>
      </w:r>
      <w:r>
        <w:t>Pregúntense: ¿qué recursos demandará cada componente?, ¿qué cantidades y precios deben investigarse? Cuando no sea posible justificar una cifra, registren rubros o rangos por verificar, sin fabricar montos para llenar la casilla.</w:t>
      </w:r>
    </w:p>
    <w:p>
      <w:pPr>
        <w:spacing w:after="120" w:line="269" w:lineRule="auto"/>
      </w:pPr>
      <w:r>
        <w:rPr>
          <w:b/>
        </w:rPr>
        <w:t xml:space="preserve">Aplicación posible a San Gabriel. </w:t>
      </w:r>
      <w:r>
        <w:t>En San Gabriel: identificar rubros plausibles de la intervención elegida, diferenciando estimaciones sustentadas de necesidades de cotización o cálculo posterior.</w:t>
      </w:r>
    </w:p>
    <w:p>
      <w:pPr>
        <w:pStyle w:val="Heading3"/>
        <w:keepNext/>
        <w:keepLines/>
        <w:spacing w:before="140" w:after="80"/>
      </w:pPr>
      <w:r>
        <w:rPr>
          <w:b/>
          <w:color w:val="15424E"/>
          <w:sz w:val="22"/>
        </w:rPr>
        <w:t>6.1. Las casillas se relacionan: ejemplo de lectura transversal</w:t>
      </w:r>
    </w:p>
    <w:p>
      <w:pPr>
        <w:spacing w:after="120" w:line="269" w:lineRule="auto"/>
      </w:pPr>
      <w:r>
        <w:t>Supongamos un proyecto de modernización del acceso a información en una biblioteca universitaria: la justificación podría surgir de dificultades de búsqueda; el objetivo se referiría a mejorar el acceso verificablemente; el producto podría ser un servicio digital de consulta; los requisitos especificarían accesibilidad y disponibilidad; el equipo reuniría capacidades documentales y tecnológicas; los entregables comprenderían catálogo, interfaz y piloto; riesgos, tiempo y costos derivarían de esas elecciones. Este ejemplo muestra que el Canvas no está atado a un sector y que cada campo cumple una función distinta.</w:t>
      </w:r>
    </w:p>
    <w:p>
      <w:pPr>
        <w:spacing w:after="120" w:line="269" w:lineRule="auto"/>
      </w:pPr>
      <w:r>
        <w:t>Comprobación final del significado de los campos: si cambian el producto, deben revisarse requisitos, entregables y costos; si cambia la población destinataria, podrían variar justificación, beneficios, actores y restricciones; si aparece un riesgo relevante, puede ser necesario corregir premisas, tiempos o alcance. Esta dinámica de revisión es precisamente la utilidad de tener el conjunto en un mismo lienzo.</w:t>
      </w:r>
    </w:p>
    <w:p>
      <w:pPr>
        <w:spacing w:after="120" w:line="269" w:lineRule="auto"/>
      </w:pPr>
      <w:r>
        <w:t>Referencias para ampliar: Finocchio Junior, J. (2013). Project Model Canvas: Gerenciamento de Projetos sem Burocracia. Elsevier/Campus. Plantilla del modelo: https://pmcanvas.com.br/sitewp/wp-content/uploads/2017/05/ProjectModelCanvasA1.pdf. Entrevista al autor sobre el origen del PMC: https://papogp.com/2014/02/project-canvas-finocchio/.</w:t>
      </w:r>
    </w:p>
    <w:p>
      <w:pPr>
        <w:pStyle w:val="Heading1"/>
      </w:pPr>
      <w:r>
        <w:t>7. Revisar el Canvas como un sistema, no casilla por casilla</w:t>
      </w:r>
    </w:p>
    <w:p>
      <w:r>
        <w:t>La primera revisión de un Canvas completo debe concentrarse en las conexiones. Utilicen estas preguntas antes de darlo por cerrado:</w:t>
      </w:r>
    </w:p>
    <w:p>
      <w:pPr>
        <w:pStyle w:val="ListBullet"/>
      </w:pPr>
      <w:r>
        <w:t>¿La justificación identifica un problema sustentado en la evidencia disponible, reconociendo que la encuesta es sintética?</w:t>
      </w:r>
    </w:p>
    <w:p>
      <w:pPr>
        <w:pStyle w:val="ListBullet"/>
      </w:pPr>
      <w:r>
        <w:t>¿El objetivo responde al problema y los beneficios expresan un cambio, en vez de repetir el producto?</w:t>
      </w:r>
    </w:p>
    <w:p>
      <w:pPr>
        <w:pStyle w:val="ListBullet"/>
      </w:pPr>
      <w:r>
        <w:t>¿Los requisitos describen condiciones necesarias para que el producto sea útil a los beneficiarios?</w:t>
      </w:r>
    </w:p>
    <w:p>
      <w:pPr>
        <w:pStyle w:val="ListBullet"/>
      </w:pPr>
      <w:r>
        <w:t>¿Los actores, entregables, premisas y restricciones hacen viable o al menos comprensible la propuesta?</w:t>
      </w:r>
    </w:p>
    <w:p>
      <w:pPr>
        <w:pStyle w:val="ListBullet"/>
      </w:pPr>
      <w:r>
        <w:t>¿Los riesgos, la línea de tiempo y los costos muestran supuestos y vacíos, en lugar de datos fabricados?</w:t>
      </w:r>
    </w:p>
    <w:p>
      <w:pPr>
        <w:pStyle w:val="ListBullet"/>
      </w:pPr>
      <w:r>
        <w:t>¿Las diferencias territoriales relevantes del diagnóstico aparecen reflejadas en la intervención?</w:t>
      </w:r>
    </w:p>
    <w:p>
      <w:pPr>
        <w:pStyle w:val="Heading1"/>
      </w:pPr>
      <w:r>
        <w:t>8. Representar y documentar el flujo híbrido</w:t>
      </w:r>
    </w:p>
    <w:p>
      <w:r>
        <w:t>Una vez completada la versión revisada del Canvas, representen en un diagrama breve cómo trabajaron. No se solicita un programa que ejecute agentes autónomos. Debe ser posible reconocer las entradas, ambas funciones especializadas, las herramientas efectivamente usadas, dos momentos de revisión grupal y el producto final.</w:t>
      </w:r>
    </w:p>
    <w:tbl>
      <w:tblPr>
        <w:tblStyle w:val="TableGrid"/>
        <w:tblW w:type="auto" w:w="0"/>
        <w:jc w:val="center"/>
        <w:tblLook w:firstColumn="1" w:firstRow="1" w:lastColumn="0" w:lastRow="0" w:noHBand="0" w:noVBand="1" w:val="04A0"/>
      </w:tblPr>
      <w:tblGrid>
        <w:gridCol w:w="4873"/>
        <w:gridCol w:w="4873"/>
      </w:tblGrid>
      <w:tr>
        <w:trPr>
          <w:tblHeader/>
        </w:trPr>
        <w:tc>
          <w:tcPr>
            <w:tcW w:type="dxa" w:w="4873"/>
            <w:shd w:fill="EAF3F3"/>
            <w:vAlign w:val="center"/>
          </w:tcPr>
          <w:p>
            <w:pPr>
              <w:spacing w:after="40" w:line="250" w:lineRule="auto"/>
            </w:pPr>
            <w:r/>
            <w:r>
              <w:rPr>
                <w:b/>
                <w:sz w:val="18"/>
              </w:rPr>
              <w:t>Operación</w:t>
            </w:r>
          </w:p>
        </w:tc>
        <w:tc>
          <w:tcPr>
            <w:tcW w:type="dxa" w:w="4873"/>
            <w:shd w:fill="EAF3F3"/>
            <w:vAlign w:val="center"/>
          </w:tcPr>
          <w:p>
            <w:pPr>
              <w:spacing w:after="40" w:line="250" w:lineRule="auto"/>
            </w:pPr>
            <w:r/>
            <w:r>
              <w:rPr>
                <w:b/>
                <w:sz w:val="18"/>
              </w:rPr>
              <w:t>Resultado que pasa a la siguiente</w:t>
            </w:r>
          </w:p>
        </w:tc>
      </w:tr>
      <w:tr>
        <w:tc>
          <w:tcPr>
            <w:tcW w:type="dxa" w:w="4873"/>
            <w:shd w:fill="F6F5F0"/>
            <w:vAlign w:val="center"/>
          </w:tcPr>
          <w:p>
            <w:pPr>
              <w:spacing w:after="40" w:line="250" w:lineRule="auto"/>
            </w:pPr>
            <w:r/>
            <w:r>
              <w:rPr>
                <w:b/>
                <w:sz w:val="18"/>
              </w:rPr>
              <w:t>Selección de insumos por el grupo</w:t>
            </w:r>
          </w:p>
        </w:tc>
        <w:tc>
          <w:tcPr>
            <w:tcW w:type="dxa" w:w="4873"/>
            <w:shd w:fill="F6F5F0"/>
            <w:vAlign w:val="center"/>
          </w:tcPr>
          <w:p>
            <w:pPr>
              <w:spacing w:after="40" w:line="250" w:lineRule="auto"/>
            </w:pPr>
            <w:r/>
            <w:r>
              <w:rPr>
                <w:b w:val="0"/>
                <w:sz w:val="18"/>
              </w:rPr>
              <w:t>Informe descriptivo y fuentes identificadas.</w:t>
            </w:r>
          </w:p>
        </w:tc>
      </w:tr>
      <w:tr>
        <w:tc>
          <w:tcPr>
            <w:tcW w:type="dxa" w:w="4873"/>
            <w:vAlign w:val="center"/>
          </w:tcPr>
          <w:p>
            <w:pPr>
              <w:spacing w:after="40" w:line="250" w:lineRule="auto"/>
            </w:pPr>
            <w:r/>
            <w:r>
              <w:rPr>
                <w:b/>
                <w:sz w:val="18"/>
              </w:rPr>
              <w:t>Asistente de diagnóstico</w:t>
            </w:r>
          </w:p>
        </w:tc>
        <w:tc>
          <w:tcPr>
            <w:tcW w:type="dxa" w:w="4873"/>
            <w:vAlign w:val="center"/>
          </w:tcPr>
          <w:p>
            <w:pPr>
              <w:spacing w:after="40" w:line="250" w:lineRule="auto"/>
            </w:pPr>
            <w:r/>
            <w:r>
              <w:rPr>
                <w:b w:val="0"/>
                <w:sz w:val="18"/>
              </w:rPr>
              <w:t>Diagnóstico estructurado y afirmaciones trazables.</w:t>
            </w:r>
          </w:p>
        </w:tc>
      </w:tr>
      <w:tr>
        <w:tc>
          <w:tcPr>
            <w:tcW w:type="dxa" w:w="4873"/>
            <w:shd w:fill="F6F5F0"/>
            <w:vAlign w:val="center"/>
          </w:tcPr>
          <w:p>
            <w:pPr>
              <w:spacing w:after="40" w:line="250" w:lineRule="auto"/>
            </w:pPr>
            <w:r/>
            <w:r>
              <w:rPr>
                <w:b/>
                <w:sz w:val="18"/>
              </w:rPr>
              <w:t>Verificación grupal</w:t>
            </w:r>
          </w:p>
        </w:tc>
        <w:tc>
          <w:tcPr>
            <w:tcW w:type="dxa" w:w="4873"/>
            <w:shd w:fill="F6F5F0"/>
            <w:vAlign w:val="center"/>
          </w:tcPr>
          <w:p>
            <w:pPr>
              <w:spacing w:after="40" w:line="250" w:lineRule="auto"/>
            </w:pPr>
            <w:r/>
            <w:r>
              <w:rPr>
                <w:b w:val="0"/>
                <w:sz w:val="18"/>
              </w:rPr>
              <w:t>Diagnóstico revisado y autorizado.</w:t>
            </w:r>
          </w:p>
        </w:tc>
      </w:tr>
      <w:tr>
        <w:tc>
          <w:tcPr>
            <w:tcW w:type="dxa" w:w="4873"/>
            <w:vAlign w:val="center"/>
          </w:tcPr>
          <w:p>
            <w:pPr>
              <w:spacing w:after="40" w:line="250" w:lineRule="auto"/>
            </w:pPr>
            <w:r/>
            <w:r>
              <w:rPr>
                <w:b/>
                <w:sz w:val="18"/>
              </w:rPr>
              <w:t>Asistente de formulación</w:t>
            </w:r>
          </w:p>
        </w:tc>
        <w:tc>
          <w:tcPr>
            <w:tcW w:type="dxa" w:w="4873"/>
            <w:vAlign w:val="center"/>
          </w:tcPr>
          <w:p>
            <w:pPr>
              <w:spacing w:after="40" w:line="250" w:lineRule="auto"/>
            </w:pPr>
            <w:r/>
            <w:r>
              <w:rPr>
                <w:b w:val="0"/>
                <w:sz w:val="18"/>
              </w:rPr>
              <w:t>Propuesta preliminar organizada por campos.</w:t>
            </w:r>
          </w:p>
        </w:tc>
      </w:tr>
      <w:tr>
        <w:tc>
          <w:tcPr>
            <w:tcW w:type="dxa" w:w="4873"/>
            <w:shd w:fill="F6F5F0"/>
            <w:vAlign w:val="center"/>
          </w:tcPr>
          <w:p>
            <w:pPr>
              <w:spacing w:after="40" w:line="250" w:lineRule="auto"/>
            </w:pPr>
            <w:r/>
            <w:r>
              <w:rPr>
                <w:b/>
                <w:sz w:val="18"/>
              </w:rPr>
              <w:t>Integración gráfica y revisión final del grupo</w:t>
            </w:r>
          </w:p>
        </w:tc>
        <w:tc>
          <w:tcPr>
            <w:tcW w:type="dxa" w:w="4873"/>
            <w:shd w:fill="F6F5F0"/>
            <w:vAlign w:val="center"/>
          </w:tcPr>
          <w:p>
            <w:pPr>
              <w:spacing w:after="40" w:line="250" w:lineRule="auto"/>
            </w:pPr>
            <w:r/>
            <w:r>
              <w:rPr>
                <w:b w:val="0"/>
                <w:sz w:val="18"/>
              </w:rPr>
              <w:t>Project Model Canvas 1.0.</w:t>
            </w:r>
          </w:p>
        </w:tc>
      </w:tr>
    </w:tbl>
    <w:p>
      <w:pPr>
        <w:spacing w:after="0"/>
      </w:pPr>
    </w:p>
    <w:p>
      <w:r>
        <w:t>La configuración de cada asistente puede documentarse con su instrucción inicial completa, sus fuentes y una nota corta sobre el ajuste más relevante realizado. No es necesario transcribir conversaciones enteras ni elaborar un informe adicional por asistente.</w:t>
      </w:r>
    </w:p>
    <w:p>
      <w:pPr>
        <w:pStyle w:val="Heading1"/>
      </w:pPr>
      <w:r>
        <w:t>9. Comprobación de la entrega</w:t>
      </w:r>
    </w:p>
    <w:p>
      <w:pPr>
        <w:pStyle w:val="ListBullet"/>
      </w:pPr>
      <w:r>
        <w:t>Project Model Canvas 1.0 en formato editable y de consulta, con los trece campos conservados.</w:t>
      </w:r>
    </w:p>
    <w:p>
      <w:pPr>
        <w:pStyle w:val="ListBullet"/>
      </w:pPr>
      <w:r>
        <w:t>Configuraciones empleadas para los asistentes de diagnóstico y formulación.</w:t>
      </w:r>
    </w:p>
    <w:p>
      <w:pPr>
        <w:pStyle w:val="ListBullet"/>
      </w:pPr>
      <w:r>
        <w:t>Diagrama breve del flujo híbrido, con herramientas, transferencias y validaciones humanas.</w:t>
      </w:r>
    </w:p>
    <w:p>
      <w:pPr>
        <w:pStyle w:val="ListBullet"/>
      </w:pPr>
      <w:r>
        <w:t>Coherencia con la comunicación SG-05 y con los insumos elaborados previamente.</w:t>
      </w:r>
    </w:p>
    <w:p>
      <w:r>
        <w:t>La entrega conjunta de las partes A y B está prevista para el 13 de octubre de 2026. La revisión y retroalimentación docente del proceso acumulado se socializará el 15 de octubre.</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81"/>
        <w:sz w:val="16"/>
      </w:rPr>
      <w:t>HD-04  •  Asistentes y Project Model Canvas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87D83"/>
        <w:sz w:val="16"/>
      </w:rPr>
      <w:t>HERRAMIENTAS DIGITALES  /  MATERIAL PEDAGÓGICO  /  HD-04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434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D51"/>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D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D5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HD-04. Del diagnóstico al Project Model Canvas</dc:title>
  <dc:subject>Material pedagógico Herramientas Digitales</dc:subject>
  <dc:creator>Equipo docente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