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t>FICHA PEDAGÓGICA 05  ·  HERRAMIENTAS DIGITALES</w:t>
      </w:r>
    </w:p>
    <w:p>
      <w:pPr>
        <w:pStyle w:val="Title"/>
        <w:widowControl/>
      </w:pPr>
      <w:r>
        <w:t>Ecosistema de plataformas para construir asistentes, agentes y flujos de trabajo</w:t>
      </w:r>
    </w:p>
    <w:p>
      <w:pPr>
        <w:widowControl/>
      </w:pPr>
      <w:r>
        <w:t>Guía comparativa y de exploración tecnológica · Versión de consulta: 1 de octubre de 2026</w:t>
      </w:r>
    </w:p>
    <w:p>
      <w:pPr>
        <w:widowControl/>
      </w:pPr>
      <w:r>
        <w:rPr>
          <w:b/>
        </w:rPr>
        <w:t xml:space="preserve">Propósito. </w:t>
      </w:r>
      <w:r>
        <w:t>Conocer diferentes familias de soluciones, comprender qué tipo de problemas resuelve cada una y adquirir criterios para elegir una herramienta sin confundir una conversación asistida, una automatización y un agente con capacidad de ejecutar acciones.</w:t>
      </w:r>
    </w:p>
    <w:p>
      <w:pPr>
        <w:widowControl/>
      </w:pPr>
      <w:r>
        <w:rPr>
          <w:b/>
        </w:rPr>
        <w:t xml:space="preserve">Cómo utilizar esta ficha. </w:t>
      </w:r>
      <w:r>
        <w:t>No es necesario abrir cuentas en todas las plataformas. Lea primero los criterios de selección (sección 2), después consulte las opciones pertinentes a su experiencia (secciones 3 a 6). El recorrido de exploración de la sección 7 es opcional y no constituye una entrega adicional del taller San Gabriel.</w:t>
      </w:r>
    </w:p>
    <w:p>
      <w:pPr>
        <w:pStyle w:val="Heading1"/>
        <w:widowControl/>
      </w:pPr>
      <w:r>
        <w:t>1. Antes de elegir una marca: ¿qué se pretende construir?</w:t>
      </w:r>
    </w:p>
    <w:p>
      <w:pPr>
        <w:widowControl/>
      </w:pPr>
      <w:r>
        <w:t>Una misma necesidad puede resolverse de varias maneras. La elección empieza por precisar el resultado esperado, la información de entrada, los permisos necesarios y el grado de intervención humana. Una interfaz con IA no se transforma en “agente autónomo” simplemente por recibir instrucciones extensas.</w:t>
      </w:r>
    </w:p>
    <w:tbl>
      <w:tblPr>
        <w:tblStyle w:val="TableGrid"/>
        <w:tblW w:type="auto" w:w="0"/>
        <w:jc w:val="center"/>
        <w:tblLayout w:type="autofit"/>
        <w:tblLook w:firstColumn="1" w:firstRow="1" w:lastColumn="0" w:lastRow="0" w:noHBand="0" w:noVBand="1" w:val="04A0"/>
      </w:tblPr>
      <w:tblGrid>
        <w:gridCol w:w="3220"/>
        <w:gridCol w:w="3220"/>
        <w:gridCol w:w="3220"/>
      </w:tblGrid>
      <w:tr>
        <w:trPr>
          <w:cantSplit/>
          <w:tblHeader w:val="true"/>
        </w:trPr>
        <w:tc>
          <w:tcPr>
            <w:tcW w:type="dxa" w:w="3220"/>
            <w:shd w:fill="E8F0F1"/>
          </w:tcPr>
          <w:p>
            <w:r>
              <w:rPr>
                <w:b/>
                <w:sz w:val="18"/>
              </w:rPr>
              <w:t>Solución</w:t>
            </w:r>
          </w:p>
        </w:tc>
        <w:tc>
          <w:tcPr>
            <w:tcW w:type="dxa" w:w="3220"/>
            <w:shd w:fill="E8F0F1"/>
          </w:tcPr>
          <w:p>
            <w:r>
              <w:rPr>
                <w:b/>
                <w:sz w:val="18"/>
              </w:rPr>
              <w:t>Qué controla principalmente</w:t>
            </w:r>
          </w:p>
        </w:tc>
        <w:tc>
          <w:tcPr>
            <w:tcW w:type="dxa" w:w="3220"/>
            <w:shd w:fill="E8F0F1"/>
          </w:tcPr>
          <w:p>
            <w:r>
              <w:rPr>
                <w:b/>
                <w:sz w:val="18"/>
              </w:rPr>
              <w:t>Un uso pertinente</w:t>
            </w:r>
          </w:p>
        </w:tc>
      </w:tr>
      <w:tr>
        <w:trPr>
          <w:cantSplit/>
        </w:trPr>
        <w:tc>
          <w:tcPr>
            <w:tcW w:type="dxa" w:w="3220"/>
            <w:vAlign w:val="center"/>
          </w:tcPr>
          <w:p>
            <w:pPr>
              <w:spacing w:after="40" w:line="247" w:lineRule="auto"/>
            </w:pPr>
            <w:r>
              <w:rPr>
                <w:sz w:val="17"/>
              </w:rPr>
              <w:t>Chat conversacional</w:t>
            </w:r>
          </w:p>
        </w:tc>
        <w:tc>
          <w:tcPr>
            <w:tcW w:type="dxa" w:w="3220"/>
            <w:vAlign w:val="center"/>
          </w:tcPr>
          <w:p>
            <w:pPr>
              <w:spacing w:after="40" w:line="247" w:lineRule="auto"/>
            </w:pPr>
            <w:r>
              <w:rPr>
                <w:sz w:val="17"/>
              </w:rPr>
              <w:t>La persona formula preguntas y decide cada siguiente paso.</w:t>
            </w:r>
          </w:p>
        </w:tc>
        <w:tc>
          <w:tcPr>
            <w:tcW w:type="dxa" w:w="3220"/>
            <w:vAlign w:val="center"/>
          </w:tcPr>
          <w:p>
            <w:pPr>
              <w:spacing w:after="40" w:line="247" w:lineRule="auto"/>
            </w:pPr>
            <w:r>
              <w:rPr>
                <w:sz w:val="17"/>
              </w:rPr>
              <w:t>Interpretar una tabla o comparar explicaciones.</w:t>
            </w:r>
          </w:p>
        </w:tc>
      </w:tr>
      <w:tr>
        <w:trPr>
          <w:cantSplit/>
        </w:trPr>
        <w:tc>
          <w:tcPr>
            <w:tcW w:type="dxa" w:w="3220"/>
            <w:vAlign w:val="center"/>
          </w:tcPr>
          <w:p>
            <w:pPr>
              <w:spacing w:after="40" w:line="247" w:lineRule="auto"/>
            </w:pPr>
            <w:r>
              <w:rPr>
                <w:sz w:val="17"/>
              </w:rPr>
              <w:t>Asistente especializado</w:t>
            </w:r>
          </w:p>
        </w:tc>
        <w:tc>
          <w:tcPr>
            <w:tcW w:type="dxa" w:w="3220"/>
            <w:vAlign w:val="center"/>
          </w:tcPr>
          <w:p>
            <w:pPr>
              <w:spacing w:after="40" w:line="247" w:lineRule="auto"/>
            </w:pPr>
            <w:r>
              <w:rPr>
                <w:sz w:val="17"/>
              </w:rPr>
              <w:t>Instrucciones estables delimitan una función, insumos, reglas y formato.</w:t>
            </w:r>
          </w:p>
        </w:tc>
        <w:tc>
          <w:tcPr>
            <w:tcW w:type="dxa" w:w="3220"/>
            <w:vAlign w:val="center"/>
          </w:tcPr>
          <w:p>
            <w:pPr>
              <w:spacing w:after="40" w:line="247" w:lineRule="auto"/>
            </w:pPr>
            <w:r>
              <w:rPr>
                <w:sz w:val="17"/>
              </w:rPr>
              <w:t>Revisar consistencia de un diagnóstico según criterios.</w:t>
            </w:r>
          </w:p>
        </w:tc>
      </w:tr>
      <w:tr>
        <w:trPr>
          <w:cantSplit/>
        </w:trPr>
        <w:tc>
          <w:tcPr>
            <w:tcW w:type="dxa" w:w="3220"/>
            <w:vAlign w:val="center"/>
          </w:tcPr>
          <w:p>
            <w:pPr>
              <w:spacing w:after="40" w:line="247" w:lineRule="auto"/>
            </w:pPr>
            <w:r>
              <w:rPr>
                <w:sz w:val="17"/>
              </w:rPr>
              <w:t>Flujo automatizado</w:t>
            </w:r>
          </w:p>
        </w:tc>
        <w:tc>
          <w:tcPr>
            <w:tcW w:type="dxa" w:w="3220"/>
            <w:vAlign w:val="center"/>
          </w:tcPr>
          <w:p>
            <w:pPr>
              <w:spacing w:after="40" w:line="247" w:lineRule="auto"/>
            </w:pPr>
            <w:r>
              <w:rPr>
                <w:sz w:val="17"/>
              </w:rPr>
              <w:t>Etapas y conexiones predefinidas desencadenan acciones.</w:t>
            </w:r>
          </w:p>
        </w:tc>
        <w:tc>
          <w:tcPr>
            <w:tcW w:type="dxa" w:w="3220"/>
            <w:vAlign w:val="center"/>
          </w:tcPr>
          <w:p>
            <w:pPr>
              <w:spacing w:after="40" w:line="247" w:lineRule="auto"/>
            </w:pPr>
            <w:r>
              <w:rPr>
                <w:sz w:val="17"/>
              </w:rPr>
              <w:t>Registrar respuestas de un formulario y avisar de un nuevo archivo.</w:t>
            </w:r>
          </w:p>
        </w:tc>
      </w:tr>
      <w:tr>
        <w:trPr>
          <w:cantSplit/>
        </w:trPr>
        <w:tc>
          <w:tcPr>
            <w:tcW w:type="dxa" w:w="3220"/>
            <w:vAlign w:val="center"/>
          </w:tcPr>
          <w:p>
            <w:pPr>
              <w:spacing w:after="40" w:line="247" w:lineRule="auto"/>
            </w:pPr>
            <w:r>
              <w:rPr>
                <w:sz w:val="17"/>
              </w:rPr>
              <w:t>Flujo híbrido</w:t>
            </w:r>
          </w:p>
        </w:tc>
        <w:tc>
          <w:tcPr>
            <w:tcW w:type="dxa" w:w="3220"/>
            <w:vAlign w:val="center"/>
          </w:tcPr>
          <w:p>
            <w:pPr>
              <w:spacing w:after="40" w:line="247" w:lineRule="auto"/>
            </w:pPr>
            <w:r>
              <w:rPr>
                <w:sz w:val="17"/>
              </w:rPr>
              <w:t>Alterna tareas humanas, asistentes y aplicaciones, con puntos de aprobación.</w:t>
            </w:r>
          </w:p>
        </w:tc>
        <w:tc>
          <w:tcPr>
            <w:tcW w:type="dxa" w:w="3220"/>
            <w:vAlign w:val="center"/>
          </w:tcPr>
          <w:p>
            <w:pPr>
              <w:spacing w:after="40" w:line="247" w:lineRule="auto"/>
            </w:pPr>
            <w:r>
              <w:rPr>
                <w:sz w:val="17"/>
              </w:rPr>
              <w:t>Validar el diagnóstico antes de formular una intervención.</w:t>
            </w:r>
          </w:p>
        </w:tc>
      </w:tr>
      <w:tr>
        <w:trPr>
          <w:cantSplit/>
        </w:trPr>
        <w:tc>
          <w:tcPr>
            <w:tcW w:type="dxa" w:w="3220"/>
            <w:vAlign w:val="center"/>
          </w:tcPr>
          <w:p>
            <w:pPr>
              <w:spacing w:after="40" w:line="247" w:lineRule="auto"/>
            </w:pPr>
            <w:r>
              <w:rPr>
                <w:sz w:val="17"/>
              </w:rPr>
              <w:t>Agente con herramientas</w:t>
            </w:r>
          </w:p>
        </w:tc>
        <w:tc>
          <w:tcPr>
            <w:tcW w:type="dxa" w:w="3220"/>
            <w:vAlign w:val="center"/>
          </w:tcPr>
          <w:p>
            <w:pPr>
              <w:spacing w:after="40" w:line="247" w:lineRule="auto"/>
            </w:pPr>
            <w:r>
              <w:rPr>
                <w:sz w:val="17"/>
              </w:rPr>
              <w:t>El sistema selecciona acciones dentro de límites y permisos autorizados.</w:t>
            </w:r>
          </w:p>
        </w:tc>
        <w:tc>
          <w:tcPr>
            <w:tcW w:type="dxa" w:w="3220"/>
            <w:vAlign w:val="center"/>
          </w:tcPr>
          <w:p>
            <w:pPr>
              <w:spacing w:after="40" w:line="247" w:lineRule="auto"/>
            </w:pPr>
            <w:r>
              <w:rPr>
                <w:sz w:val="17"/>
              </w:rPr>
              <w:t>Consultar varias fuentes conectadas y actualizar un registro después de validación.</w:t>
            </w:r>
          </w:p>
        </w:tc>
      </w:tr>
    </w:tbl>
    <w:p>
      <w:pPr>
        <w:widowControl/>
        <w:spacing w:after="0"/>
      </w:pPr>
    </w:p>
    <w:p>
      <w:pPr>
        <w:widowControl/>
      </w:pPr>
      <w:r>
        <w:rPr>
          <w:b/>
        </w:rPr>
        <w:t xml:space="preserve">Regla práctica. </w:t>
      </w:r>
      <w:r>
        <w:t>No añada autonomía si una secuencia simple, verificable y menos costosa resuelve el problema. Cuantas más conexiones y permisos se conceden, mayor debe ser el control de errores y trazabilidad.</w:t>
      </w:r>
    </w:p>
    <w:p>
      <w:pPr>
        <w:pStyle w:val="Heading1"/>
        <w:widowControl/>
      </w:pPr>
      <w:r>
        <w:t>2. Seis preguntas para seleccionar una herramienta</w:t>
      </w:r>
    </w:p>
    <w:p>
      <w:pPr>
        <w:pStyle w:val="ListNumber"/>
        <w:widowControl/>
      </w:pPr>
      <w:r>
        <w:t>¿Qué actividad concreta se necesita resolver? Diferencie producir texto, analizar información, ejecutar acciones y coordinar aplicaciones.</w:t>
      </w:r>
    </w:p>
    <w:p>
      <w:pPr>
        <w:pStyle w:val="ListNumber"/>
        <w:widowControl/>
      </w:pPr>
      <w:r>
        <w:t>¿Quién ejecutará el flujo? Determine qué pasos estarán a cargo de personas, asistentes o automatizaciones.</w:t>
      </w:r>
    </w:p>
    <w:p>
      <w:pPr>
        <w:pStyle w:val="ListNumber"/>
        <w:widowControl/>
      </w:pPr>
      <w:r>
        <w:t>¿Qué datos necesita? Distinga archivos de práctica, información pública, datos personales y credenciales de servicios.</w:t>
      </w:r>
    </w:p>
    <w:p>
      <w:pPr>
        <w:pStyle w:val="ListNumber"/>
        <w:widowControl/>
      </w:pPr>
      <w:r>
        <w:t>¿Qué nivel técnico tiene el equipo? No confunda una interfaz visual con ausencia total de configuración.</w:t>
      </w:r>
    </w:p>
    <w:p>
      <w:pPr>
        <w:pStyle w:val="ListNumber"/>
        <w:widowControl/>
      </w:pPr>
      <w:r>
        <w:t>¿Qué permite su cuenta? Verifique acceso, cuotas, conectores, publicación, límites de prueba y cobros antes de empezar.</w:t>
      </w:r>
    </w:p>
    <w:p>
      <w:pPr>
        <w:pStyle w:val="ListNumber"/>
        <w:widowControl/>
      </w:pPr>
      <w:r>
        <w:t>¿Cómo comprobará los resultados? Defina casos de prueba, revisión humana, registro de errores y mecanismo de corrección.</w:t>
      </w:r>
    </w:p>
    <w:p>
      <w:pPr>
        <w:widowControl/>
      </w:pPr>
      <w:r>
        <w:t>Las condiciones comerciales y los nombres de los productos cambian. La disponibilidad incluida aquí orienta la exploración a octubre de 2026 y no sustituye la verificación de la cuenta concreta del estudiante.</w:t>
      </w:r>
    </w:p>
    <w:p>
      <w:pPr>
        <w:pStyle w:val="Heading1"/>
        <w:widowControl/>
      </w:pPr>
      <w:r>
        <w:t>3. Primer nivel: asistentes conversacionales especializados</w:t>
      </w:r>
    </w:p>
    <w:p>
      <w:pPr>
        <w:widowControl/>
      </w:pPr>
      <w:r>
        <w:t>Son una ruta de entrada útil cuando la tarea principal es interpretar información, seguir una pauta de análisis o producir una salida estructurada. No necesitan necesariamente conectarse a otros servicios para resultar valiosos. Pueden configurarse mediante instrucciones reutilizables y documentos de contexto dentro de las capacidades que permita cada aplicación.</w:t>
      </w:r>
    </w:p>
    <w:p>
      <w:pPr>
        <w:pStyle w:val="Heading2"/>
        <w:widowControl/>
      </w:pPr>
      <w:r>
        <w:t>3.1. ChatGPT y opciones de reutilización de instrucciones</w:t>
      </w:r>
    </w:p>
    <w:p>
      <w:pPr>
        <w:widowControl/>
      </w:pPr>
      <w:r>
        <w:rPr>
          <w:b/>
        </w:rPr>
        <w:t xml:space="preserve">Qué explorar. </w:t>
      </w:r>
      <w:r>
        <w:t>Chats con instrucciones delimitadas, archivos de contexto y funciones disponibles en la cuenta. En espacios compatibles pueden existir mecanismos de reutilización y conexiones mediante Plugins.</w:t>
      </w:r>
    </w:p>
    <w:p>
      <w:pPr>
        <w:widowControl/>
      </w:pPr>
      <w:r>
        <w:rPr>
          <w:b/>
        </w:rPr>
        <w:t xml:space="preserve">Para qué sirve. </w:t>
      </w:r>
      <w:r>
        <w:t>Especializar la revisión de un informe, producir formatos homogéneos y analizar alternativas con restricciones explícitas.</w:t>
      </w:r>
    </w:p>
    <w:p>
      <w:pPr>
        <w:widowControl/>
      </w:pPr>
      <w:r>
        <w:rPr>
          <w:b/>
        </w:rPr>
        <w:t xml:space="preserve">Limitaciones. </w:t>
      </w:r>
      <w:r>
        <w:t>No todas las cuentas permiten las mismas configuraciones. La creación de GPT personalizados nuevos dejó de estar disponible en cuentas personales y el ecosistema se encuentra en transición; no se debe exigir la creación de uno como requisito del taller [1].</w:t>
      </w:r>
    </w:p>
    <w:p>
      <w:pPr>
        <w:widowControl/>
      </w:pPr>
      <w:r>
        <w:rPr>
          <w:b/>
        </w:rPr>
        <w:t xml:space="preserve">Primer recorrido. </w:t>
      </w:r>
      <w:r>
        <w:t>Redacte en un documento la función, los insumos admitidos, las reglas, los límites y el formato esperado. Pruebe la misma instrucción en una conversación independiente y contraste la respuesta con una fuente conocida.</w:t>
      </w:r>
    </w:p>
    <w:p>
      <w:pPr>
        <w:pStyle w:val="Heading2"/>
        <w:widowControl/>
      </w:pPr>
      <w:r>
        <w:t>3.2. Gemini y personalización de tareas</w:t>
      </w:r>
    </w:p>
    <w:p>
      <w:pPr>
        <w:widowControl/>
      </w:pPr>
      <w:r>
        <w:rPr>
          <w:b/>
        </w:rPr>
        <w:t xml:space="preserve">Qué explorar. </w:t>
      </w:r>
      <w:r>
        <w:t>Personalización de instrucciones y opciones para tareas repetitivas, como Gems o sus mecanismos sucesores, según la versión y la disponibilidad de la cuenta [2].</w:t>
      </w:r>
    </w:p>
    <w:p>
      <w:pPr>
        <w:widowControl/>
      </w:pPr>
      <w:r>
        <w:rPr>
          <w:b/>
        </w:rPr>
        <w:t xml:space="preserve">Para qué sirve. </w:t>
      </w:r>
      <w:r>
        <w:t>Crear una pauta de lectura, síntesis de fuentes o revisión de coherencia que el equipo pueda aplicar varias veces.</w:t>
      </w:r>
    </w:p>
    <w:p>
      <w:pPr>
        <w:widowControl/>
      </w:pPr>
      <w:r>
        <w:rPr>
          <w:b/>
        </w:rPr>
        <w:t xml:space="preserve">Limitaciones. </w:t>
      </w:r>
      <w:r>
        <w:t>El acceso a determinadas funciones depende del tipo de cuenta, edad y despliegues del servicio. Las funciones personalizadas y sus nombres están evolucionando; verifique el menú actual de su entorno.</w:t>
      </w:r>
    </w:p>
    <w:p>
      <w:pPr>
        <w:widowControl/>
      </w:pPr>
      <w:r>
        <w:rPr>
          <w:b/>
        </w:rPr>
        <w:t xml:space="preserve">Primer recorrido. </w:t>
      </w:r>
      <w:r>
        <w:t>Configure una tarea de contraste de afirmaciones y pídale que devuelva “afirmación / evidencia / duda pendiente”; compruebe si respeta el formato con dos insumos diferentes.</w:t>
      </w:r>
    </w:p>
    <w:p>
      <w:pPr>
        <w:pStyle w:val="Heading2"/>
      </w:pPr>
      <w:r>
        <w:t>3.3. Claude: conversación especializada, Projects y Cowork</w:t>
      </w:r>
    </w:p>
    <w:p>
      <w:pPr/>
      <w:r>
        <w:t>Qué explorar en Claude. Puede utilizarse para interpretar documentos, redactar instrucciones especializadas, trabajar con archivos y organizar contextos mediante Projects. Esto no significa que toda conversación tenga capacidad autónoma para actuar sobre el equipo o las aplicaciones.</w:t>
      </w:r>
    </w:p>
    <w:p>
      <w:pPr/>
      <w:r>
        <w:t>Qué es Claude Cowork. Es la modalidad de trabajo agéntico de Claude orientada a tareas de conocimiento más allá de la programación. En lugar de limitarse a responder una consulta, puede organizar una tarea de varios pasos y producir o modificar entregables, utilizando las capacidades y los permisos que la persona haya habilitado. Anthropic está integrando progresivamente las experiencias Chat y Cowork, de modo que el acceso puede aparecer como modalidad diferenciada o como una tarea solicitada en una conversación [11, 12].</w:t>
      </w:r>
    </w:p>
    <w:p>
      <w:pPr/>
      <w:r>
        <w:t>Qué permite experimentar. Preparar y revisar conjuntos de documentos, organizar archivos de un proyecto, combinar información de fuentes accesibles, utilizar conectores, generar entregables y mantener tareas o proyectos de trabajo. Según el entorno y los permisos, algunas operaciones pueden incluir acceso a archivos locales, uso del navegador y de la computadora. No debe confundirse con Claude Code: Cowork está dirigido también al trabajo no programático [11, 12].</w:t>
      </w:r>
    </w:p>
    <w:p>
      <w:pPr/>
      <w:r>
        <w:t>Condiciones de acceso. Cowork requiere un plan pago de Claude (Pro, Max, Team o Enterprise); algunas funciones dependen de la plataforma, del despliegue gradual o de la habilitación institucional. Para usar archivos locales, navegador o computadora desde determinadas superficies puede requerirse Claude Desktop abierta y conectada. La disponibilidad y los límites deben comprobarse antes de diseñar una tarea [11, 12].</w:t>
      </w:r>
    </w:p>
    <w:p>
      <w:pPr/>
      <w:r>
        <w:t>Recorrido opcional para conocer Cowork. (1) Seleccione una carpeta que contenga únicamente materiales de prueba; (2) defina un resultado concreto, por ejemplo clasificar tres documentos y producir un índice comentado; (3) describa las restricciones y solicite un plan de ejecución; (4) revise qué archivos, aplicaciones y permisos pide utilizar; (5) inspeccione el resultado y compruebe qué acciones efectivamente realizó. La exploración no exige conectar cuentas personales ni utilizar datos de otras personas.</w:t>
      </w:r>
    </w:p>
    <w:p>
      <w:pPr/>
      <w:r>
        <w:t>Precaución. Un agente que puede leer, modificar o enviar información tiene riesgos distintos a los de un chat que solo sugiere texto: accesos excesivos, alteración involuntaria de archivos o ejecución de instrucciones procedentes de contenido no confiable. Utilice copias de trabajo, permisos mínimos y aprobación humana de acciones sensibles. Revise el registro de la tarea antes de aceptar los resultados [13].</w:t>
      </w:r>
    </w:p>
    <w:p>
      <w:pPr/>
      <w:r>
        <w:t>Cuándo considerarlo. Cuando se necesita delegar un proceso acotado con varias operaciones sobre materiales digitales y se dispone de permisos para ello. Para una revisión puntual de un diagnóstico o un Canvas, una conversación especializada puede ser suficiente y menos compleja.</w:t>
      </w:r>
    </w:p>
    <w:p>
      <w:pPr>
        <w:pStyle w:val="Heading1"/>
        <w:widowControl/>
      </w:pPr>
      <w:r>
        <w:t>4. Segundo nivel: automatización visual y agentes sin programación tradicional</w:t>
      </w:r>
    </w:p>
    <w:p>
      <w:pPr>
        <w:widowControl/>
      </w:pPr>
      <w:r>
        <w:t>Estas plataformas permiten representar procesos como nodos, pasos, disparadores y conexiones. “Visual” no significa que todo sea gratuito ni que la herramienta elimine la necesidad de definir reglas, permisos y control de errores.</w:t>
      </w:r>
    </w:p>
    <w:p>
      <w:pPr>
        <w:pStyle w:val="Heading2"/>
        <w:widowControl/>
      </w:pPr>
      <w:r>
        <w:t>4.1. Microsoft Copilot Studio</w:t>
      </w:r>
    </w:p>
    <w:p>
      <w:pPr>
        <w:widowControl/>
      </w:pPr>
      <w:r>
        <w:rPr>
          <w:b/>
        </w:rPr>
        <w:t xml:space="preserve">Qué ofrece. </w:t>
      </w:r>
      <w:r>
        <w:t>Entorno para construir agentes con instrucciones, fuentes de conocimiento, herramientas y flujos; permite probar su comportamiento y, con los permisos correspondientes, publicar en distintos canales [3].</w:t>
      </w:r>
    </w:p>
    <w:p>
      <w:pPr>
        <w:widowControl/>
      </w:pPr>
      <w:r>
        <w:rPr>
          <w:b/>
        </w:rPr>
        <w:t xml:space="preserve">Cuándo considerarlo. </w:t>
      </w:r>
      <w:r>
        <w:t>Si una organización ya trabaja con Microsoft 365 y necesita un agente interno o una ruta controlada de atención y consulta documental.</w:t>
      </w:r>
    </w:p>
    <w:p>
      <w:pPr>
        <w:widowControl/>
      </w:pPr>
      <w:r>
        <w:rPr>
          <w:b/>
        </w:rPr>
        <w:t xml:space="preserve">Acceso y precaución. </w:t>
      </w:r>
      <w:r>
        <w:t>El acceso completo depende de licencias organizacionales o modalidades de consumo. Microsoft dispone de prueba que permite crear y probar, pero no publicar el agente; también pueden intervenir permisos del administrador institucional [4].</w:t>
      </w:r>
    </w:p>
    <w:p>
      <w:pPr>
        <w:widowControl/>
      </w:pPr>
      <w:r>
        <w:rPr>
          <w:b/>
        </w:rPr>
        <w:t xml:space="preserve">Primer recorrido. </w:t>
      </w:r>
      <w:r>
        <w:t>Estudie la estructura de un agente de consulta documental: instrucciones, conocimiento, prueba con pregunta simple, prueba con pregunta imposible y revisión del resultado.</w:t>
      </w:r>
    </w:p>
    <w:p>
      <w:pPr>
        <w:pStyle w:val="Heading2"/>
        <w:widowControl/>
      </w:pPr>
      <w:r>
        <w:t>4.2. Make</w:t>
      </w:r>
    </w:p>
    <w:p>
      <w:pPr>
        <w:widowControl/>
      </w:pPr>
      <w:r>
        <w:rPr>
          <w:b/>
        </w:rPr>
        <w:t xml:space="preserve">Qué ofrece. </w:t>
      </w:r>
      <w:r>
        <w:t>Escenarios visuales que conectan aplicaciones y trasladan datos entre operaciones. Make AI Agents incorpora capacidades de decisión asistida por modelos dentro de escenarios [5].</w:t>
      </w:r>
    </w:p>
    <w:p>
      <w:pPr>
        <w:widowControl/>
      </w:pPr>
      <w:r>
        <w:rPr>
          <w:b/>
        </w:rPr>
        <w:t xml:space="preserve">Cuándo considerarlo. </w:t>
      </w:r>
      <w:r>
        <w:t>Cuando existen eventos claros: llega una respuesta, se actualiza una hoja, se debe transformar un registro o solicitar una revisión.</w:t>
      </w:r>
    </w:p>
    <w:p>
      <w:pPr>
        <w:widowControl/>
      </w:pPr>
      <w:r>
        <w:rPr>
          <w:b/>
        </w:rPr>
        <w:t xml:space="preserve">Acceso y precaución. </w:t>
      </w:r>
      <w:r>
        <w:t>La disponibilidad de funciones, proveedores de modelos y créditos depende del plan. Algunas funciones de agentes están en evolución y pueden cambiar; verifique cuotas y costo por ejecución.</w:t>
      </w:r>
    </w:p>
    <w:p>
      <w:pPr>
        <w:widowControl/>
      </w:pPr>
      <w:r>
        <w:rPr>
          <w:b/>
        </w:rPr>
        <w:t xml:space="preserve">Primer recorrido. </w:t>
      </w:r>
      <w:r>
        <w:t>Dibuje un escenario de tres pasos: nueva fila de prueba → clasificación de contenido → borrador de notificación. No conecte datos personales reales durante una exploración.</w:t>
      </w:r>
    </w:p>
    <w:p>
      <w:pPr>
        <w:pStyle w:val="Heading2"/>
        <w:widowControl/>
      </w:pPr>
      <w:r>
        <w:t>4.3. Zapier</w:t>
      </w:r>
    </w:p>
    <w:p>
      <w:pPr>
        <w:widowControl/>
      </w:pPr>
      <w:r>
        <w:rPr>
          <w:b/>
        </w:rPr>
        <w:t xml:space="preserve">Qué ofrece. </w:t>
      </w:r>
      <w:r>
        <w:t>Conecta servicios mediante disparadores y acciones (Zaps); ofrece funciones de IA y agentes que pueden recibir instrucciones, consultar fuentes conectadas y ejecutar acciones [6].</w:t>
      </w:r>
    </w:p>
    <w:p>
      <w:pPr>
        <w:widowControl/>
      </w:pPr>
      <w:r>
        <w:rPr>
          <w:b/>
        </w:rPr>
        <w:t xml:space="preserve">Cuándo considerarlo. </w:t>
      </w:r>
      <w:r>
        <w:t>Cuando el objetivo es automatizar tareas repetitivas entre servicios que el equipo ya utiliza.</w:t>
      </w:r>
    </w:p>
    <w:p>
      <w:pPr>
        <w:widowControl/>
      </w:pPr>
      <w:r>
        <w:rPr>
          <w:b/>
        </w:rPr>
        <w:t xml:space="preserve">Acceso y precaución. </w:t>
      </w:r>
      <w:r>
        <w:t>Las actividades y los mensajes tienen límites según el plan. Zapier está trasladando funciones de Agents hacia AI by Zapier, por lo que deben consultarse los avisos vigentes antes de construir un flujo nuevo [6].</w:t>
      </w:r>
    </w:p>
    <w:p>
      <w:pPr>
        <w:widowControl/>
      </w:pPr>
      <w:r>
        <w:rPr>
          <w:b/>
        </w:rPr>
        <w:t xml:space="preserve">Primer recorrido. </w:t>
      </w:r>
      <w:r>
        <w:t>Identifique un evento de entrada, una acción y una condición de aprobación; revise los permisos que solicitaría una conexión con correo o almacenamiento antes de autorizarla.</w:t>
      </w:r>
    </w:p>
    <w:p>
      <w:pPr>
        <w:pStyle w:val="Heading2"/>
        <w:widowControl/>
      </w:pPr>
      <w:r>
        <w:t>4.4. n8n</w:t>
      </w:r>
    </w:p>
    <w:p>
      <w:pPr>
        <w:widowControl/>
      </w:pPr>
      <w:r>
        <w:rPr>
          <w:b/>
        </w:rPr>
        <w:t xml:space="preserve">Qué ofrece. </w:t>
      </w:r>
      <w:r>
        <w:t>Editor de flujos de trabajo con integraciones y un nodo AI Agent; este último puede conectarse a un modelo y herramientas, y decidir qué recurso invocar según la tarea [7].</w:t>
      </w:r>
    </w:p>
    <w:p>
      <w:pPr>
        <w:widowControl/>
      </w:pPr>
      <w:r>
        <w:rPr>
          <w:b/>
        </w:rPr>
        <w:t xml:space="preserve">Cuándo considerarlo. </w:t>
      </w:r>
      <w:r>
        <w:t>Si se necesita controlar con mayor detalle los datos, las conexiones y la secuencia de operaciones, y se cuenta con tiempo para comprender la configuración.</w:t>
      </w:r>
    </w:p>
    <w:p>
      <w:pPr>
        <w:widowControl/>
      </w:pPr>
      <w:r>
        <w:rPr>
          <w:b/>
        </w:rPr>
        <w:t xml:space="preserve">Acceso y precaución. </w:t>
      </w:r>
      <w:r>
        <w:t>Puede utilizarse mediante servicio gestionado o instalación propia según condiciones vigentes. Una instalación propia exige conocimientos adicionales de despliegue, mantenimiento y seguridad; el modelo de IA y algunas conexiones pueden tener costos separados.</w:t>
      </w:r>
    </w:p>
    <w:p>
      <w:pPr>
        <w:widowControl/>
      </w:pPr>
      <w:r>
        <w:rPr>
          <w:b/>
        </w:rPr>
        <w:t xml:space="preserve">Primer recorrido. </w:t>
      </w:r>
      <w:r>
        <w:t>Observe el recorrido disparador → transformación → nodo AI Agent → aprobación → salida. Explique qué ocurre si el agente produce un resultado que no cumple el esquema previsto.</w:t>
      </w:r>
    </w:p>
    <w:p>
      <w:pPr>
        <w:pStyle w:val="Heading2"/>
        <w:widowControl/>
      </w:pPr>
      <w:r>
        <w:t>4.5. Flowise</w:t>
      </w:r>
    </w:p>
    <w:p>
      <w:pPr>
        <w:widowControl/>
      </w:pPr>
      <w:r>
        <w:rPr>
          <w:b/>
        </w:rPr>
        <w:t xml:space="preserve">Qué ofrece. </w:t>
      </w:r>
      <w:r>
        <w:t>Constructor visual abierto para asistentes, chatflows y agentflows; incorpora opciones de evaluación, seguimiento e intervención humana [8].</w:t>
      </w:r>
    </w:p>
    <w:p>
      <w:pPr>
        <w:widowControl/>
      </w:pPr>
      <w:r>
        <w:rPr>
          <w:b/>
        </w:rPr>
        <w:t xml:space="preserve">Cuándo considerarlo. </w:t>
      </w:r>
      <w:r>
        <w:t>Si se quiere comprender visualmente la arquitectura interna de una aplicación de IA, sus fuentes y la conexión entre etapas.</w:t>
      </w:r>
    </w:p>
    <w:p>
      <w:pPr>
        <w:widowControl/>
      </w:pPr>
      <w:r>
        <w:rPr>
          <w:b/>
        </w:rPr>
        <w:t xml:space="preserve">Acceso y precaución. </w:t>
      </w:r>
      <w:r>
        <w:t>El software abierto no significa que el alojamiento, la operación o los servicios de modelos sean gratuitos. El despliegue y la protección de datos requieren atención técnica.</w:t>
      </w:r>
    </w:p>
    <w:p>
      <w:pPr>
        <w:widowControl/>
      </w:pPr>
      <w:r>
        <w:rPr>
          <w:b/>
        </w:rPr>
        <w:t xml:space="preserve">Primer recorrido. </w:t>
      </w:r>
      <w:r>
        <w:t>Compare en la documentación los constructores Assistant, Chatflow y Agentflow; reconozca qué cambia cuando se pasa de una respuesta conversacional a un proceso de varias etapas.</w:t>
      </w:r>
    </w:p>
    <w:p>
      <w:pPr>
        <w:pStyle w:val="Heading2"/>
      </w:pPr>
      <w:r>
        <w:t>4.6. Dónde situar Cowork frente a la automatización visual</w:t>
      </w:r>
    </w:p>
    <w:p>
      <w:pPr/>
      <w:r>
        <w:t>Cowork no debe confundirse con un constructor de diagramas de automatización como Make o n8n. En estos últimos, la persona puede definir visualmente eventos, nodos y conexiones persistentes entre servicios. En Cowork, la persona plantea una tarea y supervisa cómo Claude la organiza y ejecuta con las herramientas autorizadas. Ambas aproximaciones pueden resolver trabajos de varios pasos, pero ofrecen formas distintas de controlar la secuencia y comprobar las acciones.</w:t>
      </w:r>
    </w:p>
    <w:p>
      <w:pPr>
        <w:pStyle w:val="Heading1"/>
        <w:widowControl/>
      </w:pPr>
      <w:r>
        <w:t>5. Tercer nivel: agentes mediante programación</w:t>
      </w:r>
    </w:p>
    <w:p>
      <w:pPr>
        <w:widowControl/>
      </w:pPr>
      <w:r>
        <w:t>Esta ruta permite construir comportamientos propios, definir herramientas o funciones, integrar servicios y registrar las ejecuciones. No es un requisito para San Gabriel, pero ayuda a comprender qué sucede detrás de las interfaces visuales.</w:t>
      </w:r>
    </w:p>
    <w:tbl>
      <w:tblPr>
        <w:tblStyle w:val="TableGrid"/>
        <w:tblW w:type="auto" w:w="0"/>
        <w:jc w:val="center"/>
        <w:tblLayout w:type="autofit"/>
        <w:tblLook w:firstColumn="1" w:firstRow="1" w:lastColumn="0" w:lastRow="0" w:noHBand="0" w:noVBand="1" w:val="04A0"/>
      </w:tblPr>
      <w:tblGrid>
        <w:gridCol w:w="3220"/>
        <w:gridCol w:w="3220"/>
        <w:gridCol w:w="3220"/>
      </w:tblGrid>
      <w:tr>
        <w:trPr>
          <w:cantSplit/>
          <w:tblHeader w:val="true"/>
        </w:trPr>
        <w:tc>
          <w:tcPr>
            <w:tcW w:type="dxa" w:w="3220"/>
            <w:shd w:fill="E8F0F1"/>
          </w:tcPr>
          <w:p>
            <w:r>
              <w:rPr>
                <w:b/>
                <w:sz w:val="18"/>
              </w:rPr>
              <w:t>Alternativa</w:t>
            </w:r>
          </w:p>
        </w:tc>
        <w:tc>
          <w:tcPr>
            <w:tcW w:type="dxa" w:w="3220"/>
            <w:shd w:fill="E8F0F1"/>
          </w:tcPr>
          <w:p>
            <w:r>
              <w:rPr>
                <w:b/>
                <w:sz w:val="18"/>
              </w:rPr>
              <w:t>Posibilidades principales</w:t>
            </w:r>
          </w:p>
        </w:tc>
        <w:tc>
          <w:tcPr>
            <w:tcW w:type="dxa" w:w="3220"/>
            <w:shd w:fill="E8F0F1"/>
          </w:tcPr>
          <w:p>
            <w:r>
              <w:rPr>
                <w:b/>
                <w:sz w:val="18"/>
              </w:rPr>
              <w:t>Conocimientos / condiciones</w:t>
            </w:r>
          </w:p>
        </w:tc>
      </w:tr>
      <w:tr>
        <w:trPr>
          <w:cantSplit/>
        </w:trPr>
        <w:tc>
          <w:tcPr>
            <w:tcW w:type="dxa" w:w="3220"/>
            <w:vAlign w:val="center"/>
          </w:tcPr>
          <w:p>
            <w:pPr>
              <w:spacing w:after="40" w:line="247" w:lineRule="auto"/>
            </w:pPr>
            <w:r>
              <w:rPr>
                <w:sz w:val="17"/>
              </w:rPr>
              <w:t>OpenAI Agents SDK</w:t>
            </w:r>
          </w:p>
        </w:tc>
        <w:tc>
          <w:tcPr>
            <w:tcW w:type="dxa" w:w="3220"/>
            <w:vAlign w:val="center"/>
          </w:tcPr>
          <w:p>
            <w:pPr>
              <w:spacing w:after="40" w:line="247" w:lineRule="auto"/>
            </w:pPr>
            <w:r>
              <w:rPr>
                <w:sz w:val="17"/>
              </w:rPr>
              <w:t>Agentes con instrucciones y herramientas; transferencia entre especialistas, validaciones, sesiones y trazas [9].</w:t>
            </w:r>
          </w:p>
        </w:tc>
        <w:tc>
          <w:tcPr>
            <w:tcW w:type="dxa" w:w="3220"/>
            <w:vAlign w:val="center"/>
          </w:tcPr>
          <w:p>
            <w:pPr>
              <w:spacing w:after="40" w:line="247" w:lineRule="auto"/>
            </w:pPr>
            <w:r>
              <w:rPr>
                <w:sz w:val="17"/>
              </w:rPr>
              <w:t>Python o TypeScript, entornos de desarrollo, clave API y control de consumo.</w:t>
            </w:r>
          </w:p>
        </w:tc>
      </w:tr>
      <w:tr>
        <w:trPr>
          <w:cantSplit/>
        </w:trPr>
        <w:tc>
          <w:tcPr>
            <w:tcW w:type="dxa" w:w="3220"/>
            <w:vAlign w:val="center"/>
          </w:tcPr>
          <w:p>
            <w:pPr>
              <w:spacing w:after="40" w:line="247" w:lineRule="auto"/>
            </w:pPr>
            <w:r>
              <w:rPr>
                <w:sz w:val="17"/>
              </w:rPr>
              <w:t>Google Agent Development Kit (ADK)</w:t>
            </w:r>
          </w:p>
        </w:tc>
        <w:tc>
          <w:tcPr>
            <w:tcW w:type="dxa" w:w="3220"/>
            <w:vAlign w:val="center"/>
          </w:tcPr>
          <w:p>
            <w:pPr>
              <w:spacing w:after="40" w:line="247" w:lineRule="auto"/>
            </w:pPr>
            <w:r>
              <w:rPr>
                <w:sz w:val="17"/>
              </w:rPr>
              <w:t>Diseño y ejecución de agentes, herramientas y esquemas de coordinación; documentación con varias rutas de lenguaje [10].</w:t>
            </w:r>
          </w:p>
        </w:tc>
        <w:tc>
          <w:tcPr>
            <w:tcW w:type="dxa" w:w="3220"/>
            <w:vAlign w:val="center"/>
          </w:tcPr>
          <w:p>
            <w:pPr>
              <w:spacing w:after="40" w:line="247" w:lineRule="auto"/>
            </w:pPr>
            <w:r>
              <w:rPr>
                <w:sz w:val="17"/>
              </w:rPr>
              <w:t>Programación, configuración del entorno, servicios y evaluación.</w:t>
            </w:r>
          </w:p>
        </w:tc>
      </w:tr>
      <w:tr>
        <w:trPr>
          <w:cantSplit/>
        </w:trPr>
        <w:tc>
          <w:tcPr>
            <w:tcW w:type="dxa" w:w="3220"/>
            <w:vAlign w:val="center"/>
          </w:tcPr>
          <w:p>
            <w:pPr>
              <w:spacing w:after="40" w:line="247" w:lineRule="auto"/>
            </w:pPr>
            <w:r>
              <w:rPr>
                <w:sz w:val="17"/>
              </w:rPr>
              <w:t>Desarrollo propio sin framework</w:t>
            </w:r>
          </w:p>
        </w:tc>
        <w:tc>
          <w:tcPr>
            <w:tcW w:type="dxa" w:w="3220"/>
            <w:vAlign w:val="center"/>
          </w:tcPr>
          <w:p>
            <w:pPr>
              <w:spacing w:after="40" w:line="247" w:lineRule="auto"/>
            </w:pPr>
            <w:r>
              <w:rPr>
                <w:sz w:val="17"/>
              </w:rPr>
              <w:t>Definir manualmente entradas, llamadas al modelo, herramientas, validación, registro y salidas.</w:t>
            </w:r>
          </w:p>
        </w:tc>
        <w:tc>
          <w:tcPr>
            <w:tcW w:type="dxa" w:w="3220"/>
            <w:vAlign w:val="center"/>
          </w:tcPr>
          <w:p>
            <w:pPr>
              <w:spacing w:after="40" w:line="247" w:lineRule="auto"/>
            </w:pPr>
            <w:r>
              <w:rPr>
                <w:sz w:val="17"/>
              </w:rPr>
              <w:t>Mayor libertad y mayor responsabilidad de mantenimiento, errores y seguridad.</w:t>
            </w:r>
          </w:p>
        </w:tc>
      </w:tr>
      <w:tr>
        <w:tc>
          <w:tcPr>
            <w:tcW w:type="dxa" w:w="3220"/>
          </w:tcPr>
          <w:p>
            <w:r>
              <w:t>Claude Agent SDK y Claude Code</w:t>
            </w:r>
          </w:p>
        </w:tc>
        <w:tc>
          <w:tcPr>
            <w:tcW w:type="dxa" w:w="3220"/>
          </w:tcPr>
          <w:p>
            <w:r>
              <w:t>Construcción programática de agentes y tareas que utilizan herramientas; Claude Code se orienta especialmente a entornos de desarrollo, mientras el Agent SDK permite integrar capacidades agénticas en aplicaciones y procesos propios.</w:t>
            </w:r>
          </w:p>
        </w:tc>
        <w:tc>
          <w:tcPr>
            <w:tcW w:type="dxa" w:w="3220"/>
          </w:tcPr>
          <w:p>
            <w:r>
              <w:t>Conocimientos de programación, permisos sobre el entorno de ejecución, revisión de acciones y condiciones de acceso o consumo del proveedor [14].</w:t>
            </w:r>
          </w:p>
        </w:tc>
      </w:tr>
    </w:tbl>
    <w:p>
      <w:pPr>
        <w:widowControl/>
        <w:spacing w:after="0"/>
      </w:pPr>
    </w:p>
    <w:p>
      <w:pPr>
        <w:widowControl/>
      </w:pPr>
      <w:r>
        <w:rPr>
          <w:b/>
        </w:rPr>
        <w:t xml:space="preserve">Qué cambia al programar. </w:t>
      </w:r>
      <w:r>
        <w:t>La persona desarrolladora controla directamente las entradas, el acceso a herramientas, el estado del proceso, la recuperación ante fallos y el registro de decisiones. Esto puede incrementar reproducibilidad y flexibilidad, pero también trabajo técnico y superficie de riesgo.</w:t>
      </w:r>
    </w:p>
    <w:p>
      <w:pPr>
        <w:pStyle w:val="Heading1"/>
        <w:widowControl/>
      </w:pPr>
      <w:r>
        <w:t>6. Comparación orientada por necesidades, no por marcas</w:t>
      </w:r>
    </w:p>
    <w:tbl>
      <w:tblPr>
        <w:tblStyle w:val="TableGrid"/>
        <w:tblW w:type="auto" w:w="0"/>
        <w:jc w:val="center"/>
        <w:tblLayout w:type="autofit"/>
        <w:tblLook w:firstColumn="1" w:firstRow="1" w:lastColumn="0" w:lastRow="0" w:noHBand="0" w:noVBand="1" w:val="04A0"/>
      </w:tblPr>
      <w:tblGrid>
        <w:gridCol w:w="3220"/>
        <w:gridCol w:w="3220"/>
        <w:gridCol w:w="3220"/>
      </w:tblGrid>
      <w:tr>
        <w:trPr>
          <w:cantSplit/>
          <w:tblHeader w:val="true"/>
        </w:trPr>
        <w:tc>
          <w:tcPr>
            <w:tcW w:type="dxa" w:w="3220"/>
            <w:shd w:fill="E8F0F1"/>
          </w:tcPr>
          <w:p>
            <w:r>
              <w:rPr>
                <w:b/>
                <w:sz w:val="18"/>
              </w:rPr>
              <w:t>Necesidad concreta</w:t>
            </w:r>
          </w:p>
        </w:tc>
        <w:tc>
          <w:tcPr>
            <w:tcW w:type="dxa" w:w="3220"/>
            <w:shd w:fill="E8F0F1"/>
          </w:tcPr>
          <w:p>
            <w:r>
              <w:rPr>
                <w:b/>
                <w:sz w:val="18"/>
              </w:rPr>
              <w:t>Ruta razonable para comenzar</w:t>
            </w:r>
          </w:p>
        </w:tc>
        <w:tc>
          <w:tcPr>
            <w:tcW w:type="dxa" w:w="3220"/>
            <w:shd w:fill="E8F0F1"/>
          </w:tcPr>
          <w:p>
            <w:r>
              <w:rPr>
                <w:b/>
                <w:sz w:val="18"/>
              </w:rPr>
              <w:t>Qué verificar</w:t>
            </w:r>
          </w:p>
        </w:tc>
      </w:tr>
      <w:tr>
        <w:trPr>
          <w:cantSplit/>
        </w:trPr>
        <w:tc>
          <w:tcPr>
            <w:tcW w:type="dxa" w:w="3220"/>
            <w:vAlign w:val="center"/>
          </w:tcPr>
          <w:p>
            <w:pPr>
              <w:spacing w:after="40" w:line="247" w:lineRule="auto"/>
            </w:pPr>
            <w:r>
              <w:rPr>
                <w:sz w:val="17"/>
              </w:rPr>
              <w:t>Analizar documentos y devolver un formato estable</w:t>
            </w:r>
          </w:p>
        </w:tc>
        <w:tc>
          <w:tcPr>
            <w:tcW w:type="dxa" w:w="3220"/>
            <w:vAlign w:val="center"/>
          </w:tcPr>
          <w:p>
            <w:pPr>
              <w:spacing w:after="40" w:line="247" w:lineRule="auto"/>
            </w:pPr>
            <w:r>
              <w:rPr>
                <w:sz w:val="17"/>
              </w:rPr>
              <w:t>Asistente conversacional especializado</w:t>
            </w:r>
          </w:p>
        </w:tc>
        <w:tc>
          <w:tcPr>
            <w:tcW w:type="dxa" w:w="3220"/>
            <w:vAlign w:val="center"/>
          </w:tcPr>
          <w:p>
            <w:pPr>
              <w:spacing w:after="40" w:line="247" w:lineRule="auto"/>
            </w:pPr>
            <w:r>
              <w:rPr>
                <w:sz w:val="17"/>
              </w:rPr>
              <w:t>Fidelidad a fuentes y consistencia de salida.</w:t>
            </w:r>
          </w:p>
        </w:tc>
      </w:tr>
      <w:tr>
        <w:trPr>
          <w:cantSplit/>
        </w:trPr>
        <w:tc>
          <w:tcPr>
            <w:tcW w:type="dxa" w:w="3220"/>
            <w:vAlign w:val="center"/>
          </w:tcPr>
          <w:p>
            <w:pPr>
              <w:spacing w:after="40" w:line="247" w:lineRule="auto"/>
            </w:pPr>
            <w:r>
              <w:rPr>
                <w:sz w:val="17"/>
              </w:rPr>
              <w:t>Mover datos entre formularios, hojas y avisos</w:t>
            </w:r>
          </w:p>
        </w:tc>
        <w:tc>
          <w:tcPr>
            <w:tcW w:type="dxa" w:w="3220"/>
            <w:vAlign w:val="center"/>
          </w:tcPr>
          <w:p>
            <w:pPr>
              <w:spacing w:after="40" w:line="247" w:lineRule="auto"/>
            </w:pPr>
            <w:r>
              <w:rPr>
                <w:sz w:val="17"/>
              </w:rPr>
              <w:t>Make, Zapier o n8n</w:t>
            </w:r>
          </w:p>
        </w:tc>
        <w:tc>
          <w:tcPr>
            <w:tcW w:type="dxa" w:w="3220"/>
            <w:vAlign w:val="center"/>
          </w:tcPr>
          <w:p>
            <w:pPr>
              <w:spacing w:after="40" w:line="247" w:lineRule="auto"/>
            </w:pPr>
            <w:r>
              <w:rPr>
                <w:sz w:val="17"/>
              </w:rPr>
              <w:t>Conectores, autenticación, cuotas y errores.</w:t>
            </w:r>
          </w:p>
        </w:tc>
      </w:tr>
      <w:tr>
        <w:trPr>
          <w:cantSplit/>
        </w:trPr>
        <w:tc>
          <w:tcPr>
            <w:tcW w:type="dxa" w:w="3220"/>
            <w:vAlign w:val="center"/>
          </w:tcPr>
          <w:p>
            <w:pPr>
              <w:spacing w:after="40" w:line="247" w:lineRule="auto"/>
            </w:pPr>
            <w:r>
              <w:rPr>
                <w:sz w:val="17"/>
              </w:rPr>
              <w:t>Construir un agente interno sobre documentos organizacionales</w:t>
            </w:r>
          </w:p>
        </w:tc>
        <w:tc>
          <w:tcPr>
            <w:tcW w:type="dxa" w:w="3220"/>
            <w:vAlign w:val="center"/>
          </w:tcPr>
          <w:p>
            <w:pPr>
              <w:spacing w:after="40" w:line="247" w:lineRule="auto"/>
            </w:pPr>
            <w:r>
              <w:rPr>
                <w:sz w:val="17"/>
              </w:rPr>
              <w:t>Copilot Studio u otra solución habilitada por la entidad</w:t>
            </w:r>
          </w:p>
        </w:tc>
        <w:tc>
          <w:tcPr>
            <w:tcW w:type="dxa" w:w="3220"/>
            <w:vAlign w:val="center"/>
          </w:tcPr>
          <w:p>
            <w:pPr>
              <w:spacing w:after="40" w:line="247" w:lineRule="auto"/>
            </w:pPr>
            <w:r>
              <w:rPr>
                <w:sz w:val="17"/>
              </w:rPr>
              <w:t>Licencias, publicación y gobierno de la información.</w:t>
            </w:r>
          </w:p>
        </w:tc>
      </w:tr>
      <w:tr>
        <w:trPr>
          <w:cantSplit/>
        </w:trPr>
        <w:tc>
          <w:tcPr>
            <w:tcW w:type="dxa" w:w="3220"/>
            <w:vAlign w:val="center"/>
          </w:tcPr>
          <w:p>
            <w:pPr>
              <w:spacing w:after="40" w:line="247" w:lineRule="auto"/>
            </w:pPr>
            <w:r>
              <w:rPr>
                <w:sz w:val="17"/>
              </w:rPr>
              <w:t>Entender visualmente varios nodos de IA</w:t>
            </w:r>
          </w:p>
        </w:tc>
        <w:tc>
          <w:tcPr>
            <w:tcW w:type="dxa" w:w="3220"/>
            <w:vAlign w:val="center"/>
          </w:tcPr>
          <w:p>
            <w:pPr>
              <w:spacing w:after="40" w:line="247" w:lineRule="auto"/>
            </w:pPr>
            <w:r>
              <w:rPr>
                <w:sz w:val="17"/>
              </w:rPr>
              <w:t>Flowise o n8n</w:t>
            </w:r>
          </w:p>
        </w:tc>
        <w:tc>
          <w:tcPr>
            <w:tcW w:type="dxa" w:w="3220"/>
            <w:vAlign w:val="center"/>
          </w:tcPr>
          <w:p>
            <w:pPr>
              <w:spacing w:after="40" w:line="247" w:lineRule="auto"/>
            </w:pPr>
            <w:r>
              <w:rPr>
                <w:sz w:val="17"/>
              </w:rPr>
              <w:t>Instalación, costos del modelo y trazabilidad.</w:t>
            </w:r>
          </w:p>
        </w:tc>
      </w:tr>
      <w:tr>
        <w:trPr>
          <w:cantSplit/>
        </w:trPr>
        <w:tc>
          <w:tcPr>
            <w:tcW w:type="dxa" w:w="3220"/>
            <w:vAlign w:val="center"/>
          </w:tcPr>
          <w:p>
            <w:pPr>
              <w:spacing w:after="40" w:line="247" w:lineRule="auto"/>
            </w:pPr>
            <w:r>
              <w:rPr>
                <w:sz w:val="17"/>
              </w:rPr>
              <w:t>Crear herramientas propias y lógica de ejecución</w:t>
            </w:r>
          </w:p>
        </w:tc>
        <w:tc>
          <w:tcPr>
            <w:tcW w:type="dxa" w:w="3220"/>
            <w:vAlign w:val="center"/>
          </w:tcPr>
          <w:p>
            <w:pPr>
              <w:spacing w:after="40" w:line="247" w:lineRule="auto"/>
            </w:pPr>
            <w:r>
              <w:rPr>
                <w:sz w:val="17"/>
              </w:rPr>
              <w:t>SDK o desarrollo programático</w:t>
            </w:r>
          </w:p>
        </w:tc>
        <w:tc>
          <w:tcPr>
            <w:tcW w:type="dxa" w:w="3220"/>
            <w:vAlign w:val="center"/>
          </w:tcPr>
          <w:p>
            <w:pPr>
              <w:spacing w:after="40" w:line="247" w:lineRule="auto"/>
            </w:pPr>
            <w:r>
              <w:rPr>
                <w:sz w:val="17"/>
              </w:rPr>
              <w:t>Programación, pruebas, seguridad y costo API.</w:t>
            </w:r>
          </w:p>
        </w:tc>
      </w:tr>
      <w:tr>
        <w:tc>
          <w:tcPr>
            <w:tcW w:type="dxa" w:w="3220"/>
          </w:tcPr>
          <w:p>
            <w:r>
              <w:t>Delegar una tarea documental de varios pasos con supervisión humana</w:t>
            </w:r>
          </w:p>
        </w:tc>
        <w:tc>
          <w:tcPr>
            <w:tcW w:type="dxa" w:w="3220"/>
          </w:tcPr>
          <w:p>
            <w:r>
              <w:t>Claude Cowork, si está disponible en la cuenta, u otra solución de trabajo agéntico</w:t>
            </w:r>
          </w:p>
        </w:tc>
        <w:tc>
          <w:tcPr>
            <w:tcW w:type="dxa" w:w="3220"/>
          </w:tcPr>
          <w:p>
            <w:r>
              <w:t>Permisos sobre archivos, registro de acciones, costos, posibilidad de detener la ejecución y revisión de resultados.</w:t>
            </w:r>
          </w:p>
        </w:tc>
      </w:tr>
    </w:tbl>
    <w:p>
      <w:pPr>
        <w:widowControl/>
        <w:spacing w:after="0"/>
      </w:pPr>
    </w:p>
    <w:p>
      <w:pPr>
        <w:widowControl/>
      </w:pPr>
      <w:r>
        <w:t>Estas rutas no forman un escalafón de calidad: representan necesidades y condiciones de uso diferentes. Una hoja de cálculo bien organizada y una conversación especializada pueden resultar más apropiadas que un agente que recibe permisos innecesarios.</w:t>
      </w:r>
    </w:p>
    <w:p>
      <w:pPr>
        <w:pStyle w:val="Heading1"/>
        <w:widowControl/>
      </w:pPr>
      <w:r>
        <w:t>7. Itinerarios de exploración opcional</w:t>
      </w:r>
    </w:p>
    <w:p>
      <w:pPr>
        <w:widowControl/>
      </w:pPr>
      <w:r>
        <w:rPr>
          <w:b/>
        </w:rPr>
        <w:t xml:space="preserve">Ruta A: sin programación (aproximación inicial). </w:t>
      </w:r>
      <w:r>
        <w:t>Elija una tarea de revisión documental; redacte una instrucción especializada; ejecútela con dos insumos diferentes; registre qué restricciones respetó y cuáles no. Observe después la demostración oficial de una plataforma visual y distinga disparador, operación, conexión y salida.</w:t>
      </w:r>
    </w:p>
    <w:p>
      <w:pPr>
        <w:widowControl/>
      </w:pPr>
      <w:r>
        <w:rPr>
          <w:b/>
        </w:rPr>
        <w:t xml:space="preserve">Ruta B: con herramientas visuales (intermedia). </w:t>
      </w:r>
      <w:r>
        <w:t>Dibuje un flujo que reciba datos sintéticos, compruebe un campo obligatorio y genere un borrador de informe. Identifique qué parte es determinista y dónde tendría sentido agregar IA. Planifique una revisión humana antes de cualquier acción externa.</w:t>
      </w:r>
    </w:p>
    <w:p>
      <w:pPr>
        <w:widowControl/>
      </w:pPr>
      <w:r>
        <w:rPr>
          <w:b/>
        </w:rPr>
        <w:t xml:space="preserve">Ruta C: con programación (avanzada). </w:t>
      </w:r>
      <w:r>
        <w:t>Lea un ejemplo mínimo del SDK que prefiera; identifique definición del agente, herramientas, ejecución, salida y traza. Modifique conceptualmente un caso para exigir una salida estructurada y una validación antes de utilizarla. No es necesario desarrollar software para comprender la arquitectura.</w:t>
      </w:r>
    </w:p>
    <w:p>
      <w:pPr>
        <w:pStyle w:val="Heading1"/>
        <w:widowControl/>
      </w:pPr>
      <w:r>
        <w:t>8. Tres situaciones para transferir lo aprendido</w:t>
      </w:r>
    </w:p>
    <w:p>
      <w:pPr>
        <w:widowControl/>
      </w:pPr>
      <w:r>
        <w:rPr>
          <w:b/>
        </w:rPr>
        <w:t xml:space="preserve">San Gabriel, consultoría de proyectos. </w:t>
      </w:r>
      <w:r>
        <w:t>La evidencia de la encuesta se revisa con un asistente de diagnóstico; una persona valida lo encontrado; un segundo asistente propone componentes del Canvas. Una herramienta de diagramación integra el resultado. No es necesario automatizar todo el proceso.</w:t>
      </w:r>
    </w:p>
    <w:p>
      <w:pPr>
        <w:widowControl/>
      </w:pPr>
      <w:r>
        <w:rPr>
          <w:b/>
        </w:rPr>
        <w:t xml:space="preserve">Organización social. </w:t>
      </w:r>
      <w:r>
        <w:t>Las inscripciones a una actividad llegan por formulario. Un flujo visual puede detectar registros incompletos y preparar un aviso, pero la decisión de aceptación queda bajo control humano. La automatización opera mejor cuando las reglas de elegibilidad son explícitas.</w:t>
      </w:r>
    </w:p>
    <w:p>
      <w:pPr>
        <w:widowControl/>
      </w:pPr>
      <w:r>
        <w:rPr>
          <w:b/>
        </w:rPr>
        <w:t xml:space="preserve">Pequeña empresa. </w:t>
      </w:r>
      <w:r>
        <w:t>Un agente conectado a información de inventario podría consultar disponibilidad y preparar una propuesta de compra. La autorización para enviar pedidos o comprometer recursos requiere límites y permisos distintos de los necesarios para responder preguntas.</w:t>
      </w:r>
    </w:p>
    <w:p>
      <w:pPr>
        <w:pStyle w:val="Heading1"/>
        <w:widowControl/>
      </w:pPr>
      <w:r>
        <w:t>9. Lista de comprobación antes de activar cualquier solución</w:t>
      </w:r>
    </w:p>
    <w:p>
      <w:pPr>
        <w:pStyle w:val="ListBullet"/>
        <w:widowControl/>
      </w:pPr>
      <w:r>
        <w:t>La finalidad del flujo está formulada como una tarea verificable y tiene una salida identificable.</w:t>
      </w:r>
    </w:p>
    <w:p>
      <w:pPr>
        <w:pStyle w:val="ListBullet"/>
        <w:widowControl/>
      </w:pPr>
      <w:r>
        <w:t>Las entradas y permisos son suficientes, pero no excesivos; se conoce quién puede ver cada archivo.</w:t>
      </w:r>
    </w:p>
    <w:p>
      <w:pPr>
        <w:pStyle w:val="ListBullet"/>
        <w:widowControl/>
      </w:pPr>
      <w:r>
        <w:t>Se probó con un ejemplo correcto, uno incompleto y uno que debería producir una negativa o solicitud de aclaración.</w:t>
      </w:r>
    </w:p>
    <w:p>
      <w:pPr>
        <w:pStyle w:val="ListBullet"/>
        <w:widowControl/>
      </w:pPr>
      <w:r>
        <w:t>Existen reglas para registrar errores y un responsable humano de revisar decisiones relevantes.</w:t>
      </w:r>
    </w:p>
    <w:p>
      <w:pPr>
        <w:pStyle w:val="ListBullet"/>
        <w:widowControl/>
      </w:pPr>
      <w:r>
        <w:t>La herramienta no presenta como dato observado aquello que es supuesto, ejemplo o información sintética.</w:t>
      </w:r>
    </w:p>
    <w:p>
      <w:pPr>
        <w:pStyle w:val="ListBullet"/>
        <w:widowControl/>
      </w:pPr>
      <w:r>
        <w:t>Se conoce qué actividades podrían generar cobros y cómo detener o desactivar la ejecución.</w:t>
      </w:r>
    </w:p>
    <w:p>
      <w:pPr>
        <w:pStyle w:val="ListBullet"/>
        <w:widowControl/>
      </w:pPr>
      <w:r>
        <w:t>Se pueden recuperar las instrucciones, archivos y resultados para documentar el procedimiento.</w:t>
      </w:r>
    </w:p>
    <w:p>
      <w:pPr>
        <w:pStyle w:val="Heading1"/>
        <w:widowControl/>
      </w:pPr>
      <w:r>
        <w:t>10. Glosario de consulta rápida</w:t>
      </w:r>
    </w:p>
    <w:tbl>
      <w:tblPr>
        <w:tblStyle w:val="TableGrid"/>
        <w:tblW w:type="auto" w:w="0"/>
        <w:jc w:val="center"/>
        <w:tblLayout w:type="autofit"/>
        <w:tblLook w:firstColumn="1" w:firstRow="1" w:lastColumn="0" w:lastRow="0" w:noHBand="0" w:noVBand="1" w:val="04A0"/>
      </w:tblPr>
      <w:tblGrid>
        <w:gridCol w:w="4830"/>
        <w:gridCol w:w="4830"/>
      </w:tblGrid>
      <w:tr>
        <w:trPr>
          <w:cantSplit/>
          <w:tblHeader w:val="true"/>
        </w:trPr>
        <w:tc>
          <w:tcPr>
            <w:tcW w:type="dxa" w:w="4830"/>
            <w:shd w:fill="E8F0F1"/>
          </w:tcPr>
          <w:p>
            <w:r>
              <w:rPr>
                <w:b/>
                <w:sz w:val="18"/>
              </w:rPr>
              <w:t>Término</w:t>
            </w:r>
          </w:p>
        </w:tc>
        <w:tc>
          <w:tcPr>
            <w:tcW w:type="dxa" w:w="4830"/>
            <w:shd w:fill="E8F0F1"/>
          </w:tcPr>
          <w:p>
            <w:r>
              <w:rPr>
                <w:b/>
                <w:sz w:val="18"/>
              </w:rPr>
              <w:t>Significado operativo</w:t>
            </w:r>
          </w:p>
        </w:tc>
      </w:tr>
      <w:tr>
        <w:trPr>
          <w:cantSplit/>
        </w:trPr>
        <w:tc>
          <w:tcPr>
            <w:tcW w:type="dxa" w:w="4830"/>
            <w:vAlign w:val="center"/>
          </w:tcPr>
          <w:p>
            <w:pPr>
              <w:spacing w:after="40" w:line="247" w:lineRule="auto"/>
            </w:pPr>
            <w:r>
              <w:rPr>
                <w:sz w:val="17"/>
              </w:rPr>
              <w:t>Prompt / instrucción</w:t>
            </w:r>
          </w:p>
        </w:tc>
        <w:tc>
          <w:tcPr>
            <w:tcW w:type="dxa" w:w="4830"/>
            <w:vAlign w:val="center"/>
          </w:tcPr>
          <w:p>
            <w:pPr>
              <w:spacing w:after="40" w:line="247" w:lineRule="auto"/>
            </w:pPr>
            <w:r>
              <w:rPr>
                <w:sz w:val="17"/>
              </w:rPr>
              <w:t>Indicación que define una tarea o comportamiento solicitado al modelo.</w:t>
            </w:r>
          </w:p>
        </w:tc>
      </w:tr>
      <w:tr>
        <w:trPr>
          <w:cantSplit/>
        </w:trPr>
        <w:tc>
          <w:tcPr>
            <w:tcW w:type="dxa" w:w="4830"/>
            <w:vAlign w:val="center"/>
          </w:tcPr>
          <w:p>
            <w:pPr>
              <w:spacing w:after="40" w:line="247" w:lineRule="auto"/>
            </w:pPr>
            <w:r>
              <w:rPr>
                <w:sz w:val="17"/>
              </w:rPr>
              <w:t>Disparador (trigger)</w:t>
            </w:r>
          </w:p>
        </w:tc>
        <w:tc>
          <w:tcPr>
            <w:tcW w:type="dxa" w:w="4830"/>
            <w:vAlign w:val="center"/>
          </w:tcPr>
          <w:p>
            <w:pPr>
              <w:spacing w:after="40" w:line="247" w:lineRule="auto"/>
            </w:pPr>
            <w:r>
              <w:rPr>
                <w:sz w:val="17"/>
              </w:rPr>
              <w:t>Evento que inicia un flujo: una nueva fila, un mensaje o una programación.</w:t>
            </w:r>
          </w:p>
        </w:tc>
      </w:tr>
      <w:tr>
        <w:trPr>
          <w:cantSplit/>
        </w:trPr>
        <w:tc>
          <w:tcPr>
            <w:tcW w:type="dxa" w:w="4830"/>
            <w:vAlign w:val="center"/>
          </w:tcPr>
          <w:p>
            <w:pPr>
              <w:spacing w:after="40" w:line="247" w:lineRule="auto"/>
            </w:pPr>
            <w:r>
              <w:rPr>
                <w:sz w:val="17"/>
              </w:rPr>
              <w:t>Acción</w:t>
            </w:r>
          </w:p>
        </w:tc>
        <w:tc>
          <w:tcPr>
            <w:tcW w:type="dxa" w:w="4830"/>
            <w:vAlign w:val="center"/>
          </w:tcPr>
          <w:p>
            <w:pPr>
              <w:spacing w:after="40" w:line="247" w:lineRule="auto"/>
            </w:pPr>
            <w:r>
              <w:rPr>
                <w:sz w:val="17"/>
              </w:rPr>
              <w:t>Operación ejecutada por una plataforma: crear registro, transformar dato, enviar aviso.</w:t>
            </w:r>
          </w:p>
        </w:tc>
      </w:tr>
      <w:tr>
        <w:trPr>
          <w:cantSplit/>
        </w:trPr>
        <w:tc>
          <w:tcPr>
            <w:tcW w:type="dxa" w:w="4830"/>
            <w:vAlign w:val="center"/>
          </w:tcPr>
          <w:p>
            <w:pPr>
              <w:spacing w:after="40" w:line="247" w:lineRule="auto"/>
            </w:pPr>
            <w:r>
              <w:rPr>
                <w:sz w:val="17"/>
              </w:rPr>
              <w:t>Herramienta (tool)</w:t>
            </w:r>
          </w:p>
        </w:tc>
        <w:tc>
          <w:tcPr>
            <w:tcW w:type="dxa" w:w="4830"/>
            <w:vAlign w:val="center"/>
          </w:tcPr>
          <w:p>
            <w:pPr>
              <w:spacing w:after="40" w:line="247" w:lineRule="auto"/>
            </w:pPr>
            <w:r>
              <w:rPr>
                <w:sz w:val="17"/>
              </w:rPr>
              <w:t>Función o servicio al que puede acceder un agente bajo permisos definidos.</w:t>
            </w:r>
          </w:p>
        </w:tc>
      </w:tr>
      <w:tr>
        <w:trPr>
          <w:cantSplit/>
        </w:trPr>
        <w:tc>
          <w:tcPr>
            <w:tcW w:type="dxa" w:w="4830"/>
            <w:vAlign w:val="center"/>
          </w:tcPr>
          <w:p>
            <w:pPr>
              <w:spacing w:after="40" w:line="247" w:lineRule="auto"/>
            </w:pPr>
            <w:r>
              <w:rPr>
                <w:sz w:val="17"/>
              </w:rPr>
              <w:t>Conector</w:t>
            </w:r>
          </w:p>
        </w:tc>
        <w:tc>
          <w:tcPr>
            <w:tcW w:type="dxa" w:w="4830"/>
            <w:vAlign w:val="center"/>
          </w:tcPr>
          <w:p>
            <w:pPr>
              <w:spacing w:after="40" w:line="247" w:lineRule="auto"/>
            </w:pPr>
            <w:r>
              <w:rPr>
                <w:sz w:val="17"/>
              </w:rPr>
              <w:t>Integración que facilita intercambio de información con otra aplicación.</w:t>
            </w:r>
          </w:p>
        </w:tc>
      </w:tr>
      <w:tr>
        <w:trPr>
          <w:cantSplit/>
        </w:trPr>
        <w:tc>
          <w:tcPr>
            <w:tcW w:type="dxa" w:w="4830"/>
            <w:vAlign w:val="center"/>
          </w:tcPr>
          <w:p>
            <w:pPr>
              <w:spacing w:after="40" w:line="247" w:lineRule="auto"/>
            </w:pPr>
            <w:r>
              <w:rPr>
                <w:sz w:val="17"/>
              </w:rPr>
              <w:t>Handoff</w:t>
            </w:r>
          </w:p>
        </w:tc>
        <w:tc>
          <w:tcPr>
            <w:tcW w:type="dxa" w:w="4830"/>
            <w:vAlign w:val="center"/>
          </w:tcPr>
          <w:p>
            <w:pPr>
              <w:spacing w:after="40" w:line="247" w:lineRule="auto"/>
            </w:pPr>
            <w:r>
              <w:rPr>
                <w:sz w:val="17"/>
              </w:rPr>
              <w:t>Transferencia del control o de la tarea hacia otro asistente/agente.</w:t>
            </w:r>
          </w:p>
        </w:tc>
      </w:tr>
      <w:tr>
        <w:trPr>
          <w:cantSplit/>
        </w:trPr>
        <w:tc>
          <w:tcPr>
            <w:tcW w:type="dxa" w:w="4830"/>
            <w:vAlign w:val="center"/>
          </w:tcPr>
          <w:p>
            <w:pPr>
              <w:spacing w:after="40" w:line="247" w:lineRule="auto"/>
            </w:pPr>
            <w:r>
              <w:rPr>
                <w:sz w:val="17"/>
              </w:rPr>
              <w:t>Guardrail / validación</w:t>
            </w:r>
          </w:p>
        </w:tc>
        <w:tc>
          <w:tcPr>
            <w:tcW w:type="dxa" w:w="4830"/>
            <w:vAlign w:val="center"/>
          </w:tcPr>
          <w:p>
            <w:pPr>
              <w:spacing w:after="40" w:line="247" w:lineRule="auto"/>
            </w:pPr>
            <w:r>
              <w:rPr>
                <w:sz w:val="17"/>
              </w:rPr>
              <w:t>Regla o control que restringe entradas, salidas o acciones no permitidas.</w:t>
            </w:r>
          </w:p>
        </w:tc>
      </w:tr>
      <w:tr>
        <w:trPr>
          <w:cantSplit/>
        </w:trPr>
        <w:tc>
          <w:tcPr>
            <w:tcW w:type="dxa" w:w="4830"/>
            <w:vAlign w:val="center"/>
          </w:tcPr>
          <w:p>
            <w:pPr>
              <w:spacing w:after="40" w:line="247" w:lineRule="auto"/>
            </w:pPr>
            <w:r>
              <w:rPr>
                <w:sz w:val="17"/>
              </w:rPr>
              <w:t>Traza</w:t>
            </w:r>
          </w:p>
        </w:tc>
        <w:tc>
          <w:tcPr>
            <w:tcW w:type="dxa" w:w="4830"/>
            <w:vAlign w:val="center"/>
          </w:tcPr>
          <w:p>
            <w:pPr>
              <w:spacing w:after="40" w:line="247" w:lineRule="auto"/>
            </w:pPr>
            <w:r>
              <w:rPr>
                <w:sz w:val="17"/>
              </w:rPr>
              <w:t>Registro de los pasos, herramientas y resultados de una ejecución.</w:t>
            </w:r>
          </w:p>
        </w:tc>
      </w:tr>
      <w:tr>
        <w:trPr>
          <w:cantSplit/>
        </w:trPr>
        <w:tc>
          <w:tcPr>
            <w:tcW w:type="dxa" w:w="4830"/>
            <w:vAlign w:val="center"/>
          </w:tcPr>
          <w:p>
            <w:pPr>
              <w:spacing w:after="40" w:line="247" w:lineRule="auto"/>
            </w:pPr>
            <w:r>
              <w:rPr>
                <w:sz w:val="17"/>
              </w:rPr>
              <w:t>Human in the loop</w:t>
            </w:r>
          </w:p>
        </w:tc>
        <w:tc>
          <w:tcPr>
            <w:tcW w:type="dxa" w:w="4830"/>
            <w:vAlign w:val="center"/>
          </w:tcPr>
          <w:p>
            <w:pPr>
              <w:spacing w:after="40" w:line="247" w:lineRule="auto"/>
            </w:pPr>
            <w:r>
              <w:rPr>
                <w:sz w:val="17"/>
              </w:rPr>
              <w:t>Intervención de una persona para revisar, corregir o autorizar una operación.</w:t>
            </w:r>
          </w:p>
        </w:tc>
      </w:tr>
    </w:tbl>
    <w:p>
      <w:pPr>
        <w:widowControl/>
        <w:spacing w:after="0"/>
      </w:pPr>
    </w:p>
    <w:p>
      <w:pPr>
        <w:pStyle w:val="Heading1"/>
        <w:widowControl/>
      </w:pPr>
      <w:r>
        <w:t>11. Fuentes oficiales y puertas de entrada</w:t>
      </w:r>
    </w:p>
    <w:p>
      <w:pPr>
        <w:widowControl/>
      </w:pPr>
      <w:r>
        <w:t>Documentación de producto consultada para la elaboración de la ficha (octubre de 2026). Visite los enlaces antes de activar una función, pues disponibilidad, nombres comerciales y condiciones de acceso pueden cambiar.</w:t>
      </w:r>
    </w:p>
    <w:p>
      <w:pPr>
        <w:widowControl/>
      </w:pPr>
      <w:r>
        <w:rPr>
          <w:b/>
        </w:rPr>
        <w:t>[1] OpenAI. GPTs in ChatGPT y transición de GPT personalizados.</w:t>
        <w:br/>
      </w:r>
      <w:r>
        <w:rPr>
          <w:color w:val="1E5E70"/>
          <w:sz w:val="17"/>
        </w:rPr>
        <w:t>https://help.openai.com/en/articles/8554407-gpts-in-chatgpt</w:t>
      </w:r>
    </w:p>
    <w:p>
      <w:pPr>
        <w:widowControl/>
      </w:pPr>
      <w:r>
        <w:rPr>
          <w:b/>
        </w:rPr>
        <w:t>[2] Google. Get started with Gems in Gemini Apps.</w:t>
        <w:br/>
      </w:r>
      <w:r>
        <w:rPr>
          <w:color w:val="1E5E70"/>
          <w:sz w:val="17"/>
        </w:rPr>
        <w:t>https://support.google.com/gemini/answer/15236321</w:t>
      </w:r>
    </w:p>
    <w:p>
      <w:pPr>
        <w:widowControl/>
      </w:pPr>
      <w:r>
        <w:rPr>
          <w:b/>
        </w:rPr>
        <w:t>[3] Microsoft Learn. Documentación general de Copilot Studio.</w:t>
        <w:br/>
      </w:r>
      <w:r>
        <w:rPr>
          <w:color w:val="1E5E70"/>
          <w:sz w:val="17"/>
        </w:rPr>
        <w:t>https://learn.microsoft.com/en-us/microsoft-copilot-studio/</w:t>
      </w:r>
    </w:p>
    <w:p>
      <w:pPr>
        <w:widowControl/>
      </w:pPr>
      <w:r>
        <w:rPr>
          <w:b/>
        </w:rPr>
        <w:t>[4] Microsoft Learn. Acceso, licencia y prueba de Copilot Studio.</w:t>
        <w:br/>
      </w:r>
      <w:r>
        <w:rPr>
          <w:color w:val="1E5E70"/>
          <w:sz w:val="17"/>
        </w:rPr>
        <w:t>https://learn.microsoft.com/en-us/microsoft-copilot-studio/requirements-licensing-subscriptions</w:t>
      </w:r>
    </w:p>
    <w:p>
      <w:pPr>
        <w:widowControl/>
      </w:pPr>
      <w:r>
        <w:rPr>
          <w:b/>
        </w:rPr>
        <w:t>[5] Make Help Center. Introduction to Make AI Agent (New).</w:t>
        <w:br/>
      </w:r>
      <w:r>
        <w:rPr>
          <w:color w:val="1E5E70"/>
          <w:sz w:val="17"/>
        </w:rPr>
        <w:t>https://help.make.com/introduction-to-make-ai-agent-new</w:t>
      </w:r>
    </w:p>
    <w:p>
      <w:pPr>
        <w:widowControl/>
      </w:pPr>
      <w:r>
        <w:rPr>
          <w:b/>
        </w:rPr>
        <w:t>[6] Zapier Help. Build an agent in Zapier Agents.</w:t>
        <w:br/>
      </w:r>
      <w:r>
        <w:rPr>
          <w:color w:val="1E5E70"/>
          <w:sz w:val="17"/>
        </w:rPr>
        <w:t>https://help.zapier.com/hc/en-us/articles/24393442652557-Build-an-agent-in-Zapier-Agents</w:t>
      </w:r>
    </w:p>
    <w:p>
      <w:pPr>
        <w:widowControl/>
      </w:pPr>
      <w:r>
        <w:rPr>
          <w:b/>
        </w:rPr>
        <w:t>[7] n8n Docs. AI Agent node.</w:t>
        <w:br/>
      </w:r>
      <w:r>
        <w:rPr>
          <w:color w:val="1E5E70"/>
          <w:sz w:val="17"/>
        </w:rPr>
        <w:t>https://docs.n8n.io/integrations/builtin/cluster-nodes/root-nodes/n8n-nodes-langchain.agent/</w:t>
      </w:r>
    </w:p>
    <w:p>
      <w:pPr>
        <w:widowControl/>
      </w:pPr>
      <w:r>
        <w:rPr>
          <w:b/>
        </w:rPr>
        <w:t>[8] Flowise. Introduction.</w:t>
        <w:br/>
      </w:r>
      <w:r>
        <w:rPr>
          <w:color w:val="1E5E70"/>
          <w:sz w:val="17"/>
        </w:rPr>
        <w:t>https://docs.flowiseai.com/</w:t>
      </w:r>
    </w:p>
    <w:p>
      <w:pPr>
        <w:widowControl/>
      </w:pPr>
      <w:r>
        <w:rPr>
          <w:b/>
        </w:rPr>
        <w:t>[9] OpenAI. Agents SDK y Quickstart.</w:t>
        <w:br/>
      </w:r>
      <w:r>
        <w:rPr>
          <w:color w:val="1E5E70"/>
          <w:sz w:val="17"/>
        </w:rPr>
        <w:t>https://openai.github.io/openai-agents-python/quickstart/</w:t>
      </w:r>
    </w:p>
    <w:p>
      <w:pPr>
        <w:widowControl/>
      </w:pPr>
      <w:r>
        <w:rPr>
          <w:b/>
        </w:rPr>
        <w:t>[10] Google. Agent Development Kit.</w:t>
        <w:br/>
      </w:r>
      <w:r>
        <w:rPr>
          <w:color w:val="1E5E70"/>
          <w:sz w:val="17"/>
        </w:rPr>
        <w:t>https://google.github.io/adk-docs/</w:t>
      </w:r>
    </w:p>
    <w:p>
      <w:pPr/>
      <w:r>
        <w:t>[11] Anthropic. Comienza con Claude Cowork.</w:t>
        <w:br/>
        <w:t>https://support.claude.com/es/articles/13345190-comienza-con-claude-cowork</w:t>
      </w:r>
    </w:p>
    <w:p>
      <w:pPr/>
      <w:r>
        <w:t>[12] Anthropic. Usa Claude Cowork en web, escritorio y móvil.</w:t>
        <w:br/>
        <w:t>https://support.claude.com/es/articles/15520349-usa-claude-cowork-en-web-escritorio-y-movil</w:t>
      </w:r>
    </w:p>
    <w:p>
      <w:pPr/>
      <w:r>
        <w:t>[13] Anthropic. Usar Claude Cowork de forma segura.</w:t>
        <w:br/>
        <w:t>https://support.claude.com/es/articles/13364135-usar-claude-cowork-de-forma-segura</w:t>
      </w:r>
    </w:p>
    <w:p>
      <w:pPr/>
      <w:r>
        <w:t>[14] Anthropic. Claude Agent SDK.</w:t>
        <w:br/>
        <w:t>https://platform.claude.com/docs/en/agent-sdk/overview</w:t>
      </w:r>
    </w:p>
    <w:sectPr w:rsidR="00FC693F" w:rsidRPr="0006063C" w:rsidSect="00034616">
      <w:headerReference w:type="default" r:id="rId9"/>
      <w:footerReference w:type="default" r:id="rId10"/>
      <w:pgSz w:w="12240" w:h="15840"/>
      <w:pgMar w:top="1162" w:right="1247" w:bottom="1049" w:left="1332"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6"/>
        <w:sz w:val="16"/>
      </w:rPr>
      <w:t>HD-05  ·  Ecosistema de herramientas y agentes  |  Octubre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05D6C"/>
        <w:sz w:val="16"/>
      </w:rPr>
      <w:t>HERRAMIENTAS DIGITALES  |  LABORATORIO DE APRENDIZAJE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8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13E54"/>
      <w:sz w:val="27"/>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E5E7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E5E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13E54"/>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