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</w:rPr>
        <w:t xml:space="preserve">Highlights</w:t>
      </w:r>
    </w:p>
    <w:p>
      <w:pPr>
        <w:spacing w:after="300" w:before="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Synthetic Expansion of Bench-Scale Experimental Data on Biosurfactant Production Using Tabular Generative Models: Trade-offs Between Fidelity, Utility, and Domain-Grounded Validation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 Four tabular generators are compared for expanding a 20-run bioprocess dataset.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 TVAE is the only generator with consistent non-negative synthetic-data utility.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 A Domain-Grounded Concordance Index validates synthetic data against real effects.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 Headline utility metrics are highly sensitive to protocol choices at small n.</w:t>
      </w:r>
    </w:p>
    <w:p>
      <w:pPr>
        <w:spacing w:after="15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 Synthetic expansion complements, but does not replace, bench-scale DOE.</w:t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(Character counts: 79, 79, 82, 77, 71 — Elsevier limit is 85 characters per bullet, 3–5 bullets.)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2026-07-07T09:50:24.517Z</dcterms:created>
  <dcterms:modified xsi:type="dcterms:W3CDTF">2026-07-07T09:50:24.517Z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