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23" w:rsidRPr="008D2E23" w:rsidRDefault="008D2E23" w:rsidP="008D2E23">
      <w:pPr>
        <w:shd w:val="clear" w:color="auto" w:fill="FFFFFF"/>
        <w:spacing w:before="100" w:beforeAutospacing="1" w:after="100" w:afterAutospacing="1" w:line="276" w:lineRule="auto"/>
        <w:jc w:val="center"/>
        <w:outlineLvl w:val="1"/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</w:pPr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>Validating Synthetic Expansion of Small-</w:t>
      </w:r>
      <w:proofErr w:type="spellStart"/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>Scale</w:t>
      </w:r>
      <w:proofErr w:type="spellEnd"/>
      <w:r w:rsidRPr="008D2E23">
        <w:rPr>
          <w:rFonts w:ascii="Aptos" w:eastAsia="Times New Roman" w:hAnsi="Aptos" w:cs="Times New Roman"/>
          <w:b/>
          <w:color w:val="000000" w:themeColor="text1"/>
          <w:sz w:val="40"/>
          <w:szCs w:val="40"/>
          <w:lang w:eastAsia="pt-BR"/>
        </w:rPr>
        <w:t xml:space="preserve"> Bioprocess Factorial Data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</w:pPr>
      <w:r w:rsidRPr="008D2E23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 xml:space="preserve">1 fonte·8 de jul. </w:t>
      </w:r>
      <w:proofErr w:type="gramStart"/>
      <w:r w:rsidRPr="008D2E23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>de</w:t>
      </w:r>
      <w:proofErr w:type="gramEnd"/>
      <w:r w:rsidRPr="008D2E23">
        <w:rPr>
          <w:rFonts w:ascii="Aptos" w:eastAsia="Times New Roman" w:hAnsi="Aptos" w:cs="Times New Roman"/>
          <w:color w:val="1B1B1C"/>
          <w:sz w:val="24"/>
          <w:szCs w:val="24"/>
          <w:lang w:eastAsia="pt-BR"/>
        </w:rPr>
        <w:t xml:space="preserve"> 2026</w:t>
      </w:r>
    </w:p>
    <w:p w:rsidR="008D2E23" w:rsidRPr="008D2E23" w:rsidRDefault="008D2E23" w:rsidP="008D2E23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O estudo investiga o uso de modelos gerativos tabulares para expandir pequenos conjuntos de dados experimentais (n=20) sobre a produção de biossurfactantes pela levedura </w:t>
      </w:r>
      <w:r w:rsidRPr="008D2E23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>Candida lipolytica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. Os autores comparam quatro geradores, como 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TVAE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 e 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TabDDPM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, avaliando sua capacidade de manter a fidelidade estatística, utilidade preditiva e segurança contra riscos de privacidade. Um destaque metodológico é a criação do 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Índice de Concordância Baseado no Domínio (ICD)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, que verifica se os dados sintéticos preservam os efeitos fatoriais validados cientificamente no experimento original. Os resultados indicam que o 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TVAE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 apresenta o melhor desempenho preditivo, embora nenhum modelo domine simultaneamente todos os critérios de validação. Conclui-se que a expansão sintética é uma ferramenta complementar útil para o planejamento de experimentos, mas seus resultados são altamente sensíveis a escolhas de implementação e sementes aleatórias.</w:t>
      </w:r>
    </w:p>
    <w:p w:rsidR="008D2E23" w:rsidRPr="008D2E23" w:rsidRDefault="00C534B0" w:rsidP="008D2E23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FF0000"/>
          <w:sz w:val="24"/>
          <w:szCs w:val="24"/>
          <w:lang w:eastAsia="pt-BR"/>
        </w:rPr>
      </w:pPr>
      <w:r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>A</w:t>
      </w:r>
      <w:r w:rsidR="008D2E23" w:rsidRPr="008D2E23"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>nalise o manuscrito anexo, fruto de um experimento de bancada, modelado com IA</w:t>
      </w:r>
      <w:r w:rsidR="009343D4"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 xml:space="preserve">,  </w:t>
      </w:r>
      <w:bookmarkStart w:id="0" w:name="_GoBack"/>
      <w:bookmarkEnd w:id="0"/>
      <w:r w:rsidR="008D2E23" w:rsidRPr="008D2E23"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 xml:space="preserve">investigando utilização de pequeno conjunto de dados experimentais... ele irá ser submetido, após revisões, a um </w:t>
      </w:r>
      <w:proofErr w:type="spellStart"/>
      <w:r w:rsidR="008D2E23" w:rsidRPr="008D2E23"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>períódico</w:t>
      </w:r>
      <w:proofErr w:type="spellEnd"/>
      <w:r w:rsidR="008D2E23" w:rsidRPr="008D2E23">
        <w:rPr>
          <w:rFonts w:ascii="Aptos" w:eastAsia="Times New Roman" w:hAnsi="Aptos" w:cs="Courier New"/>
          <w:color w:val="FF0000"/>
          <w:sz w:val="24"/>
          <w:szCs w:val="24"/>
          <w:lang w:eastAsia="pt-BR"/>
        </w:rPr>
        <w:t xml:space="preserve"> Q1/Q2 ... analise potencial seu potencial, validade, se tem inovação ou não, se tem sugestões, pontos fortes ou fracos a serem revisados ... avaliação geral.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u w:val="single"/>
          <w:lang w:eastAsia="pt-BR"/>
        </w:rPr>
      </w:pPr>
      <w:r w:rsidRPr="008D2E23">
        <w:rPr>
          <w:rFonts w:ascii="Aptos" w:eastAsia="Times New Roman" w:hAnsi="Aptos" w:cs="Courier New"/>
          <w:b/>
          <w:color w:val="0070C0"/>
          <w:sz w:val="24"/>
          <w:szCs w:val="24"/>
          <w:u w:val="single"/>
          <w:lang w:eastAsia="pt-BR"/>
        </w:rPr>
        <w:t>ANÁLISE CRÍTICA: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O manuscrito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"Synthetic Expansion of Bench-Scale Experimental Data on Biosurfactant Production Using Tabular Generative Models: Trade-offs Between Fidelity, Utility, and Domain-Grounded Validation"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apresenta um estudo metodologicamente rigoroso e muito bem contextualizado para a área de engenharia bioquímica e bioprocessos.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Abaixo, apresento uma análise detalhada baseada no conteúdo da minuta de revisão fornecida:</w:t>
      </w:r>
    </w:p>
    <w:p w:rsidR="00A8718F" w:rsidRDefault="00A8718F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  <w:t>1. Potencial e Inovação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O trabalho possui um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alto potencial de publicação em periódicos Q1/Q2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(como o </w:t>
      </w:r>
      <w:proofErr w:type="spellStart"/>
      <w:r w:rsidRPr="008D2E23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>Biochemical</w:t>
      </w:r>
      <w:proofErr w:type="spellEnd"/>
      <w:r w:rsidRPr="008D2E23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 xml:space="preserve"> Engineering Journal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mencionado).</w:t>
      </w:r>
    </w:p>
    <w:p w:rsidR="008D2E23" w:rsidRPr="008D2E23" w:rsidRDefault="008D2E23" w:rsidP="008D2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Inovação Principal: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maior mérito do trabalho não é apenas aplicar IA a dados pequenos, mas a criação do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ICD (Domain-Grounded Concordance Index)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. Esse índice é inovador pois move a validação de dados sintéticos de uma esfera meramente estatística para uma esfera científica/experimental, verificando se a IA preserva os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efeitos fatoriais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(sinal, magnitude e detectabilidade) que o pesquisador de bancada já validou como reais.</w:t>
      </w:r>
    </w:p>
    <w:p w:rsidR="008D2E23" w:rsidRPr="008D2E23" w:rsidRDefault="008D2E23" w:rsidP="008D2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lastRenderedPageBreak/>
        <w:t>Abordagem Crítica: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manuscrito evita o erro comum de "vender" a IA como uma solução mágica. Em vez disso, ele demonstra honestamente que a expansão sintética em regimes de </w:t>
      </w:r>
      <w:r w:rsidRPr="008D2E23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>n=20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é instável e que a utilidade preditiva nem sempre caminha junto com a fidelidade estatística.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  <w:t>2. Validade e Rigor Metodológico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A validade do estudo é sustentada por um pipeline reprodutível que compara quatro famílias de geradores (Gaussian Copula, CTGAN, TVAE e TabDDPM).</w:t>
      </w:r>
    </w:p>
    <w:p w:rsidR="008D2E23" w:rsidRPr="008D2E23" w:rsidRDefault="008D2E23" w:rsidP="008D2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Fundamentação em Dados Reais: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uso de um experimento real de </w:t>
      </w:r>
      <w:r w:rsidRPr="008D2E23">
        <w:rPr>
          <w:rFonts w:ascii="Aptos" w:eastAsia="Times New Roman" w:hAnsi="Aptos" w:cs="Courier New"/>
          <w:i/>
          <w:iCs/>
          <w:color w:val="303030"/>
          <w:sz w:val="24"/>
          <w:szCs w:val="24"/>
          <w:lang w:eastAsia="pt-BR"/>
        </w:rPr>
        <w:t>Candida lipolytica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UCP 988 confere autoridade ao teste.</w:t>
      </w:r>
    </w:p>
    <w:p w:rsidR="008D2E23" w:rsidRPr="008D2E23" w:rsidRDefault="008D2E23" w:rsidP="008D2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Tratamento de Instabilidade: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uso da métrica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Δ (delta de utilidade do mesmo modelo)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é uma escolha metodológica acertada para evitar ganhos espúrios quando os </w:t>
      </w:r>
      <w:proofErr w:type="spellStart"/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baselines</w:t>
      </w:r>
      <w:proofErr w:type="spellEnd"/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de dados reais são instáveis devido ao tamanho amostral reduzido.</w:t>
      </w:r>
    </w:p>
    <w:p w:rsidR="008D2E23" w:rsidRPr="008D2E23" w:rsidRDefault="008D2E23" w:rsidP="008D2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Análise de Sensibilidade: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A inclusão de um cenário com 1% de ruído para testar a estabilidade dos rankings dos geradores adiciona uma camada de robustez que revisores de alto nível costumam exigir.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  <w:t>3. Pontos Fortes</w:t>
      </w:r>
    </w:p>
    <w:p w:rsidR="008D2E23" w:rsidRPr="008D2E23" w:rsidRDefault="008D2E23" w:rsidP="008D2E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Transparência: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manuscrito trata a variabilidade dos resultados (como os valores de utilidade do TVAE variando de 0.039 a 0.668 conforme o seed/regularização) como um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achado central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, e não como ruído a ser escondido.</w:t>
      </w:r>
    </w:p>
    <w:p w:rsidR="008D2E23" w:rsidRPr="008D2E23" w:rsidRDefault="008D2E23" w:rsidP="008D2E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proofErr w:type="gramStart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Métricas Multidimensionais</w:t>
      </w:r>
      <w:proofErr w:type="gramEnd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A avaliação não foca apenas em acurácia, mas no equilíbrio entre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Fidelidade, Utilidade e Risco de Exposição (DCR)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.</w:t>
      </w:r>
    </w:p>
    <w:p w:rsidR="008D2E23" w:rsidRPr="008D2E23" w:rsidRDefault="008D2E23" w:rsidP="008D2E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Interdisciplinaridade: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texto consegue falar tanto com o cientista de dados quanto com o engenheiro bioquímico, traduzindo conceitos de IA para o contexto de planejamentos fatoriais (DOE).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  <w:t>4. Pontos Fracos e Sugestões de Revisão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A própria minuta contém notas de revisão ("NOTAS DE REVISÃO") que apontam as fragilidades atuais que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precisam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ser corrigidas antes da submissão:</w:t>
      </w:r>
    </w:p>
    <w:p w:rsidR="008D2E23" w:rsidRPr="008D2E23" w:rsidRDefault="008D2E23" w:rsidP="008D2E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Estabilidade Estatística (Crucial):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Com apenas 20 pontos, o split treino/teste único é muito volátil. A sugestão interna de adotar </w:t>
      </w:r>
      <w:proofErr w:type="spellStart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Leave-One-Out</w:t>
      </w:r>
      <w:proofErr w:type="spellEnd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 xml:space="preserve"> Cross-Validation (LOOCV)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ou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k-</w:t>
      </w:r>
      <w:proofErr w:type="spellStart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fold</w:t>
      </w:r>
      <w:proofErr w:type="spellEnd"/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 xml:space="preserve"> repetido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deve ser implementada para estabilizar os números de utilidade (TSTR/TRTR).</w:t>
      </w:r>
    </w:p>
    <w:p w:rsidR="008D2E23" w:rsidRPr="008D2E23" w:rsidRDefault="008D2E23" w:rsidP="008D2E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Agregação do ICD: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Os resultados do ICD na Tabela 2 parecem vir de uma rodada única. Para um periódico Q1, é essencial que o ICD seja reportado como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média ± intervalo de confiança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sobre as 10 repetições, assim como foi feito com a utilidade.</w:t>
      </w:r>
    </w:p>
    <w:p w:rsidR="008D2E23" w:rsidRPr="008D2E23" w:rsidRDefault="008D2E23" w:rsidP="008D2E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Recuperação de Magnitude: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fato de nenhum gerador ter passado no critério de concordância de magnitude (M) no ICD indica que a IA ainda "achata" ou distorce a força dos efeitos biológicos. Isso deve ser discutido com mais 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lastRenderedPageBreak/>
        <w:t>profundidade como uma limitação inerente ao regime de amostras extremamente pequenas.</w:t>
      </w:r>
    </w:p>
    <w:p w:rsidR="008D2E23" w:rsidRPr="008D2E23" w:rsidRDefault="008D2E23" w:rsidP="008D2E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lang w:eastAsia="pt-BR"/>
        </w:rPr>
        <w:t>Referências Bibliográficas: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 xml:space="preserve"> O documento indica que muitas referências originais tinham inconsistências e precisam ser levantadas novamente. Um periódico de alto impacto rejeitará o manuscrito se as citações e o DOI estiverem incorretos.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color w:val="303030"/>
          <w:sz w:val="24"/>
          <w:szCs w:val="24"/>
          <w:lang w:eastAsia="pt-BR"/>
        </w:rPr>
        <w:t>Avaliação Geral</w:t>
      </w: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</w:pPr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 xml:space="preserve">O manuscrito é um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u w:val="single"/>
          <w:lang w:eastAsia="pt-BR"/>
        </w:rPr>
        <w:t>trabalho de "vanguarda cautelosa"</w:t>
      </w:r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>. Ele é inovador ao propor protocolos de validação específicos para experimentos de bancada (ICD) e ao documentar a fragilidade da IA em amostras pequenas.</w:t>
      </w:r>
    </w:p>
    <w:p w:rsidR="00A8718F" w:rsidRDefault="00A8718F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b/>
          <w:bCs/>
          <w:color w:val="303030"/>
          <w:sz w:val="24"/>
          <w:szCs w:val="24"/>
          <w:u w:val="single"/>
          <w:lang w:eastAsia="pt-BR"/>
        </w:rPr>
      </w:pPr>
    </w:p>
    <w:p w:rsidR="008D2E23" w:rsidRPr="008D2E23" w:rsidRDefault="008D2E23" w:rsidP="008D2E23">
      <w:pPr>
        <w:shd w:val="clear" w:color="auto" w:fill="FFFFFF"/>
        <w:spacing w:after="0" w:line="276" w:lineRule="auto"/>
        <w:jc w:val="both"/>
        <w:rPr>
          <w:rFonts w:ascii="Aptos" w:eastAsia="Times New Roman" w:hAnsi="Aptos" w:cs="Courier New"/>
          <w:color w:val="303030"/>
          <w:sz w:val="24"/>
          <w:szCs w:val="24"/>
          <w:lang w:eastAsia="pt-BR"/>
        </w:rPr>
      </w:pP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u w:val="single"/>
          <w:lang w:eastAsia="pt-BR"/>
        </w:rPr>
        <w:t>Veredito:</w:t>
      </w:r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 xml:space="preserve"> Se os autores seguirem o </w:t>
      </w:r>
      <w:proofErr w:type="spellStart"/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>checklist</w:t>
      </w:r>
      <w:proofErr w:type="spellEnd"/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 xml:space="preserve"> interno — especialmente a implementação de LOOCV e a agregação estatística do ICD — o artigo tem </w:t>
      </w:r>
      <w:r w:rsidRPr="008D2E23">
        <w:rPr>
          <w:rFonts w:ascii="Aptos" w:eastAsia="Times New Roman" w:hAnsi="Aptos" w:cs="Courier New"/>
          <w:b/>
          <w:bCs/>
          <w:color w:val="303030"/>
          <w:sz w:val="24"/>
          <w:szCs w:val="24"/>
          <w:u w:val="single"/>
          <w:lang w:eastAsia="pt-BR"/>
        </w:rPr>
        <w:t>excelentes chances em periódicos Q1/Q2</w:t>
      </w:r>
      <w:r w:rsidRPr="00A8718F">
        <w:rPr>
          <w:rFonts w:ascii="Aptos" w:eastAsia="Times New Roman" w:hAnsi="Aptos" w:cs="Courier New"/>
          <w:color w:val="303030"/>
          <w:sz w:val="24"/>
          <w:szCs w:val="24"/>
          <w:u w:val="single"/>
          <w:lang w:eastAsia="pt-BR"/>
        </w:rPr>
        <w:t>, pois resolve uma dor real da biotecnologia: como extrair mais valor de experimentos caros e limitados sem perder o rigor científico</w:t>
      </w:r>
      <w:r w:rsidRPr="008D2E2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.</w:t>
      </w:r>
    </w:p>
    <w:p w:rsidR="00A37819" w:rsidRDefault="009343D4"/>
    <w:p w:rsidR="00B26F63" w:rsidRDefault="00B26F63"/>
    <w:p w:rsidR="00B26F63" w:rsidRPr="00B26F63" w:rsidRDefault="00B26F63" w:rsidP="00B26F63">
      <w:pPr>
        <w:spacing w:line="276" w:lineRule="auto"/>
        <w:jc w:val="both"/>
        <w:rPr>
          <w:rFonts w:ascii="Aptos" w:hAnsi="Aptos"/>
          <w:b/>
          <w:color w:val="303030"/>
          <w:sz w:val="26"/>
          <w:szCs w:val="26"/>
          <w:shd w:val="clear" w:color="auto" w:fill="EDEFFA"/>
        </w:rPr>
      </w:pPr>
      <w:r w:rsidRPr="00B26F63">
        <w:rPr>
          <w:rFonts w:ascii="Aptos" w:hAnsi="Aptos"/>
          <w:b/>
          <w:color w:val="303030"/>
          <w:sz w:val="26"/>
          <w:szCs w:val="26"/>
          <w:shd w:val="clear" w:color="auto" w:fill="EDEFFA"/>
        </w:rPr>
        <w:t>Como implementar o LOOCV para estabilizar a utilidade preditiva?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Para implementar o </w:t>
      </w:r>
      <w:proofErr w:type="spellStart"/>
      <w:r w:rsidRPr="00B26F6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Leave-One-Out</w:t>
      </w:r>
      <w:proofErr w:type="spellEnd"/>
      <w:r w:rsidRPr="00B26F6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 Cross-Validation (LOOCV)</w:t>
      </w: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e estabilizar a estimativa de utilidade preditiva no contexto de um conjunto de dados reduzido (</w:t>
      </w:r>
      <w:r w:rsidRPr="00B26F63">
        <w:rPr>
          <w:rFonts w:ascii="Aptos" w:eastAsia="Times New Roman" w:hAnsi="Aptos" w:cs="Times New Roman"/>
          <w:i/>
          <w:iCs/>
          <w:color w:val="303030"/>
          <w:sz w:val="29"/>
          <w:szCs w:val="29"/>
          <w:lang w:eastAsia="pt-BR"/>
        </w:rPr>
        <w:t>n</w:t>
      </w:r>
      <w:r w:rsidRPr="00B26F63">
        <w:rPr>
          <w:rFonts w:ascii="Aptos" w:eastAsia="Times New Roman" w:hAnsi="Aptos" w:cs="Times New Roman"/>
          <w:color w:val="303030"/>
          <w:sz w:val="29"/>
          <w:szCs w:val="29"/>
          <w:lang w:eastAsia="pt-BR"/>
        </w:rPr>
        <w:t>=20</w:t>
      </w: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), você deve substituir o split único de treino/teste por um processo iterativo que utilize cada ponto experimental como teste individualmente.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De acordo com as recomendações das notas de revisão do manuscrito, a implementação deve seguir estes passos: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1. Estrutura do Processo Iterativo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Em vez de dividir os 20 pontos reais em um único grupo de treino (ex: 15 pontos) e teste (ex: 5 pontos), o LOOCV realiza </w:t>
      </w:r>
      <w:r w:rsidRPr="00B26F6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20 iterações</w:t>
      </w: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.</w:t>
      </w:r>
    </w:p>
    <w:p w:rsidR="00B26F63" w:rsidRPr="00B26F63" w:rsidRDefault="00B26F63" w:rsidP="00B26F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Em cada iteração,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um único ponto real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é separado para servir como conjunto de teste.</w:t>
      </w:r>
    </w:p>
    <w:p w:rsidR="00B26F63" w:rsidRPr="00B26F63" w:rsidRDefault="00B26F63" w:rsidP="00B26F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Os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19 pontos restantes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são utilizados como a referência de dados reais para aquela rodada.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2. Cálculo das Métricas dentro de cada Fold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Dentro de cada uma das 20 iterações, você deve calcular o trio de métricas de utilidade:</w:t>
      </w:r>
    </w:p>
    <w:p w:rsidR="00B26F63" w:rsidRPr="00B26F63" w:rsidRDefault="00B26F63" w:rsidP="00B26F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TRTR (Train-on-Real, Test-on-Real):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Treine o modelo regressivo (como Random Forest ou MLP) nos 19 pontos reais e avalie a performance no ponto único de teste.</w:t>
      </w:r>
    </w:p>
    <w:p w:rsidR="00B26F63" w:rsidRPr="00B26F63" w:rsidRDefault="00B26F63" w:rsidP="00B26F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TSTR (Train-on-Synthetic, Test-on-Real):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Treine o modelo na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expansão sintética completa (</w:t>
      </w:r>
      <w:proofErr w:type="spellStart"/>
      <w:r w:rsidRPr="00B26F63">
        <w:rPr>
          <w:rFonts w:ascii="Aptos" w:eastAsia="Times New Roman" w:hAnsi="Aptos" w:cs="Times New Roman"/>
          <w:i/>
          <w:iCs/>
          <w:color w:val="303030"/>
          <w:sz w:val="25"/>
          <w:szCs w:val="25"/>
          <w:lang w:eastAsia="pt-BR"/>
        </w:rPr>
        <w:t>n</w:t>
      </w:r>
      <w:r w:rsidRPr="00B26F63">
        <w:rPr>
          <w:rFonts w:ascii="Aptos" w:eastAsia="Times New Roman" w:hAnsi="Aptos" w:cs="Times New Roman"/>
          <w:i/>
          <w:iCs/>
          <w:color w:val="303030"/>
          <w:sz w:val="18"/>
          <w:szCs w:val="18"/>
          <w:lang w:eastAsia="pt-BR"/>
        </w:rPr>
        <w:t>synthetic</w:t>
      </w:r>
      <w:proofErr w:type="spellEnd"/>
      <w:r w:rsidRPr="00B26F63">
        <w:rPr>
          <w:rFonts w:ascii="Aptos" w:eastAsia="Times New Roman" w:hAnsi="Aptos" w:cs="Times New Roman"/>
          <w:color w:val="303030"/>
          <w:sz w:val="2"/>
          <w:szCs w:val="2"/>
          <w:lang w:eastAsia="pt-BR"/>
        </w:rPr>
        <w:t>​</w:t>
      </w:r>
      <w:r w:rsidRPr="00B26F6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=140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)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e avalie no mesmo ponto real de teste.</w:t>
      </w:r>
    </w:p>
    <w:p w:rsidR="00B26F63" w:rsidRPr="00B26F63" w:rsidRDefault="00B26F63" w:rsidP="00B26F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i/>
          <w:iCs/>
          <w:color w:val="303030"/>
          <w:sz w:val="21"/>
          <w:szCs w:val="21"/>
          <w:lang w:eastAsia="pt-BR"/>
        </w:rPr>
        <w:t>Nota importante: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O manuscrito alerta explicitamente para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 xml:space="preserve">não </w:t>
      </w:r>
      <w:proofErr w:type="spellStart"/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subamostrar</w:t>
      </w:r>
      <w:proofErr w:type="spellEnd"/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os dados sintéticos para coincidir com o tamanho do treino real, pois isso descarta a informação que a expansão fatorial deveria fornecer.</w:t>
      </w:r>
    </w:p>
    <w:p w:rsidR="00B26F63" w:rsidRPr="00B26F63" w:rsidRDefault="00B26F63" w:rsidP="00B26F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Δ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 xml:space="preserve"> (Delta de Utilidade):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Calcule a diferença entre TSTR e TRTR para o mesmo modelo (</w:t>
      </w:r>
      <w:r w:rsidRPr="00B26F6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Δ=</w:t>
      </w:r>
      <w:r w:rsidRPr="00B26F63">
        <w:rPr>
          <w:rFonts w:ascii="Aptos" w:eastAsia="Times New Roman" w:hAnsi="Aptos" w:cs="Times New Roman"/>
          <w:i/>
          <w:iCs/>
          <w:color w:val="303030"/>
          <w:sz w:val="25"/>
          <w:szCs w:val="25"/>
          <w:lang w:eastAsia="pt-BR"/>
        </w:rPr>
        <w:t>TSTR</w:t>
      </w:r>
      <w:r w:rsidRPr="00B26F6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−</w:t>
      </w:r>
      <w:r w:rsidRPr="00B26F63">
        <w:rPr>
          <w:rFonts w:ascii="Aptos" w:eastAsia="Times New Roman" w:hAnsi="Aptos" w:cs="Times New Roman"/>
          <w:i/>
          <w:iCs/>
          <w:color w:val="303030"/>
          <w:sz w:val="25"/>
          <w:szCs w:val="25"/>
          <w:lang w:eastAsia="pt-BR"/>
        </w:rPr>
        <w:t>TRTR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).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lastRenderedPageBreak/>
        <w:t>3. Estabilização e Relato dos Resultados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 principal vantagem desta mudança é reduzir a variância de estimativa, que é muito alta quando o conjunto de teste possui apenas 5 pontos.</w:t>
      </w:r>
    </w:p>
    <w:p w:rsidR="00B26F63" w:rsidRPr="00B26F63" w:rsidRDefault="00B26F63" w:rsidP="00B26F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Agregação: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Após as 20 iterações, os resultados devem ser agregados e reportados como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 xml:space="preserve">média </w:t>
      </w:r>
      <w:r w:rsidRPr="00B26F6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±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 xml:space="preserve"> intervalo de confiança (IC)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.</w:t>
      </w:r>
    </w:p>
    <w:p w:rsidR="00B26F63" w:rsidRPr="00B26F63" w:rsidRDefault="00B26F63" w:rsidP="00B26F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Sementes Aleatórias: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Além do LOOCV, as notas sugerem agregar os resultados sobre </w:t>
      </w:r>
      <w:r w:rsidRPr="00B26F6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múltiplas sementes aleatórias</w:t>
      </w:r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(</w:t>
      </w:r>
      <w:proofErr w:type="spellStart"/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seeds</w:t>
      </w:r>
      <w:proofErr w:type="spellEnd"/>
      <w:r w:rsidRPr="00B26F6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), e não apenas múltiplas rodadas dentro de uma única seed, para garantir que o número final não seja um "estimador pontual frágil".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Por que isso é necessário?</w:t>
      </w:r>
    </w:p>
    <w:p w:rsidR="00B26F63" w:rsidRPr="00B26F63" w:rsidRDefault="00B26F63" w:rsidP="00B26F6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A investigação interna revelou que a utilidade do gerador TVAE, por exemplo, oscilou dramaticamente (de </w:t>
      </w:r>
      <w:r w:rsidRPr="00B26F6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0.039 a 0.668</w:t>
      </w:r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) dependendo de escolhas metodológicas e da semente utilizada. O LOOCV (ou um k-</w:t>
      </w:r>
      <w:proofErr w:type="spellStart"/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fold</w:t>
      </w:r>
      <w:proofErr w:type="spellEnd"/>
      <w:r w:rsidRPr="00B26F6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repetido, como 5-fold x 10 repetições) é a solução proposta para que o ranking dos geradores de IA seja confiável e passível de auditoria por revisores de periódicos de alto impacto.</w:t>
      </w:r>
    </w:p>
    <w:p w:rsidR="00B26F63" w:rsidRPr="0089677E" w:rsidRDefault="00B26F63" w:rsidP="00B26F63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89677E" w:rsidRPr="0089677E" w:rsidRDefault="0089677E" w:rsidP="00B26F63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89677E" w:rsidRPr="006E0343" w:rsidRDefault="0089677E" w:rsidP="00B26F63">
      <w:pPr>
        <w:spacing w:line="276" w:lineRule="auto"/>
        <w:jc w:val="both"/>
        <w:rPr>
          <w:rFonts w:ascii="Aptos" w:hAnsi="Aptos"/>
          <w:b/>
          <w:color w:val="303030"/>
          <w:sz w:val="26"/>
          <w:szCs w:val="26"/>
          <w:shd w:val="clear" w:color="auto" w:fill="EDEFFA"/>
        </w:rPr>
      </w:pPr>
      <w:r w:rsidRPr="006E0343">
        <w:rPr>
          <w:rFonts w:ascii="Aptos" w:hAnsi="Aptos"/>
          <w:b/>
          <w:color w:val="303030"/>
          <w:sz w:val="26"/>
          <w:szCs w:val="26"/>
          <w:shd w:val="clear" w:color="auto" w:fill="EDEFFA"/>
        </w:rPr>
        <w:t>Como agregar o ICD com média e intervalo de confiança?</w:t>
      </w:r>
    </w:p>
    <w:p w:rsidR="0035289E" w:rsidRPr="0035289E" w:rsidRDefault="0035289E" w:rsidP="0035289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Para agregar o 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Domain-Grounded Concordance Index (ICD)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com média e intervalo de confiança, conforme as recomendações das notas de revisão do manuscrito, você deve integrá-lo ao ciclo de avaliação repetida que já é utilizado para outras métricas, como a utilidade (</w:t>
      </w:r>
      <w:r w:rsidRPr="0035289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TSTR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/Δ).</w:t>
      </w:r>
    </w:p>
    <w:p w:rsidR="0035289E" w:rsidRDefault="0035289E" w:rsidP="0035289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</w:p>
    <w:p w:rsidR="0035289E" w:rsidRPr="0035289E" w:rsidRDefault="0035289E" w:rsidP="0035289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 implementação deve seguir os seguintes passos:</w:t>
      </w:r>
    </w:p>
    <w:p w:rsidR="0035289E" w:rsidRPr="0035289E" w:rsidRDefault="0035289E" w:rsidP="0035289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Integração no Laço de Repetições: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cálculo do ICD deve ser realizado dentro do laço de 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10 repetições (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n_runs=10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)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já estabelecido no pipeline. Em cada uma das 10 rodadas, o ICD deve ser computado individualmente para o lote de dados sintéticos gerado naquela iteração específica.</w:t>
      </w:r>
    </w:p>
    <w:p w:rsidR="0035289E" w:rsidRPr="0035289E" w:rsidRDefault="0035289E" w:rsidP="0035289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Cálculo por Rodada: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cada rodada, o ICD é calculado comparando os coeficientes do modelo fatorial ajustado aos dados sintéticos com os coeficientes dos dados reais, baseando-se nos critérios de concordância de sinal (S), magnitude (M) e detectabilidade (D).</w:t>
      </w:r>
    </w:p>
    <w:p w:rsidR="0035289E" w:rsidRPr="0035289E" w:rsidRDefault="0035289E" w:rsidP="0035289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Agregação Estatística:</w:t>
      </w:r>
    </w:p>
    <w:p w:rsidR="0035289E" w:rsidRPr="0035289E" w:rsidRDefault="0035289E" w:rsidP="0035289E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Média: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Calcule a média aritmética dos 10 valores de ICD obtidos.</w:t>
      </w:r>
    </w:p>
    <w:p w:rsidR="0035289E" w:rsidRPr="0035289E" w:rsidRDefault="0035289E" w:rsidP="0035289E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Intervalo de Confiança (IC):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Utilize o 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teste t de Student com 9 graus de liberdade (</w:t>
      </w:r>
      <w:proofErr w:type="spellStart"/>
      <w:r w:rsidRPr="0035289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df</w:t>
      </w:r>
      <w:proofErr w:type="spellEnd"/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=</w:t>
      </w:r>
      <w:r w:rsidRPr="0035289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n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−1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)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calcular o intervalo de confiança de 95%. Esta é a mesma convenção estatística aplicada no manuscrito para as métricas de utilidade.</w:t>
      </w:r>
    </w:p>
    <w:p w:rsidR="0035289E" w:rsidRPr="0035289E" w:rsidRDefault="0035289E" w:rsidP="0035289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Relato dos Resultados: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Os resultados devem ser apresentados no formato 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"média 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±</w:t>
      </w:r>
      <w:r w:rsidRPr="0035289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 IC"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(ex: 0.308±0.045) na Tabela 2, substituindo a estimativa de rodada única que consta na versão atual do texto.</w:t>
      </w:r>
    </w:p>
    <w:p w:rsidR="0035289E" w:rsidRPr="0035289E" w:rsidRDefault="0035289E" w:rsidP="0035289E">
      <w:pPr>
        <w:spacing w:after="0" w:line="276" w:lineRule="auto"/>
        <w:jc w:val="both"/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  <w:lastRenderedPageBreak/>
        <w:t>Por que essa agregação é necessária?</w:t>
      </w:r>
    </w:p>
    <w:p w:rsidR="0035289E" w:rsidRPr="0035289E" w:rsidRDefault="0035289E" w:rsidP="0035289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As notas de revisão enfatizam que o ICD é sensível à instabilidade amostral do regime de dados pequenos (</w:t>
      </w:r>
      <w:r w:rsidRPr="0035289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n</w:t>
      </w:r>
      <w:r w:rsidRPr="0035289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=20). Testes de sanidade realizados pelos autores mostraram que uma única rodada pode ser suficiente para inverter o ranking de fidelidade entre os geradores. Portanto, reportar a média e o intervalo de confiança é essencial para garantir que a comparação entre modelos (como TVAE vs. TabDDPM) seja estatisticamente robusta e não um artefato de uma rodada "sortuda" ou "azarada".</w:t>
      </w:r>
    </w:p>
    <w:p w:rsidR="0089677E" w:rsidRDefault="0089677E" w:rsidP="00B26F63">
      <w:pPr>
        <w:spacing w:line="276" w:lineRule="auto"/>
        <w:jc w:val="both"/>
        <w:rPr>
          <w:rFonts w:ascii="Aptos" w:hAnsi="Aptos"/>
          <w:color w:val="303030"/>
          <w:sz w:val="24"/>
          <w:szCs w:val="24"/>
          <w:shd w:val="clear" w:color="auto" w:fill="EDEFFA"/>
        </w:rPr>
      </w:pPr>
    </w:p>
    <w:p w:rsidR="0089677E" w:rsidRDefault="0089677E" w:rsidP="00B26F63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6E0343" w:rsidRPr="006E0343" w:rsidRDefault="006E0343" w:rsidP="006E0343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6E0343" w:rsidRPr="006E0343" w:rsidRDefault="006E0343" w:rsidP="006E0343">
      <w:pPr>
        <w:spacing w:line="276" w:lineRule="auto"/>
        <w:jc w:val="both"/>
        <w:rPr>
          <w:rFonts w:ascii="Aptos" w:hAnsi="Aptos"/>
          <w:b/>
          <w:sz w:val="26"/>
          <w:szCs w:val="26"/>
        </w:rPr>
      </w:pPr>
      <w:r w:rsidRPr="006E0343">
        <w:rPr>
          <w:rFonts w:ascii="Aptos" w:hAnsi="Aptos"/>
          <w:b/>
          <w:color w:val="303030"/>
          <w:sz w:val="26"/>
          <w:szCs w:val="26"/>
          <w:shd w:val="clear" w:color="auto" w:fill="EDEFFA"/>
        </w:rPr>
        <w:t>Quais modelos de regressão são usados para calcular o TSTR?</w:t>
      </w:r>
    </w:p>
    <w:p w:rsidR="006E0343" w:rsidRPr="006E0343" w:rsidRDefault="006E0343" w:rsidP="006E034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Para calcular a métrica </w:t>
      </w: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TSTR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</w:t>
      </w:r>
      <w:r w:rsidRPr="006E0343">
        <w:rPr>
          <w:rFonts w:ascii="Aptos" w:eastAsia="Times New Roman" w:hAnsi="Aptos" w:cs="Times New Roman"/>
          <w:i/>
          <w:color w:val="303030"/>
          <w:sz w:val="24"/>
          <w:szCs w:val="24"/>
          <w:lang w:eastAsia="pt-BR"/>
        </w:rPr>
        <w:t>Train-on-Synthetic, Test-on-Real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), o estudo utiliza quatro modelos de regressão aplicados à variável alvo de tensão superficial (</w:t>
      </w:r>
      <w:r w:rsidRPr="006E0343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surface_tension_mNm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). Os modelos citados são:</w:t>
      </w:r>
    </w:p>
    <w:p w:rsidR="006E0343" w:rsidRPr="006E0343" w:rsidRDefault="006E0343" w:rsidP="006E0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Regressão Linear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</w:t>
      </w:r>
      <w:r w:rsidRPr="006E0343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Linear Regression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).</w:t>
      </w:r>
    </w:p>
    <w:p w:rsidR="006E0343" w:rsidRPr="006E0343" w:rsidRDefault="006E0343" w:rsidP="006E0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Random Forest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: Configurado com 100 estimadores. As notas de revisão ressaltam que este modelo deve ser utilizado com regularização (como </w:t>
      </w:r>
      <w:r w:rsidRPr="006E0343">
        <w:rPr>
          <w:rFonts w:ascii="Aptos" w:eastAsia="Times New Roman" w:hAnsi="Aptos" w:cs="Courier New"/>
          <w:color w:val="303030"/>
          <w:sz w:val="24"/>
          <w:szCs w:val="24"/>
          <w:lang w:eastAsia="pt-BR"/>
        </w:rPr>
        <w:t>max_depth=15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) para evitar o </w:t>
      </w:r>
      <w:r w:rsidRPr="006E0343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overfitting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severo observado nos dados reais reduzidos.</w:t>
      </w:r>
    </w:p>
    <w:p w:rsidR="006E0343" w:rsidRPr="006E0343" w:rsidRDefault="006E0343" w:rsidP="006E0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MLP Regressor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(Multi-Layer Perceptron): Uma rede neural configurada com duas camadas ocultas de 100 e 50 neurônios, respectivamente.</w:t>
      </w:r>
    </w:p>
    <w:p w:rsidR="006E0343" w:rsidRPr="006E0343" w:rsidRDefault="006E0343" w:rsidP="006E0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Gradient Boosting (XGBoost)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: Configurado com 100 estimadores.</w:t>
      </w:r>
    </w:p>
    <w:p w:rsidR="006E0343" w:rsidRPr="006E0343" w:rsidRDefault="006E0343" w:rsidP="006E034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O protocolo de avaliação reporta o Δ</w:t>
      </w:r>
      <w:r w:rsidRPr="006E034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 (delta)</w:t>
      </w:r>
      <w:r w:rsidRPr="006E034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de utilidade, que compara o desempenho do TSTR em relação ao TRTR (Train-on-Real, Test-on-Real) para o modelo que maximiza o resultado TSTR em cada gerador específico.</w:t>
      </w:r>
    </w:p>
    <w:p w:rsidR="006E0343" w:rsidRDefault="006E0343" w:rsidP="006E0343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0204C6" w:rsidRPr="000204C6" w:rsidRDefault="000204C6" w:rsidP="000204C6">
      <w:pPr>
        <w:spacing w:line="276" w:lineRule="auto"/>
        <w:jc w:val="both"/>
        <w:rPr>
          <w:rFonts w:ascii="Aptos" w:hAnsi="Aptos"/>
          <w:sz w:val="24"/>
          <w:szCs w:val="24"/>
        </w:rPr>
      </w:pPr>
    </w:p>
    <w:p w:rsidR="000204C6" w:rsidRPr="000204C6" w:rsidRDefault="000204C6" w:rsidP="000204C6">
      <w:pPr>
        <w:spacing w:line="276" w:lineRule="auto"/>
        <w:jc w:val="both"/>
        <w:rPr>
          <w:rFonts w:ascii="Aptos" w:hAnsi="Aptos"/>
          <w:b/>
          <w:color w:val="303030"/>
          <w:sz w:val="26"/>
          <w:szCs w:val="26"/>
          <w:shd w:val="clear" w:color="auto" w:fill="EDEFFA"/>
        </w:rPr>
      </w:pPr>
      <w:r w:rsidRPr="000204C6">
        <w:rPr>
          <w:rFonts w:ascii="Aptos" w:hAnsi="Aptos"/>
          <w:b/>
          <w:color w:val="303030"/>
          <w:sz w:val="26"/>
          <w:szCs w:val="26"/>
          <w:shd w:val="clear" w:color="auto" w:fill="EDEFFA"/>
        </w:rPr>
        <w:t>O LOOCV deve ser aplicado também no cenário de sensibilidade?</w:t>
      </w:r>
    </w:p>
    <w:p w:rsidR="000204C6" w:rsidRPr="000204C6" w:rsidRDefault="000204C6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Sim, o 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LOOCV (</w:t>
      </w:r>
      <w:proofErr w:type="spellStart"/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Leave-One-Out</w:t>
      </w:r>
      <w:proofErr w:type="spellEnd"/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 Cross-Validation)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deve ser aplicado 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também no cenário de sensibilidade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(1% de ruído DOE).</w:t>
      </w:r>
    </w:p>
    <w:p w:rsidR="000204C6" w:rsidRPr="000204C6" w:rsidRDefault="000204C6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 recomendação para utilizar LOOCV ou k-</w:t>
      </w:r>
      <w:proofErr w:type="spellStart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fold</w:t>
      </w:r>
      <w:proofErr w:type="spellEnd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repetido em vez de um split único de treino/teste não é específica para um cenário, mas sim uma necessidade metodológica para lidar com a 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instabilidade estatística do regime de dados reduzidos (</w:t>
      </w:r>
      <w:r w:rsidRPr="000204C6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n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=20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)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.</w:t>
      </w:r>
    </w:p>
    <w:p w:rsidR="000204C6" w:rsidRPr="000204C6" w:rsidRDefault="000204C6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Aqui estão os motivos principais para essa aplicação uniforme, baseados nas fontes:</w:t>
      </w:r>
    </w:p>
    <w:p w:rsidR="000204C6" w:rsidRPr="000204C6" w:rsidRDefault="000204C6" w:rsidP="000204C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Estabilização das Estimativas: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Com apenas 20 pontos, um split único gera um conjunto de teste extremamente pequeno, o que resulta em uma variância de 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lastRenderedPageBreak/>
        <w:t>estimativa muito alta para o TSTR e o Δ de utilidade. O LOOCV ajuda a reduzir essa volatilidade em ambos os cenários.</w:t>
      </w:r>
    </w:p>
    <w:p w:rsidR="000204C6" w:rsidRPr="000204C6" w:rsidRDefault="000204C6" w:rsidP="000204C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Sensibilidade do TVAE: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estudo revelou que os resultados do TVAE são particularmente sensíveis a escolhas metodológicas e sementes aleatórias, com valores de utilidade oscilando entre 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0.039 e 0.668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apenas por variações de configuração. Aplicar o LOOCV no cenário de sensibilidade é crucial para garantir que o aumento de utilidade observado (de 0.143 para 0.617) seja um sinal robusto e não um artefato de um split favorável.</w:t>
      </w:r>
    </w:p>
    <w:p w:rsidR="000204C6" w:rsidRPr="000204C6" w:rsidRDefault="000204C6" w:rsidP="000204C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Protocolo Unificado: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manuscrito define um 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protocolo unificado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avaliar os quatro geradores em dois cenários. Para manter a comparabilidade e o rigor exigidos por periódicos Q1/Q2, as melhorias metodológicas (como o LOOCV e a agregação por média ± IC) devem ser aplicadas transversalmente a toda a Seção de Resultados.</w:t>
      </w:r>
    </w:p>
    <w:p w:rsidR="000204C6" w:rsidRPr="000204C6" w:rsidRDefault="000204C6" w:rsidP="000204C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Checklist de Submissão: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As notas de revisão explicitam a necessidade de </w:t>
      </w:r>
      <w:proofErr w:type="spellStart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recomputar</w:t>
      </w:r>
      <w:proofErr w:type="spellEnd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TSTR/TRTR via LOOCV como um passo essencial antes da submissão final, citando que a variância relevante observada na Seção 3.3 (cenário de sensibilidade) justifica essa mudança.</w:t>
      </w:r>
    </w:p>
    <w:p w:rsidR="000204C6" w:rsidRDefault="000204C6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Portanto, para fortalecer a validade do seu trabalho, o pipeline de </w:t>
      </w:r>
      <w:proofErr w:type="spellStart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recomputação</w:t>
      </w:r>
      <w:proofErr w:type="spellEnd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</w:t>
      </w:r>
      <w:r w:rsidRPr="000204C6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PEERFIX1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) deve processar tanto o </w:t>
      </w:r>
      <w:r w:rsidRPr="000204C6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baseline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quanto a </w:t>
      </w:r>
      <w:r w:rsidRPr="000204C6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sensibilidade</w:t>
      </w:r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utilizando a técnica de </w:t>
      </w:r>
      <w:proofErr w:type="spellStart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reamostragem</w:t>
      </w:r>
      <w:proofErr w:type="spellEnd"/>
      <w:r w:rsidRPr="000204C6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.</w:t>
      </w:r>
    </w:p>
    <w:p w:rsidR="00542323" w:rsidRDefault="00542323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</w:p>
    <w:p w:rsidR="00542323" w:rsidRDefault="00542323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</w:p>
    <w:p w:rsidR="00542323" w:rsidRDefault="00542323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</w:p>
    <w:p w:rsidR="00542323" w:rsidRPr="00542323" w:rsidRDefault="00542323" w:rsidP="00542323">
      <w:pPr>
        <w:spacing w:after="0" w:line="276" w:lineRule="auto"/>
        <w:jc w:val="both"/>
        <w:rPr>
          <w:rFonts w:ascii="Aptos" w:hAnsi="Aptos"/>
          <w:b/>
          <w:color w:val="303030"/>
          <w:sz w:val="26"/>
          <w:szCs w:val="26"/>
          <w:shd w:val="clear" w:color="auto" w:fill="EDEFFA"/>
        </w:rPr>
      </w:pPr>
      <w:r w:rsidRPr="00542323">
        <w:rPr>
          <w:rFonts w:ascii="Aptos" w:hAnsi="Aptos"/>
          <w:b/>
          <w:color w:val="303030"/>
          <w:sz w:val="26"/>
          <w:szCs w:val="26"/>
          <w:shd w:val="clear" w:color="auto" w:fill="EDEFFA"/>
        </w:rPr>
        <w:t>Qual é a recomendação para as bandas de tolerância do ICD?</w:t>
      </w: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As recomendações para as bandas de tolerância do critério de </w:t>
      </w:r>
      <w:r w:rsidRPr="0054232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concordância de magnitude (M)</w:t>
      </w: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do ICD são </w:t>
      </w:r>
      <w:r w:rsidRPr="0054232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adaptativas</w:t>
      </w: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, o que significa que a margem de erro permitida diminui à medida que a magnitude do efeito real aumenta.</w:t>
      </w: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As faixas de tolerância específicas definidas no manuscrito são:</w:t>
      </w:r>
    </w:p>
    <w:p w:rsidR="00542323" w:rsidRPr="00542323" w:rsidRDefault="00542323" w:rsidP="005423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±0,5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para efeitos </w:t>
      </w: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fracos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(</w:t>
      </w:r>
      <w:r w:rsidRPr="00542323">
        <w:rPr>
          <w:rFonts w:ascii="Cambria Math" w:eastAsia="Times New Roman" w:hAnsi="Cambria Math" w:cs="Cambria Math"/>
          <w:color w:val="303030"/>
          <w:sz w:val="25"/>
          <w:szCs w:val="25"/>
          <w:lang w:eastAsia="pt-BR"/>
        </w:rPr>
        <w:t>∣</w:t>
      </w:r>
      <w:proofErr w:type="spellStart"/>
      <w:r w:rsidRPr="00542323">
        <w:rPr>
          <w:rFonts w:ascii="Aptos" w:eastAsia="Times New Roman" w:hAnsi="Aptos" w:cs="Times New Roman"/>
          <w:i/>
          <w:iCs/>
          <w:color w:val="303030"/>
          <w:sz w:val="25"/>
          <w:szCs w:val="25"/>
          <w:lang w:eastAsia="pt-BR"/>
        </w:rPr>
        <w:t>coef</w:t>
      </w:r>
      <w:proofErr w:type="spellEnd"/>
      <w:r w:rsidRPr="00542323">
        <w:rPr>
          <w:rFonts w:ascii="Cambria Math" w:eastAsia="Times New Roman" w:hAnsi="Cambria Math" w:cs="Cambria Math"/>
          <w:color w:val="303030"/>
          <w:sz w:val="25"/>
          <w:szCs w:val="25"/>
          <w:lang w:eastAsia="pt-BR"/>
        </w:rPr>
        <w:t>∣</w:t>
      </w:r>
      <w:r w:rsidRPr="0054232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&lt;0,30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).</w:t>
      </w:r>
    </w:p>
    <w:p w:rsidR="00542323" w:rsidRPr="00542323" w:rsidRDefault="00542323" w:rsidP="005423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±0,3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para efeitos </w:t>
      </w: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moderados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(</w:t>
      </w:r>
      <w:r w:rsidRPr="0054232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0,30–0,60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).</w:t>
      </w:r>
    </w:p>
    <w:p w:rsidR="00542323" w:rsidRPr="00542323" w:rsidRDefault="00542323" w:rsidP="005423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</w:pP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±0,2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para efeitos </w:t>
      </w:r>
      <w:r w:rsidRPr="00542323">
        <w:rPr>
          <w:rFonts w:ascii="Aptos" w:eastAsia="Times New Roman" w:hAnsi="Aptos" w:cs="Times New Roman"/>
          <w:b/>
          <w:bCs/>
          <w:color w:val="303030"/>
          <w:sz w:val="21"/>
          <w:szCs w:val="21"/>
          <w:lang w:eastAsia="pt-BR"/>
        </w:rPr>
        <w:t>fortes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 xml:space="preserve"> (</w:t>
      </w:r>
      <w:r w:rsidRPr="00542323">
        <w:rPr>
          <w:rFonts w:ascii="Aptos" w:eastAsia="Times New Roman" w:hAnsi="Aptos" w:cs="Times New Roman"/>
          <w:color w:val="303030"/>
          <w:sz w:val="25"/>
          <w:szCs w:val="25"/>
          <w:lang w:eastAsia="pt-BR"/>
        </w:rPr>
        <w:t>≥0,60</w:t>
      </w:r>
      <w:r w:rsidRPr="00542323">
        <w:rPr>
          <w:rFonts w:ascii="Aptos" w:eastAsia="Times New Roman" w:hAnsi="Aptos" w:cs="Times New Roman"/>
          <w:color w:val="303030"/>
          <w:sz w:val="21"/>
          <w:szCs w:val="21"/>
          <w:lang w:eastAsia="pt-BR"/>
        </w:rPr>
        <w:t>).</w:t>
      </w: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Essa lógica baseia-se no princípio de que a variabilidade amostral de uma estimativa de efeito tende a estreitar-se conforme sua magnitude real cresce.</w:t>
      </w:r>
    </w:p>
    <w:p w:rsidR="00E61FFE" w:rsidRDefault="00E61FFE" w:rsidP="00542323">
      <w:pPr>
        <w:spacing w:after="0" w:line="276" w:lineRule="auto"/>
        <w:jc w:val="both"/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</w:pP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  <w:t>Ponto Crítico para Revisão</w:t>
      </w: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Apesar dessas definições, os resultados do estudo mostram que </w:t>
      </w:r>
      <w:r w:rsidRPr="0054232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nenhum dos quatro geradores testados conseguiu atingir o critério de magnitude (M)</w:t>
      </w: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qualquer um dos efeitos conhecidos, resultando em uma pontuação zero nesse eixo específico.</w:t>
      </w:r>
    </w:p>
    <w:p w:rsidR="00542323" w:rsidRPr="00542323" w:rsidRDefault="00542323" w:rsidP="00542323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Por conta disso, o </w:t>
      </w:r>
      <w:proofErr w:type="spellStart"/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checklist</w:t>
      </w:r>
      <w:proofErr w:type="spellEnd"/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final de submissão recomenda expressamente </w:t>
      </w:r>
      <w:r w:rsidRPr="00542323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revisar se essas bandas de tolerância são adequadas para um regime de </w:t>
      </w:r>
      <w:r w:rsidRPr="00542323">
        <w:rPr>
          <w:rFonts w:ascii="Aptos" w:eastAsia="Times New Roman" w:hAnsi="Aptos" w:cs="Times New Roman"/>
          <w:i/>
          <w:iCs/>
          <w:color w:val="303030"/>
          <w:sz w:val="29"/>
          <w:szCs w:val="29"/>
          <w:lang w:eastAsia="pt-BR"/>
        </w:rPr>
        <w:t>n</w:t>
      </w:r>
      <w:r w:rsidRPr="00542323">
        <w:rPr>
          <w:rFonts w:ascii="Aptos" w:eastAsia="Times New Roman" w:hAnsi="Aptos" w:cs="Times New Roman"/>
          <w:color w:val="303030"/>
          <w:sz w:val="29"/>
          <w:szCs w:val="29"/>
          <w:lang w:eastAsia="pt-BR"/>
        </w:rPr>
        <w:t>=20</w:t>
      </w:r>
      <w:r w:rsidRPr="00542323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, ou se são rigorosas demais para os dados sintéticos gerados a partir de uma amostra tão pequena.</w:t>
      </w:r>
    </w:p>
    <w:p w:rsidR="00E61FFE" w:rsidRPr="00E61FFE" w:rsidRDefault="00E61FFE" w:rsidP="00E61FFE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b/>
          <w:color w:val="303030"/>
          <w:sz w:val="26"/>
          <w:szCs w:val="26"/>
          <w:lang w:eastAsia="pt-BR"/>
        </w:rPr>
      </w:pPr>
      <w:r w:rsidRPr="00E61FFE">
        <w:rPr>
          <w:rFonts w:ascii="Aptos" w:eastAsia="Times New Roman" w:hAnsi="Aptos" w:cs="Times New Roman"/>
          <w:b/>
          <w:color w:val="303030"/>
          <w:sz w:val="26"/>
          <w:szCs w:val="26"/>
          <w:lang w:eastAsia="pt-BR"/>
        </w:rPr>
        <w:lastRenderedPageBreak/>
        <w:t>Quais seriam as bandas de tolerância ideais para amostras pequenas, em recentes estudos/pesquisas citadas na literatura acadêmica internacional?</w:t>
      </w:r>
    </w:p>
    <w:p w:rsidR="00E61FFE" w:rsidRPr="00E61FFE" w:rsidRDefault="00E61FFE" w:rsidP="00E61FF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As fontes não definem um valor numérico "ideal" universal extraído de pesquisas externas, mas propõem um sistema próprio de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bandas de tolerância adaptativas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o critério de magnitude (M) do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ICD (Domain-Grounded Concordance Index)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.</w:t>
      </w:r>
    </w:p>
    <w:p w:rsidR="00E61FFE" w:rsidRPr="00E61FFE" w:rsidRDefault="00E61FFE" w:rsidP="00E61FF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Essas bandas baseiam-se na premissa de que a variabilidade amostral de uma estimativa de efeito tende a estreitar-se à medida que sua magnitude real aumenta. No manuscrito, as bandas recomendadas para o regime de amostras pequenas (</w:t>
      </w:r>
      <w:r w:rsidRPr="00E61FF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n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=20) são:</w:t>
      </w:r>
    </w:p>
    <w:p w:rsidR="00E61FFE" w:rsidRPr="00E61FFE" w:rsidRDefault="00E61FFE" w:rsidP="00E61FF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±0,5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efeitos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fracos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(coeficiente real &lt; 0,30).</w:t>
      </w:r>
    </w:p>
    <w:p w:rsidR="00E61FFE" w:rsidRPr="00E61FFE" w:rsidRDefault="00E61FFE" w:rsidP="00E61FF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±0,3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efeitos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moderados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(coeficiente real entre 0,30 e 0,60).</w:t>
      </w:r>
    </w:p>
    <w:p w:rsidR="00E61FFE" w:rsidRPr="00E61FFE" w:rsidRDefault="00E61FFE" w:rsidP="00E61FF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±0,2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efeitos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fortes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(coeficiente real ≥ 0,60).</w:t>
      </w:r>
    </w:p>
    <w:p w:rsidR="00E61FFE" w:rsidRPr="00E61FFE" w:rsidRDefault="00E61FFE" w:rsidP="00E61FFE">
      <w:pPr>
        <w:spacing w:after="0" w:line="276" w:lineRule="auto"/>
        <w:jc w:val="both"/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color w:val="303030"/>
          <w:sz w:val="24"/>
          <w:szCs w:val="24"/>
          <w:lang w:eastAsia="pt-BR"/>
        </w:rPr>
        <w:t>Análise da "Idealidade" para Amostras Pequenas</w:t>
      </w:r>
    </w:p>
    <w:p w:rsidR="00E61FFE" w:rsidRPr="00E61FFE" w:rsidRDefault="00E61FFE" w:rsidP="00E61FF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Embora esses valores sejam utilizados, as fontes indicam que eles podem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não ser ideais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para o nível de precisão atual das IAs em amostras extremamente reduzidas:</w:t>
      </w:r>
    </w:p>
    <w:p w:rsidR="00E61FFE" w:rsidRPr="00E61FFE" w:rsidRDefault="00E61FFE" w:rsidP="00E61FF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Inviabilidade Prática em n=20: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Os resultados do estudo mostram que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nenhum dos quatro geradores testados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(Gaussian Copula, CTGAN, TVAE e TabDDPM) conseguiu atingir o critério de magnitude dentro dessas bandas, obtendo pontuação zero nesse eixo específico.</w:t>
      </w:r>
    </w:p>
    <w:p w:rsidR="00E61FFE" w:rsidRPr="00E61FFE" w:rsidRDefault="00E61FFE" w:rsidP="00E61FF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Necessidade de Revisão: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</w:t>
      </w:r>
      <w:proofErr w:type="spellStart"/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checklist</w:t>
      </w:r>
      <w:proofErr w:type="spellEnd"/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final do manuscrito recomenda expressamente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revisar se essas bandas são adequadas para n=20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, sugerindo que o rigor atual pode ser excessivo para o que modelos generativos conseguem reproduzir a partir de apenas 20 pontos.</w:t>
      </w:r>
    </w:p>
    <w:p w:rsidR="00E61FFE" w:rsidRPr="00E61FFE" w:rsidRDefault="00E61FFE" w:rsidP="00E61FF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Contexto da Literatura: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O trabalho cita pesquisas recentes de alto impacto, como </w:t>
      </w:r>
      <w:proofErr w:type="spellStart"/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Hollmann</w:t>
      </w:r>
      <w:proofErr w:type="spellEnd"/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 xml:space="preserve"> et al. (2025)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 (publicado na </w:t>
      </w:r>
      <w:r w:rsidRPr="00E61FFE">
        <w:rPr>
          <w:rFonts w:ascii="Aptos" w:eastAsia="Times New Roman" w:hAnsi="Aptos" w:cs="Times New Roman"/>
          <w:i/>
          <w:iCs/>
          <w:color w:val="303030"/>
          <w:sz w:val="24"/>
          <w:szCs w:val="24"/>
          <w:lang w:eastAsia="pt-BR"/>
        </w:rPr>
        <w:t>Nature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 xml:space="preserve">), que foca em modelos de fundação para dados tabulares pequenos, e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lang w:eastAsia="pt-BR"/>
        </w:rPr>
        <w:t>Montgomery (2012)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, para fundamentos de Planejamento de Experimentos (DOE). No entanto, o ICD é apresentado como uma contribuição original do estudo para preencher uma lacuna de validação que métricas genéricas de fidelidade estatística não resolvem.</w:t>
      </w:r>
    </w:p>
    <w:p w:rsidR="00E61FFE" w:rsidRPr="00E61FFE" w:rsidRDefault="00E61FFE" w:rsidP="00E61FFE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  <w:r w:rsidRPr="00E61FFE">
        <w:rPr>
          <w:rFonts w:ascii="Aptos" w:eastAsia="Times New Roman" w:hAnsi="Aptos" w:cs="Times New Roman"/>
          <w:color w:val="303030"/>
          <w:sz w:val="24"/>
          <w:szCs w:val="24"/>
          <w:u w:val="single"/>
          <w:lang w:eastAsia="pt-BR"/>
        </w:rPr>
        <w:t xml:space="preserve">Em conclusão, as bandas propostas são um ponto de partida fundamentado em princípios estatísticos de DOE, mas o estudo as utiliza para demonstrar que a </w:t>
      </w:r>
      <w:r w:rsidRPr="00E61FFE">
        <w:rPr>
          <w:rFonts w:ascii="Aptos" w:eastAsia="Times New Roman" w:hAnsi="Aptos" w:cs="Times New Roman"/>
          <w:b/>
          <w:bCs/>
          <w:color w:val="303030"/>
          <w:sz w:val="24"/>
          <w:szCs w:val="24"/>
          <w:u w:val="single"/>
          <w:lang w:eastAsia="pt-BR"/>
        </w:rPr>
        <w:t>recuperação de magnitude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u w:val="single"/>
          <w:lang w:eastAsia="pt-BR"/>
        </w:rPr>
        <w:t xml:space="preserve"> é a maior fragilidade da expansão sintética em bioprocessos de bancada, permanecendo como um desafio aberto na literatura</w:t>
      </w:r>
      <w:r w:rsidRPr="00E61FFE"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  <w:t>.</w:t>
      </w:r>
    </w:p>
    <w:p w:rsidR="00542323" w:rsidRDefault="00542323" w:rsidP="000204C6">
      <w:pPr>
        <w:spacing w:after="0" w:line="276" w:lineRule="auto"/>
        <w:jc w:val="both"/>
        <w:rPr>
          <w:rFonts w:ascii="Google Sans Text" w:hAnsi="Google Sans Text"/>
          <w:color w:val="303030"/>
          <w:shd w:val="clear" w:color="auto" w:fill="EDEFFA"/>
        </w:rPr>
      </w:pPr>
    </w:p>
    <w:p w:rsidR="00542323" w:rsidRPr="000204C6" w:rsidRDefault="00542323" w:rsidP="000204C6">
      <w:pPr>
        <w:spacing w:after="0" w:line="276" w:lineRule="auto"/>
        <w:jc w:val="both"/>
        <w:rPr>
          <w:rFonts w:ascii="Aptos" w:eastAsia="Times New Roman" w:hAnsi="Aptos" w:cs="Times New Roman"/>
          <w:color w:val="303030"/>
          <w:sz w:val="24"/>
          <w:szCs w:val="24"/>
          <w:lang w:eastAsia="pt-BR"/>
        </w:rPr>
      </w:pPr>
    </w:p>
    <w:p w:rsidR="000204C6" w:rsidRPr="006E0343" w:rsidRDefault="000204C6" w:rsidP="006E0343">
      <w:pPr>
        <w:spacing w:line="276" w:lineRule="auto"/>
        <w:jc w:val="both"/>
        <w:rPr>
          <w:rFonts w:ascii="Aptos" w:hAnsi="Aptos"/>
          <w:sz w:val="24"/>
          <w:szCs w:val="24"/>
        </w:rPr>
      </w:pPr>
    </w:p>
    <w:sectPr w:rsidR="000204C6" w:rsidRPr="006E0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7EB"/>
    <w:multiLevelType w:val="multilevel"/>
    <w:tmpl w:val="E60A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52C7A"/>
    <w:multiLevelType w:val="multilevel"/>
    <w:tmpl w:val="1ED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05E4"/>
    <w:multiLevelType w:val="multilevel"/>
    <w:tmpl w:val="3B0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4D3C"/>
    <w:multiLevelType w:val="multilevel"/>
    <w:tmpl w:val="6E0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269E9"/>
    <w:multiLevelType w:val="multilevel"/>
    <w:tmpl w:val="C16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E1F24"/>
    <w:multiLevelType w:val="multilevel"/>
    <w:tmpl w:val="A33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202C2"/>
    <w:multiLevelType w:val="multilevel"/>
    <w:tmpl w:val="F83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E1055"/>
    <w:multiLevelType w:val="multilevel"/>
    <w:tmpl w:val="8F70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80BCE"/>
    <w:multiLevelType w:val="multilevel"/>
    <w:tmpl w:val="23D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A787D"/>
    <w:multiLevelType w:val="multilevel"/>
    <w:tmpl w:val="3778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425B5"/>
    <w:multiLevelType w:val="multilevel"/>
    <w:tmpl w:val="8C3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06899"/>
    <w:multiLevelType w:val="multilevel"/>
    <w:tmpl w:val="17F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667B2"/>
    <w:multiLevelType w:val="multilevel"/>
    <w:tmpl w:val="EDC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4"/>
  </w:num>
  <w:num w:numId="5">
    <w:abstractNumId w:val="9"/>
  </w:num>
  <w:num w:numId="6">
    <w:abstractNumId w:val="12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5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23"/>
    <w:rsid w:val="000204C6"/>
    <w:rsid w:val="0035289E"/>
    <w:rsid w:val="004C5B2F"/>
    <w:rsid w:val="00542323"/>
    <w:rsid w:val="006E0343"/>
    <w:rsid w:val="0089677E"/>
    <w:rsid w:val="008D2E23"/>
    <w:rsid w:val="009343D4"/>
    <w:rsid w:val="00A8718F"/>
    <w:rsid w:val="00B26F63"/>
    <w:rsid w:val="00C534B0"/>
    <w:rsid w:val="00E61FFE"/>
    <w:rsid w:val="00E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4429F-3E15-498A-AB68-277FF102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D2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D2E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cover-subtitle-source-count">
    <w:name w:val="cover-subtitle-source-count"/>
    <w:basedOn w:val="Fontepargpadro"/>
    <w:rsid w:val="008D2E23"/>
  </w:style>
  <w:style w:type="character" w:customStyle="1" w:styleId="cover-subtitle-middle-dot">
    <w:name w:val="cover-subtitle-middle-dot"/>
    <w:basedOn w:val="Fontepargpadro"/>
    <w:rsid w:val="008D2E23"/>
  </w:style>
  <w:style w:type="character" w:customStyle="1" w:styleId="cover-subtitle-date">
    <w:name w:val="cover-subtitle-date"/>
    <w:basedOn w:val="Fontepargpadro"/>
    <w:rsid w:val="008D2E23"/>
  </w:style>
  <w:style w:type="paragraph" w:styleId="NormalWeb">
    <w:name w:val="Normal (Web)"/>
    <w:basedOn w:val="Normal"/>
    <w:uiPriority w:val="99"/>
    <w:semiHidden/>
    <w:unhideWhenUsed/>
    <w:rsid w:val="008D2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8D2E23"/>
    <w:rPr>
      <w:i/>
      <w:iCs/>
    </w:rPr>
  </w:style>
  <w:style w:type="character" w:styleId="Forte">
    <w:name w:val="Strong"/>
    <w:basedOn w:val="Fontepargpadro"/>
    <w:uiPriority w:val="22"/>
    <w:qFormat/>
    <w:rsid w:val="008D2E23"/>
    <w:rPr>
      <w:b/>
      <w:bCs/>
    </w:rPr>
  </w:style>
  <w:style w:type="character" w:customStyle="1" w:styleId="line">
    <w:name w:val="line"/>
    <w:basedOn w:val="Fontepargpadro"/>
    <w:rsid w:val="008D2E23"/>
  </w:style>
  <w:style w:type="character" w:customStyle="1" w:styleId="ng-star-inserted">
    <w:name w:val="ng-star-inserted"/>
    <w:basedOn w:val="Fontepargpadro"/>
    <w:rsid w:val="008D2E23"/>
  </w:style>
  <w:style w:type="character" w:customStyle="1" w:styleId="mord">
    <w:name w:val="mord"/>
    <w:basedOn w:val="Fontepargpadro"/>
    <w:rsid w:val="00B26F63"/>
  </w:style>
  <w:style w:type="character" w:customStyle="1" w:styleId="mrel">
    <w:name w:val="mrel"/>
    <w:basedOn w:val="Fontepargpadro"/>
    <w:rsid w:val="00B26F63"/>
  </w:style>
  <w:style w:type="character" w:customStyle="1" w:styleId="vlist-s">
    <w:name w:val="vlist-s"/>
    <w:basedOn w:val="Fontepargpadro"/>
    <w:rsid w:val="00B26F63"/>
  </w:style>
  <w:style w:type="character" w:customStyle="1" w:styleId="mbin">
    <w:name w:val="mbin"/>
    <w:basedOn w:val="Fontepargpadro"/>
    <w:rsid w:val="00B26F63"/>
  </w:style>
  <w:style w:type="character" w:styleId="CdigoHTML">
    <w:name w:val="HTML Code"/>
    <w:basedOn w:val="Fontepargpadro"/>
    <w:uiPriority w:val="99"/>
    <w:semiHidden/>
    <w:unhideWhenUsed/>
    <w:rsid w:val="006E0343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Fontepargpadro"/>
    <w:rsid w:val="00542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3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2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4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6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4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99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1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0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9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5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56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0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2585</Words>
  <Characters>13959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16511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MARCAL GARCIA</dc:creator>
  <cp:keywords/>
  <dc:description/>
  <cp:lastModifiedBy>FERNANDO ANTONIO MARCAL GARCIA</cp:lastModifiedBy>
  <cp:revision>14</cp:revision>
  <dcterms:created xsi:type="dcterms:W3CDTF">2026-07-08T11:32:00Z</dcterms:created>
  <dcterms:modified xsi:type="dcterms:W3CDTF">2026-07-08T12:26:00Z</dcterms:modified>
</cp:coreProperties>
</file>