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A2FE1" w:rsidRDefault="00685BE1">
      <w:pPr>
        <w:spacing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MINUTA DE REVISÃO — PARA DISCUSSÃO INTERNA DOS AUTORES</w:t>
      </w:r>
    </w:p>
    <w:p w:rsidR="00EA2FE1" w:rsidRDefault="00685BE1" w:rsidP="009267ED">
      <w:pPr>
        <w:pBdr>
          <w:left w:val="single" w:sz="12" w:space="0" w:color="E0A800"/>
        </w:pBdr>
        <w:shd w:val="clear" w:color="auto" w:fill="FFF3CD"/>
        <w:spacing w:before="120" w:after="240" w:line="276" w:lineRule="auto"/>
        <w:jc w:val="both"/>
      </w:pPr>
      <w:r>
        <w:rPr>
          <w:rFonts w:ascii="Calibri" w:eastAsia="Calibri" w:hAnsi="Calibri" w:cs="Calibri"/>
          <w:b/>
          <w:bCs/>
          <w:i/>
          <w:iCs/>
          <w:color w:val="7A5B00"/>
        </w:rPr>
        <w:t xml:space="preserve">NOTA DE REVISÃO — </w:t>
      </w:r>
      <w:r>
        <w:rPr>
          <w:rFonts w:ascii="Calibri" w:eastAsia="Calibri" w:hAnsi="Calibri" w:cs="Calibri"/>
          <w:i/>
          <w:iCs/>
          <w:color w:val="7A5B00"/>
        </w:rPr>
        <w:t xml:space="preserve">Versão 3 desta minuta. Mudança principal desde a v2: os números de utilidade (TSTR/TRTR/Δ) e o ICD foram </w:t>
      </w:r>
      <w:proofErr w:type="spellStart"/>
      <w:r>
        <w:rPr>
          <w:rFonts w:ascii="Calibri" w:eastAsia="Calibri" w:hAnsi="Calibri" w:cs="Calibri"/>
          <w:i/>
          <w:iCs/>
          <w:color w:val="7A5B00"/>
        </w:rPr>
        <w:t>recomputados</w:t>
      </w:r>
      <w:proofErr w:type="spellEnd"/>
      <w:r>
        <w:rPr>
          <w:rFonts w:ascii="Calibri" w:eastAsia="Calibri" w:hAnsi="Calibri" w:cs="Calibri"/>
          <w:i/>
          <w:iCs/>
          <w:color w:val="7A5B00"/>
        </w:rPr>
        <w:t xml:space="preserve"> a partir de um pipeline ("PEERFIX1") que corrige duas falhas metodológicas silenciosas descobertas num rerun independente do código ("reru</w:t>
      </w:r>
      <w:r>
        <w:rPr>
          <w:rFonts w:ascii="Calibri" w:eastAsia="Calibri" w:hAnsi="Calibri" w:cs="Calibri"/>
          <w:i/>
          <w:iCs/>
          <w:color w:val="7A5B00"/>
        </w:rPr>
        <w:t xml:space="preserve">n-clean-q1q2-v4"): (a) </w:t>
      </w:r>
      <w:proofErr w:type="spellStart"/>
      <w:r>
        <w:rPr>
          <w:rFonts w:ascii="Calibri" w:eastAsia="Calibri" w:hAnsi="Calibri" w:cs="Calibri"/>
          <w:i/>
          <w:iCs/>
          <w:color w:val="7A5B00"/>
        </w:rPr>
        <w:t>RandomForestRegressor</w:t>
      </w:r>
      <w:proofErr w:type="spellEnd"/>
      <w:r>
        <w:rPr>
          <w:rFonts w:ascii="Calibri" w:eastAsia="Calibri" w:hAnsi="Calibri" w:cs="Calibri"/>
          <w:i/>
          <w:iCs/>
          <w:color w:val="7A5B00"/>
        </w:rPr>
        <w:t xml:space="preserve"> sem regularização (overfitting severo em ~15 pontos de treino); (b) TSTR treinado numa </w:t>
      </w:r>
      <w:proofErr w:type="spellStart"/>
      <w:r>
        <w:rPr>
          <w:rFonts w:ascii="Calibri" w:eastAsia="Calibri" w:hAnsi="Calibri" w:cs="Calibri"/>
          <w:i/>
          <w:iCs/>
          <w:color w:val="7A5B00"/>
        </w:rPr>
        <w:t>subamostra</w:t>
      </w:r>
      <w:proofErr w:type="spellEnd"/>
      <w:r>
        <w:rPr>
          <w:rFonts w:ascii="Calibri" w:eastAsia="Calibri" w:hAnsi="Calibri" w:cs="Calibri"/>
          <w:i/>
          <w:iCs/>
          <w:color w:val="7A5B00"/>
        </w:rPr>
        <w:t xml:space="preserve"> do sintético do tamanho do treino real, em vez da expansão completa </w:t>
      </w:r>
      <w:proofErr w:type="spellStart"/>
      <w:r>
        <w:rPr>
          <w:rFonts w:ascii="Calibri" w:eastAsia="Calibri" w:hAnsi="Calibri" w:cs="Calibri"/>
          <w:i/>
          <w:iCs/>
          <w:color w:val="7A5B00"/>
        </w:rPr>
        <w:t>n_synthetic</w:t>
      </w:r>
      <w:proofErr w:type="spellEnd"/>
      <w:r>
        <w:rPr>
          <w:rFonts w:ascii="Calibri" w:eastAsia="Calibri" w:hAnsi="Calibri" w:cs="Calibri"/>
          <w:i/>
          <w:iCs/>
          <w:color w:val="7A5B00"/>
        </w:rPr>
        <w:t>=140 — o que contradizia a própria</w:t>
      </w:r>
      <w:r>
        <w:rPr>
          <w:rFonts w:ascii="Calibri" w:eastAsia="Calibri" w:hAnsi="Calibri" w:cs="Calibri"/>
          <w:i/>
          <w:iCs/>
          <w:color w:val="7A5B00"/>
        </w:rPr>
        <w:t xml:space="preserve"> Seção 2.5 já escrita. A investigação completa (isolamento de variáveis, tabela comparativa antiga × quebrada × corrigida) está em peer_review_investigation/DIAGNOSTICO_queda_utilidade_rerun_v4.md no repositório, </w:t>
      </w:r>
      <w:proofErr w:type="spellStart"/>
      <w:r>
        <w:rPr>
          <w:rFonts w:ascii="Calibri" w:eastAsia="Calibri" w:hAnsi="Calibri" w:cs="Calibri"/>
          <w:i/>
          <w:iCs/>
          <w:color w:val="7A5B00"/>
        </w:rPr>
        <w:t>branch</w:t>
      </w:r>
      <w:proofErr w:type="spellEnd"/>
      <w:r>
        <w:rPr>
          <w:rFonts w:ascii="Calibri" w:eastAsia="Calibri" w:hAnsi="Calibri" w:cs="Calibri"/>
          <w:i/>
          <w:iCs/>
          <w:color w:val="7A5B00"/>
        </w:rPr>
        <w:t xml:space="preserve"> peer-review-revisions-v1. Resultado:</w:t>
      </w:r>
      <w:r>
        <w:rPr>
          <w:rFonts w:ascii="Calibri" w:eastAsia="Calibri" w:hAnsi="Calibri" w:cs="Calibri"/>
          <w:i/>
          <w:iCs/>
          <w:color w:val="7A5B00"/>
        </w:rPr>
        <w:t xml:space="preserve"> TVAE é o único gerador com sinal de utilidade não-negativo em dois cenários, mas seu valor pontual exato é sensível a essas escolhas metodológicas — tratamos isso como achado central, não como ruído a esconder. Gaussian Copula, CTGAN e TabDDPM não mostram</w:t>
      </w:r>
      <w:r>
        <w:rPr>
          <w:rFonts w:ascii="Calibri" w:eastAsia="Calibri" w:hAnsi="Calibri" w:cs="Calibri"/>
          <w:i/>
          <w:iCs/>
          <w:color w:val="7A5B00"/>
        </w:rPr>
        <w:t xml:space="preserve"> utilidade em nenhuma configuração testada. O ICD (recalculado com as amostras do PEERFIX1) não elege TVAE como líder — nenhum gerador domina todos os eixos simultaneamente. Mantidas as correções da v1/v2 (escopo, bibliografia, seed=123, citação Souza, fot</w:t>
      </w:r>
      <w:r>
        <w:rPr>
          <w:rFonts w:ascii="Calibri" w:eastAsia="Calibri" w:hAnsi="Calibri" w:cs="Calibri"/>
          <w:i/>
          <w:iCs/>
          <w:color w:val="7A5B00"/>
        </w:rPr>
        <w:t>os conhecidas de TS). O texto está em inglês (idioma de submissão do periódico).</w:t>
      </w:r>
    </w:p>
    <w:p w:rsidR="00EA2FE1" w:rsidRDefault="00685BE1">
      <w:r>
        <w:br w:type="page"/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b/>
          <w:bCs/>
          <w:sz w:val="30"/>
          <w:szCs w:val="30"/>
        </w:rPr>
        <w:lastRenderedPageBreak/>
        <w:t>Expansão sintética de dados experimentais em escala de bancada sobre a produção de biossurfactantes usando modelos generativos tabulares: equilíbrio entre fidelidade, utilid</w:t>
      </w:r>
      <w:r w:rsidRPr="009267ED">
        <w:rPr>
          <w:rFonts w:ascii="Aptos" w:eastAsia="Calibri" w:hAnsi="Aptos" w:cs="Calibri"/>
          <w:b/>
          <w:bCs/>
          <w:sz w:val="30"/>
          <w:szCs w:val="30"/>
        </w:rPr>
        <w:t>ade e validação fundamentada no domínio.</w:t>
      </w:r>
    </w:p>
    <w:p w:rsidR="00EA2FE1" w:rsidRPr="009267ED" w:rsidRDefault="00685BE1" w:rsidP="009267ED">
      <w:pPr>
        <w:spacing w:after="6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Fernando Antonio Marçal Garcia¹*</w:t>
      </w:r>
    </w:p>
    <w:p w:rsidR="00EA2FE1" w:rsidRPr="009267ED" w:rsidRDefault="00685BE1" w:rsidP="009267ED">
      <w:pPr>
        <w:spacing w:after="6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Fabiana América Silva Dantas de Souza²</w:t>
      </w:r>
    </w:p>
    <w:p w:rsidR="00EA2FE1" w:rsidRPr="009267ED" w:rsidRDefault="00685BE1" w:rsidP="009267ED">
      <w:pPr>
        <w:spacing w:after="6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Galba Maria Campos-Takaki³</w:t>
      </w:r>
    </w:p>
    <w:p w:rsidR="00EA2FE1" w:rsidRPr="009267ED" w:rsidRDefault="00685BE1" w:rsidP="009267ED">
      <w:pPr>
        <w:spacing w:after="20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Clarissa Daisy da Costa Albuquerque¹</w:t>
      </w:r>
    </w:p>
    <w:p w:rsidR="00EA2FE1" w:rsidRPr="009267ED" w:rsidRDefault="00685BE1" w:rsidP="009267ED">
      <w:pPr>
        <w:spacing w:after="4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i/>
          <w:iCs/>
          <w:sz w:val="18"/>
          <w:szCs w:val="18"/>
        </w:rPr>
        <w:t>¹ Programa de Pós-Graduação em Desenvolvimento e Meio Ambiente (PRODEMA), Unive</w:t>
      </w:r>
      <w:r w:rsidRPr="009267ED">
        <w:rPr>
          <w:rFonts w:ascii="Aptos" w:eastAsia="Calibri" w:hAnsi="Aptos" w:cs="Calibri"/>
          <w:i/>
          <w:iCs/>
          <w:sz w:val="18"/>
          <w:szCs w:val="18"/>
        </w:rPr>
        <w:t>rsidade Federal de Pernambuco, Recife, PE, Brasil</w:t>
      </w:r>
    </w:p>
    <w:p w:rsidR="00EA2FE1" w:rsidRPr="009267ED" w:rsidRDefault="00685BE1" w:rsidP="009267ED">
      <w:pPr>
        <w:spacing w:after="4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i/>
          <w:iCs/>
          <w:sz w:val="18"/>
          <w:szCs w:val="18"/>
        </w:rPr>
        <w:t>² Departamento de Biociência Animal, Universidade Federal Rural de Pernambuco, Recife, PE, Brasil</w:t>
      </w:r>
    </w:p>
    <w:p w:rsidR="00EA2FE1" w:rsidRPr="009267ED" w:rsidRDefault="00685BE1" w:rsidP="009267ED">
      <w:pPr>
        <w:spacing w:after="4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i/>
          <w:iCs/>
          <w:sz w:val="18"/>
          <w:szCs w:val="18"/>
        </w:rPr>
        <w:t>³ Núcleo de Pesquisa em Ciências Ambientais, Universidade Católica de Pernambuco, Recife, PE, Brasil</w:t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i/>
          <w:iCs/>
          <w:sz w:val="18"/>
          <w:szCs w:val="18"/>
        </w:rPr>
        <w:t xml:space="preserve">*Autor </w:t>
      </w:r>
      <w:r w:rsidRPr="009267ED">
        <w:rPr>
          <w:rFonts w:ascii="Aptos" w:eastAsia="Calibri" w:hAnsi="Aptos" w:cs="Calibri"/>
          <w:i/>
          <w:iCs/>
          <w:sz w:val="18"/>
          <w:szCs w:val="18"/>
        </w:rPr>
        <w:t>correspondente: fernando.garcia@ufpe.br</w:t>
      </w:r>
    </w:p>
    <w:p w:rsidR="00EA2FE1" w:rsidRPr="009267ED" w:rsidRDefault="00685BE1" w:rsidP="009267ED">
      <w:pPr>
        <w:spacing w:after="400" w:line="276" w:lineRule="auto"/>
        <w:jc w:val="center"/>
        <w:rPr>
          <w:rFonts w:ascii="Aptos" w:hAnsi="Aptos"/>
        </w:rPr>
      </w:pPr>
      <w:r w:rsidRPr="009267ED">
        <w:rPr>
          <w:rFonts w:ascii="Aptos" w:eastAsia="Calibri" w:hAnsi="Aptos" w:cs="Calibri"/>
          <w:i/>
          <w:iCs/>
          <w:sz w:val="22"/>
          <w:szCs w:val="22"/>
        </w:rPr>
        <w:t>Manuscrito a ser submetido ao periódico Biochemical Engineering Journal (Elsevier).</w:t>
      </w:r>
    </w:p>
    <w:p w:rsidR="00EA2FE1" w:rsidRPr="00352BB0" w:rsidRDefault="00685BE1" w:rsidP="009267ED">
      <w:pPr>
        <w:pStyle w:val="Ttulo1"/>
        <w:spacing w:before="2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Resumo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 otimização de bioprocessos em escala laboratorial frequentemente depende de experimentos planejados com amostras muito pequ</w:t>
      </w:r>
      <w:r w:rsidRPr="009267ED">
        <w:rPr>
          <w:rFonts w:ascii="Aptos" w:eastAsia="Calibri" w:hAnsi="Aptos" w:cs="Calibri"/>
          <w:sz w:val="22"/>
          <w:szCs w:val="22"/>
        </w:rPr>
        <w:t>enas devido a restrições de custo e tempo. Conjuntos de dados fatoriais oferecem alta validade interna e interpretabilidade mecanística, mas são estatisticamente frágeis para modelagem preditiva, quantificação de incertezas e análise de sensibilidade. Test</w:t>
      </w:r>
      <w:r w:rsidRPr="009267ED">
        <w:rPr>
          <w:rFonts w:ascii="Aptos" w:eastAsia="Calibri" w:hAnsi="Aptos" w:cs="Calibri"/>
          <w:sz w:val="22"/>
          <w:szCs w:val="22"/>
        </w:rPr>
        <w:t>amos se a expansão de dados sintéticos tabulares pode complementar um pequeno conjunto de dados em escala laboratorial sobre a produção de bioemulsificante/biossurfactante por Candida lipolytica UCP 988 — usando a tensão superficial (mN/m) como resposta pr</w:t>
      </w:r>
      <w:r w:rsidRPr="009267ED">
        <w:rPr>
          <w:rFonts w:ascii="Aptos" w:eastAsia="Calibri" w:hAnsi="Aptos" w:cs="Calibri"/>
          <w:sz w:val="22"/>
          <w:szCs w:val="22"/>
        </w:rPr>
        <w:t>imária — melhorando a utilidade a jusante, preservando a estrutura experimental, monitorando o risco de divulgação baseado na proximidade e, crucialmente, verificando se a expansão preserva os efeitos fatoriais específicos que o experimento original já hav</w:t>
      </w:r>
      <w:r w:rsidRPr="009267ED">
        <w:rPr>
          <w:rFonts w:ascii="Aptos" w:eastAsia="Calibri" w:hAnsi="Aptos" w:cs="Calibri"/>
          <w:sz w:val="22"/>
          <w:szCs w:val="22"/>
        </w:rPr>
        <w:t>ia estabelecido como reais.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Apresentamos um fluxo de trabalho reproduzível que separa uma configuração de referência (0% de ruído aditivo) de uma configuração de sensibilidade (1% de ruído aditivo). Quatro geradores foram comparados — Cópula Gaussiana, CTG</w:t>
      </w:r>
      <w:r w:rsidRPr="009267ED">
        <w:rPr>
          <w:rFonts w:ascii="Aptos" w:eastAsia="Calibri" w:hAnsi="Aptos" w:cs="Calibri"/>
          <w:sz w:val="22"/>
          <w:szCs w:val="22"/>
        </w:rPr>
        <w:t>AN, TVAE e um modelo de difusão (TabDDPM) com configurações estabilizadas para o regime de amostras extremamente pequenas (n=20) — cada um produzindo 140 amostras sintéticas avaliadas com um protocolo unificado: (i) fidelidade univariada (resumos de Kolmog</w:t>
      </w:r>
      <w:r w:rsidRPr="009267ED">
        <w:rPr>
          <w:rFonts w:ascii="Aptos" w:eastAsia="Calibri" w:hAnsi="Aptos" w:cs="Calibri"/>
          <w:sz w:val="22"/>
          <w:szCs w:val="22"/>
        </w:rPr>
        <w:t>orov-Smirnov e Wasserstein), (ii) preservação da estrutura multivariada (diagnóstico de correlação), (iii) utilidade subsequente via Treinamento em Dados Sintéticos e Teste em Dados Reais (TSTR) em múltiplos regressores, relatada como uma diferença de util</w:t>
      </w:r>
      <w:r w:rsidRPr="009267ED">
        <w:rPr>
          <w:rFonts w:ascii="Aptos" w:eastAsia="Calibri" w:hAnsi="Aptos" w:cs="Calibri"/>
          <w:sz w:val="22"/>
          <w:szCs w:val="22"/>
        </w:rPr>
        <w:t xml:space="preserve">idade do mesmo modelo Δ = TSTR − TRTR para evitar ganhos espúrios quando as linhas de base dos dados </w:t>
      </w:r>
      <w:proofErr w:type="gramStart"/>
      <w:r w:rsidRPr="009267ED">
        <w:rPr>
          <w:rFonts w:ascii="Aptos" w:eastAsia="Calibri" w:hAnsi="Aptos" w:cs="Calibri"/>
          <w:sz w:val="22"/>
          <w:szCs w:val="22"/>
        </w:rPr>
        <w:t>reais</w:t>
      </w:r>
      <w:proofErr w:type="gramEnd"/>
      <w:r w:rsidRPr="009267ED">
        <w:rPr>
          <w:rFonts w:ascii="Aptos" w:eastAsia="Calibri" w:hAnsi="Aptos" w:cs="Calibri"/>
          <w:sz w:val="22"/>
          <w:szCs w:val="22"/>
        </w:rPr>
        <w:t xml:space="preserve"> são instáveis em n pequeno, (iv) risco de proximidade via Distância ao Registro Mais Próximo (DCR) e (v) um novo Índice de Concordância Fundamentado </w:t>
      </w:r>
      <w:r w:rsidRPr="009267ED">
        <w:rPr>
          <w:rFonts w:ascii="Aptos" w:eastAsia="Calibri" w:hAnsi="Aptos" w:cs="Calibri"/>
          <w:sz w:val="22"/>
          <w:szCs w:val="22"/>
        </w:rPr>
        <w:t xml:space="preserve">no Domínio (ICD) que reajusta o modelo fatorial codificado (efeitos principais e interações de duas vias) em dados reais e sintéticos e pontua a concordância de sinal e a magnitude. </w:t>
      </w:r>
      <w:proofErr w:type="gramStart"/>
      <w:r w:rsidRPr="009267ED">
        <w:rPr>
          <w:rFonts w:ascii="Aptos" w:eastAsia="Calibri" w:hAnsi="Aptos" w:cs="Calibri"/>
          <w:sz w:val="22"/>
          <w:szCs w:val="22"/>
        </w:rPr>
        <w:t>concordância</w:t>
      </w:r>
      <w:proofErr w:type="gramEnd"/>
      <w:r w:rsidRPr="009267ED">
        <w:rPr>
          <w:rFonts w:ascii="Aptos" w:eastAsia="Calibri" w:hAnsi="Aptos" w:cs="Calibri"/>
          <w:sz w:val="22"/>
          <w:szCs w:val="22"/>
        </w:rPr>
        <w:t xml:space="preserve"> e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detectabilidade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estatística em relação aos efeitos já valid</w:t>
      </w:r>
      <w:r w:rsidRPr="009267ED">
        <w:rPr>
          <w:rFonts w:ascii="Aptos" w:eastAsia="Calibri" w:hAnsi="Aptos" w:cs="Calibri"/>
          <w:sz w:val="22"/>
          <w:szCs w:val="22"/>
        </w:rPr>
        <w:t>ados na análise experimental original.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lastRenderedPageBreak/>
        <w:t xml:space="preserve">Na configuração de referência, o TVAE foi o único gerador a apresentar um sinal de utilidade downstream não negativo (TSTR_best = 0,143, melhor modelo = MLP), aumentando para TSTR_best = 0,617 (floresta aleatória) na </w:t>
      </w:r>
      <w:r w:rsidRPr="009267ED">
        <w:rPr>
          <w:rFonts w:ascii="Aptos" w:eastAsia="Calibri" w:hAnsi="Aptos" w:cs="Calibri"/>
          <w:sz w:val="22"/>
          <w:szCs w:val="22"/>
        </w:rPr>
        <w:t xml:space="preserve">configuração de sensibilidade de 1%; a Cópula Gaussiana, o CTGAN e o TabDDPM apresentaram utilidade negativa em ambas as configurações. A preservação multivariada do TVAE foi moderada (correlação de correlações = 0,320 na configuração de referência, 0,638 </w:t>
      </w:r>
      <w:r w:rsidRPr="009267ED">
        <w:rPr>
          <w:rFonts w:ascii="Aptos" w:eastAsia="Calibri" w:hAnsi="Aptos" w:cs="Calibri"/>
          <w:sz w:val="22"/>
          <w:szCs w:val="22"/>
        </w:rPr>
        <w:t>na sensibilidade) e seu risco de proximidade foi não desprezível (fração DCR &lt; 0,1 = 0,493 na configuração de referência, 0,629 na sensibilidade). Um Índice de Concordância Fundamentado no Domínio (ICD), pontuado em relação ao único efeito fatorial signifi</w:t>
      </w:r>
      <w:r w:rsidRPr="009267ED">
        <w:rPr>
          <w:rFonts w:ascii="Aptos" w:eastAsia="Calibri" w:hAnsi="Aptos" w:cs="Calibri"/>
          <w:sz w:val="22"/>
          <w:szCs w:val="22"/>
        </w:rPr>
        <w:t>cativo confirmado para esta variável de resposta, não destacou o TVAE como o gerador mais forte nesse eixo (a Cópula Gaussiana e o TabDDPM empataram em primeiro lugar); nenhum gerador domina simultaneamente em utilidade, fidelidade multivariada, concordânc</w:t>
      </w:r>
      <w:r w:rsidRPr="009267ED">
        <w:rPr>
          <w:rFonts w:ascii="Aptos" w:eastAsia="Calibri" w:hAnsi="Aptos" w:cs="Calibri"/>
          <w:sz w:val="22"/>
          <w:szCs w:val="22"/>
        </w:rPr>
        <w:t>ia de domínio e risco de divulgação. Uma análise de sensibilidade dedicada demonstra ainda que os valores de utilidade principais em n≈20 são altamente sensíveis à regularização do modelo subsequente, à convenção usada para dimensionar o conjunto de treina</w:t>
      </w:r>
      <w:r w:rsidRPr="009267ED">
        <w:rPr>
          <w:rFonts w:ascii="Aptos" w:eastAsia="Calibri" w:hAnsi="Aptos" w:cs="Calibri"/>
          <w:sz w:val="22"/>
          <w:szCs w:val="22"/>
        </w:rPr>
        <w:t>mento sintético e à semente aleatória — alterações da mesma ordem de magnitude que as diferenças entre os geradores. No geral, o estudo indica que a expansão sintética pode, na melhor das hipóteses, fornecer um sinal de utilidade modesto e instável para um</w:t>
      </w:r>
      <w:r w:rsidRPr="009267ED">
        <w:rPr>
          <w:rFonts w:ascii="Aptos" w:eastAsia="Calibri" w:hAnsi="Aptos" w:cs="Calibri"/>
          <w:sz w:val="22"/>
          <w:szCs w:val="22"/>
        </w:rPr>
        <w:t>a variável de resposta com estrutura esparsa nesse tamanho de amostra, e propõe um protocolo de validação proporcional a regimes de n extremamente pequeno — ancorado em conhecimento independente do domínio e explícito sobre sua própria sensibilidade às esc</w:t>
      </w:r>
      <w:r w:rsidRPr="009267ED">
        <w:rPr>
          <w:rFonts w:ascii="Aptos" w:eastAsia="Calibri" w:hAnsi="Aptos" w:cs="Calibri"/>
          <w:sz w:val="22"/>
          <w:szCs w:val="22"/>
        </w:rPr>
        <w:t>olhas de implementação — como pré-condição para confiar em qualquer valor principal isolado nesse regime.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2"/>
          <w:szCs w:val="22"/>
        </w:rPr>
        <w:t>Palavras-chave:</w:t>
      </w:r>
      <w:r w:rsidRPr="009267ED">
        <w:rPr>
          <w:rFonts w:ascii="Aptos" w:eastAsia="Calibri" w:hAnsi="Aptos" w:cs="Calibri"/>
          <w:i/>
          <w:iCs/>
          <w:sz w:val="22"/>
          <w:szCs w:val="22"/>
        </w:rPr>
        <w:t xml:space="preserve"> Bioemulsificante; Planejamento fatorial; Modelos de difusão; Treinamento em dados sintéticos seguido de teste em dados reais (TSTR); V</w:t>
      </w:r>
      <w:r w:rsidRPr="009267ED">
        <w:rPr>
          <w:rFonts w:ascii="Aptos" w:eastAsia="Calibri" w:hAnsi="Aptos" w:cs="Calibri"/>
          <w:i/>
          <w:iCs/>
          <w:sz w:val="22"/>
          <w:szCs w:val="22"/>
        </w:rPr>
        <w:t>alidação baseada no domínio; Dados sintéticos de pequena amostra; Candida lipolytica.</w:t>
      </w: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EA2FE1" w:rsidRPr="00352BB0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1. Introdução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Biossurfactantes e bioemulsificantes são biomoléculas anfipáticas que reduzem a tensão interfacial e estabilizam emulsões, possibilitando aplicações em remediação ambiental, recuperação aprimorada de petróleo e formulações industriais (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Banat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et al., 2010; </w:t>
      </w:r>
      <w:r w:rsidRPr="009267ED">
        <w:rPr>
          <w:rFonts w:ascii="Aptos" w:eastAsia="Calibri" w:hAnsi="Aptos" w:cs="Calibri"/>
          <w:sz w:val="22"/>
          <w:szCs w:val="22"/>
        </w:rPr>
        <w:t>Santos et al., 2016). A cepa específica utilizada neste estudo, Candida lipolytica UCP 988, já foi caracterizada para a produção de biossurfactante/bioemulsificante e biodegradação de óleo diesel (Rufino et al., 2014). Leveduras como Candida lipolytica são</w:t>
      </w:r>
      <w:r w:rsidRPr="009267ED">
        <w:rPr>
          <w:rFonts w:ascii="Aptos" w:eastAsia="Calibri" w:hAnsi="Aptos" w:cs="Calibri"/>
          <w:sz w:val="22"/>
          <w:szCs w:val="22"/>
        </w:rPr>
        <w:t xml:space="preserve"> produtoras atraentes porque podem metabolizar diversas fontes de carbono e tolerar estresses relevantes para o processo (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Jimoh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Lin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2019). A experimentação em escala laboratorial continua sendo a base da seleção de cepas, otimização de meios de cultura </w:t>
      </w:r>
      <w:r w:rsidRPr="009267ED">
        <w:rPr>
          <w:rFonts w:ascii="Aptos" w:eastAsia="Calibri" w:hAnsi="Aptos" w:cs="Calibri"/>
          <w:sz w:val="22"/>
          <w:szCs w:val="22"/>
        </w:rPr>
        <w:t>e desenvolvimento inicial de processos, mas o número de experimentos é geralmente limitado por tempo, custo e capacidade analítica.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O planejamento de experimentos (DOE, na sigla em inglês) atenua parcialmente essa limitação, maximizando a informação por ex</w:t>
      </w:r>
      <w:r w:rsidRPr="009267ED">
        <w:rPr>
          <w:rFonts w:ascii="Aptos" w:eastAsia="Calibri" w:hAnsi="Aptos" w:cs="Calibri"/>
          <w:sz w:val="22"/>
          <w:szCs w:val="22"/>
        </w:rPr>
        <w:t xml:space="preserve">ecução por meio de combinações controladas de níveis de fatores (Montgomery, 2012). Conjuntos de dados fatoriais pequenos permitem a estimativa interpretável de efeitos principais e interações, mas o mesmo regime de pequeno </w:t>
      </w:r>
      <w:proofErr w:type="gramStart"/>
      <w:r w:rsidRPr="009267ED">
        <w:rPr>
          <w:rFonts w:ascii="Aptos" w:eastAsia="Calibri" w:hAnsi="Aptos" w:cs="Calibri"/>
          <w:sz w:val="22"/>
          <w:szCs w:val="22"/>
        </w:rPr>
        <w:t>n</w:t>
      </w:r>
      <w:proofErr w:type="gramEnd"/>
      <w:r w:rsidRPr="009267ED">
        <w:rPr>
          <w:rFonts w:ascii="Aptos" w:eastAsia="Calibri" w:hAnsi="Aptos" w:cs="Calibri"/>
          <w:sz w:val="22"/>
          <w:szCs w:val="22"/>
        </w:rPr>
        <w:t xml:space="preserve"> é estatisticamente frágil para</w:t>
      </w:r>
      <w:r w:rsidRPr="009267ED">
        <w:rPr>
          <w:rFonts w:ascii="Aptos" w:eastAsia="Calibri" w:hAnsi="Aptos" w:cs="Calibri"/>
          <w:sz w:val="22"/>
          <w:szCs w:val="22"/>
        </w:rPr>
        <w:t xml:space="preserve"> modelagem preditiva moderna, quantificação de incertezas e análise de sensibilidade robusta.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lastRenderedPageBreak/>
        <w:t>A geração de dados tabulares sintéticos é uma estratégia para complementar pequenos conjuntos de dados de planejamento de experimentos (DOE), desde que as amostra</w:t>
      </w:r>
      <w:r w:rsidRPr="009267ED">
        <w:rPr>
          <w:rFonts w:ascii="Aptos" w:eastAsia="Calibri" w:hAnsi="Aptos" w:cs="Calibri"/>
          <w:sz w:val="22"/>
          <w:szCs w:val="22"/>
        </w:rPr>
        <w:t>s sintéticas preservem a estrutura experimental e não introduzam respostas implausíveis. Os avanços recentes abrangem linhas de base estatísticas (modelos de cópula) e abordagens generativas profundas, como GANs condicionais (CTGAN; Xu et al., 2019), autoe</w:t>
      </w:r>
      <w:r w:rsidRPr="009267ED">
        <w:rPr>
          <w:rFonts w:ascii="Aptos" w:eastAsia="Calibri" w:hAnsi="Aptos" w:cs="Calibri"/>
          <w:sz w:val="22"/>
          <w:szCs w:val="22"/>
        </w:rPr>
        <w:t xml:space="preserve">ncoders variacionais (TVAE;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Patki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et al., 2016) e geradores baseados em difusão (TabDDPM;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Kotelnikov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et al., 2023). Seu comportamento em regimes de amostras extremamente pequenas (n≈20) permanece incerto: os geradores podem apresentar subajuste (perda de f</w:t>
      </w:r>
      <w:r w:rsidRPr="009267ED">
        <w:rPr>
          <w:rFonts w:ascii="Aptos" w:eastAsia="Calibri" w:hAnsi="Aptos" w:cs="Calibri"/>
          <w:sz w:val="22"/>
          <w:szCs w:val="22"/>
        </w:rPr>
        <w:t>idelidade) ou concentrar-se perto de registros reais (risco de proximidade), o que é importante para dados de bioprocessos proprietários ou sensíveis à privacidade. Uma linha de trabalho relacionada, mas distinta, utiliza grandes modelos tabulares pré-trei</w:t>
      </w:r>
      <w:r w:rsidRPr="009267ED">
        <w:rPr>
          <w:rFonts w:ascii="Aptos" w:eastAsia="Calibri" w:hAnsi="Aptos" w:cs="Calibri"/>
          <w:sz w:val="22"/>
          <w:szCs w:val="22"/>
        </w:rPr>
        <w:t>nados, em vez de treinamento generativo específico para o conjunto de dados, para fazer previsões diretamente em pequenos conjuntos de dados tabulares (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Hollmann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et al., 2025); Este estudo concentra-se, em vez disso, na expansão generativa específica do con</w:t>
      </w:r>
      <w:r w:rsidRPr="009267ED">
        <w:rPr>
          <w:rFonts w:ascii="Aptos" w:eastAsia="Calibri" w:hAnsi="Aptos" w:cs="Calibri"/>
          <w:sz w:val="22"/>
          <w:szCs w:val="22"/>
        </w:rPr>
        <w:t>junto de dados, que consideramos mais adequada para produzir um conjunto de dados sintéticos auditável em conjunto com — e não em substituição de — o experimento original.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Uma questão tão importante quanto a fidelidade estatística, e que motiva este estudo</w:t>
      </w:r>
      <w:r w:rsidRPr="009267ED">
        <w:rPr>
          <w:rFonts w:ascii="Aptos" w:eastAsia="Calibri" w:hAnsi="Aptos" w:cs="Calibri"/>
          <w:sz w:val="22"/>
          <w:szCs w:val="22"/>
        </w:rPr>
        <w:t>, é se os dados sintéticos preservam as conclusões científicas específicas já estabelecidas pelo experimento original. Um gerador pode reproduzir uma distribuição de aparência plausível, distorcendo os próprios efeitos de interação que justificaram o delin</w:t>
      </w:r>
      <w:r w:rsidRPr="009267ED">
        <w:rPr>
          <w:rFonts w:ascii="Aptos" w:eastAsia="Calibri" w:hAnsi="Aptos" w:cs="Calibri"/>
          <w:sz w:val="22"/>
          <w:szCs w:val="22"/>
        </w:rPr>
        <w:t xml:space="preserve">eamento fatorial em primeiro lugar. Este é o principal obstáculo à aceitação de dados sintéticos por pesquisadores experimentais: semelhança estatística não é o mesmo que fidelidade científica. Preencher essa lacuna — com um protocolo de validação simples </w:t>
      </w:r>
      <w:r w:rsidRPr="009267ED">
        <w:rPr>
          <w:rFonts w:ascii="Aptos" w:eastAsia="Calibri" w:hAnsi="Aptos" w:cs="Calibri"/>
          <w:sz w:val="22"/>
          <w:szCs w:val="22"/>
        </w:rPr>
        <w:t>o suficiente para ser auditado por um revisor não especializado e proporcional a um regime de n≈20 — é a principal contribuição deste trabalho.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1.1 Objetivos da Pesquisa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Avaliamos se a expansão sintética de um conjunto de dados fatoriais em escala laborato</w:t>
      </w:r>
      <w:r w:rsidRPr="009267ED">
        <w:rPr>
          <w:rFonts w:ascii="Aptos" w:eastAsia="Calibri" w:hAnsi="Aptos" w:cs="Calibri"/>
          <w:sz w:val="22"/>
          <w:szCs w:val="22"/>
        </w:rPr>
        <w:t>rial sobre a produção de bioemulsificante/biossurfactante por Candida lipolytica UCP 988 pode (i) suportar análises que o conjunto de dados original de 20 execuções não consegue sustentar de forma robusta por si só, e (ii) fazê-lo preservando os efeitos fa</w:t>
      </w:r>
      <w:r w:rsidRPr="009267ED">
        <w:rPr>
          <w:rFonts w:ascii="Aptos" w:eastAsia="Calibri" w:hAnsi="Aptos" w:cs="Calibri"/>
          <w:sz w:val="22"/>
          <w:szCs w:val="22"/>
        </w:rPr>
        <w:t>toriais que uma análise experimental independente do mesmo conjunto de dados já validou, sob uma contabilização explícita e auditável de riscos de divulgação.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1.2 Contribuições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Um método reproduzível de avaliação de fidelidade-utilidade-risco, adaptado a e</w:t>
      </w:r>
      <w:r w:rsidRPr="009267ED">
        <w:rPr>
          <w:rFonts w:ascii="Aptos" w:eastAsia="Calibri" w:hAnsi="Aptos" w:cs="Calibri"/>
          <w:sz w:val="22"/>
          <w:szCs w:val="22"/>
        </w:rPr>
        <w:t>xperimentos reais em escala laboratorial com um número extremamente pequeno de amostras (n=20).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Uma comparação empírica de quatro geradores modernos de dados sintéticos tabulares sob um regime de planejamento de experimentos (DOE) relevante para a otimizaç</w:t>
      </w:r>
      <w:r w:rsidRPr="009267ED">
        <w:rPr>
          <w:rFonts w:ascii="Aptos" w:eastAsia="Calibri" w:hAnsi="Aptos" w:cs="Calibri"/>
          <w:sz w:val="22"/>
          <w:szCs w:val="22"/>
        </w:rPr>
        <w:t>ão de bioprocessos, incluindo uma análise de sensibilidade explícita sob pequena perturbação aditiva.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Um Índice de Concordância Fundamentado no Domínio (ICD, na sigla em inglês) que valida dados sintéticos em relação a efeitos fatoriais já estabelecidos po</w:t>
      </w:r>
      <w:r w:rsidRPr="009267ED">
        <w:rPr>
          <w:rFonts w:ascii="Aptos" w:eastAsia="Calibri" w:hAnsi="Aptos" w:cs="Calibri"/>
          <w:sz w:val="22"/>
          <w:szCs w:val="22"/>
        </w:rPr>
        <w:t xml:space="preserve">r análises experimentais independentes (sinal, magnitude e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detectabilidade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estatística de cada efeito conhecido), em vez de se basear apenas em métricas genéricas de fidelidade distribucional.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Orientações práticas para usar a expansão sintética como um com</w:t>
      </w:r>
      <w:r w:rsidRPr="009267ED">
        <w:rPr>
          <w:rFonts w:ascii="Aptos" w:eastAsia="Calibri" w:hAnsi="Aptos" w:cs="Calibri"/>
          <w:sz w:val="22"/>
          <w:szCs w:val="22"/>
        </w:rPr>
        <w:t>plemento — e não um substituto — ao planejamento de experimentos em escala de bancada, incluindo considerações de pós-processamento com foco na mitigação de riscos.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lastRenderedPageBreak/>
        <w:t>Observamos ao longo do texto que métricas de proximidade, como o DCR, são diagnósticos conv</w:t>
      </w:r>
      <w:r w:rsidRPr="009267ED">
        <w:rPr>
          <w:rFonts w:ascii="Aptos" w:eastAsia="Calibri" w:hAnsi="Aptos" w:cs="Calibri"/>
          <w:sz w:val="22"/>
          <w:szCs w:val="22"/>
        </w:rPr>
        <w:t xml:space="preserve">enientes, mas não substituem avaliações de privacidade baseadas em ataques (por exemplo, inferência de associação;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Shokri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et al., 2017; Yao et al., 2025); uma análise dedicada à inferência de associação é identificada como trabalho futuro na Seção 4.3, em </w:t>
      </w:r>
      <w:r w:rsidRPr="009267ED">
        <w:rPr>
          <w:rFonts w:ascii="Aptos" w:eastAsia="Calibri" w:hAnsi="Aptos" w:cs="Calibri"/>
          <w:sz w:val="22"/>
          <w:szCs w:val="22"/>
        </w:rPr>
        <w:t>vez de ser relatada aqui.</w:t>
      </w: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EA2FE1" w:rsidRPr="00352BB0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2. Materiais e Métodos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2.1 Conjunto de dados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O conjunto de dados real é um projeto fatorial completo 2⁴ com réplicas no ponto central (n=20 execuções), que estuda os efeitos da composição de nutrientes e da salinidade no desempe</w:t>
      </w:r>
      <w:r w:rsidRPr="009267ED">
        <w:rPr>
          <w:rFonts w:ascii="Aptos" w:eastAsia="Calibri" w:hAnsi="Aptos" w:cs="Calibri"/>
          <w:sz w:val="22"/>
          <w:szCs w:val="22"/>
        </w:rPr>
        <w:t>nho de bioemulsificantes/biossurfactantes por Candida lipolytica UCP 988 (cepa do banco de culturas UNICAP), fermentada a 28 °C, 150 rpm, durante 168 h em meio à base de água do mar com 5% de óleo diesel (v/v).</w:t>
      </w:r>
    </w:p>
    <w:p w:rsidR="00EA2FE1" w:rsidRPr="009267ED" w:rsidRDefault="00685BE1" w:rsidP="00352BB0">
      <w:pPr>
        <w:pBdr>
          <w:left w:val="single" w:sz="12" w:space="0" w:color="E0A800"/>
        </w:pBdr>
        <w:shd w:val="clear" w:color="auto" w:fill="FFF3CD"/>
        <w:spacing w:before="120" w:after="2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b/>
          <w:bCs/>
          <w:i/>
          <w:iCs/>
          <w:color w:val="7A5B00"/>
        </w:rPr>
        <w:t xml:space="preserve">NOTA DE REVISÃO — </w:t>
      </w:r>
      <w:r w:rsidRPr="009267ED">
        <w:rPr>
          <w:rFonts w:ascii="Aptos" w:eastAsia="Calibri" w:hAnsi="Aptos" w:cs="Calibri"/>
          <w:i/>
          <w:iCs/>
          <w:color w:val="7A5B00"/>
        </w:rPr>
        <w:t>Fonte confirmada: Souza, FA</w:t>
      </w:r>
      <w:r w:rsidRPr="009267ED">
        <w:rPr>
          <w:rFonts w:ascii="Aptos" w:eastAsia="Calibri" w:hAnsi="Aptos" w:cs="Calibri"/>
          <w:i/>
          <w:iCs/>
          <w:color w:val="7A5B00"/>
        </w:rPr>
        <w:t>SD Biodegradação de Óleo Diesel por Candida lipolytica em água do mar (Tese de Doutorado, PRODEMA/UFPE), Tabela 8, "2º Planejamento Fatorial Completo 2⁴". A citação "Dissertação de Batista" que apareceu nos Métodos do manuscrito original estava incorreta e</w:t>
      </w:r>
      <w:r w:rsidRPr="009267ED">
        <w:rPr>
          <w:rFonts w:ascii="Aptos" w:eastAsia="Calibri" w:hAnsi="Aptos" w:cs="Calibri"/>
          <w:i/>
          <w:iCs/>
          <w:color w:val="7A5B00"/>
        </w:rPr>
        <w:t xml:space="preserve"> foi substituída.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Variáveis de entrada (fatores):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Concentração de água do mar: 0%, 50%, 100% (v/v)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Ureia: 0%, 0,25%, 0,5% (p/v)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Sulfato de amônio: 0,2%, 0,4%, 0,6% (p/v)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Fosfato monobásico de potássio (KH₂PO₄): 0,5%, 1,0%, 1,5% (p/v)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Variáveis de resposta: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Primário: tensão superficial, 42,22–53,57 mN/m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Secundária: atividade emulsificante para água em óleo de milho (5,37–6,00 UAE), água em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hexadecano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(0–4,69 UAE), água em óleo diesel (0–3,82 UAE)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 análise experimental original (Souza, tese de doutorado) apresenta duas análises fatoriais separadas para este delineamento experimental — uma para atividade emulsificante (AEM) e outra para tensão superficial (TS) — e seus efeitos significativos não coi</w:t>
      </w:r>
      <w:r w:rsidRPr="009267ED">
        <w:rPr>
          <w:rFonts w:ascii="Aptos" w:eastAsia="Calibri" w:hAnsi="Aptos" w:cs="Calibri"/>
          <w:sz w:val="22"/>
          <w:szCs w:val="22"/>
        </w:rPr>
        <w:t xml:space="preserve">ncidem. Para AEM, ureia e sulfato de amônio apresentam efeitos principais positivos significativos, água do mar e fosfato de potássio apresentam efeitos principais negativos significativos, e três interações de dois fatores (sulfato de amônio × fosfato de </w:t>
      </w:r>
      <w:r w:rsidRPr="009267ED">
        <w:rPr>
          <w:rFonts w:ascii="Aptos" w:eastAsia="Calibri" w:hAnsi="Aptos" w:cs="Calibri"/>
          <w:sz w:val="22"/>
          <w:szCs w:val="22"/>
        </w:rPr>
        <w:t>potássio, água do mar × sulfato de amônio, ureia × fosfato de potássio) são significativas e positivas. Para TS — a variável resposta efetivamente modelada neste estudo — a análise original apresenta uma estrutura consideravelmente mais esparsa: apenas o e</w:t>
      </w:r>
      <w:r w:rsidRPr="009267ED">
        <w:rPr>
          <w:rFonts w:ascii="Aptos" w:eastAsia="Calibri" w:hAnsi="Aptos" w:cs="Calibri"/>
          <w:sz w:val="22"/>
          <w:szCs w:val="22"/>
        </w:rPr>
        <w:t>feito principal do fosfato de potássio é estatisticamente significativo (pequeno efeito negativo sobre TS); a interação ureia × sulfato de amônio apresenta um efeito negativo de magnitude comparável, que a análise original caracteriza como não atingindo si</w:t>
      </w:r>
      <w:r w:rsidRPr="009267ED">
        <w:rPr>
          <w:rFonts w:ascii="Aptos" w:eastAsia="Calibri" w:hAnsi="Aptos" w:cs="Calibri"/>
          <w:sz w:val="22"/>
          <w:szCs w:val="22"/>
        </w:rPr>
        <w:t xml:space="preserve">gnificância estatística; nenhum outro efeito principal, interação ou termo de curvatura é </w:t>
      </w:r>
      <w:r w:rsidRPr="009267ED">
        <w:rPr>
          <w:rFonts w:ascii="Aptos" w:eastAsia="Calibri" w:hAnsi="Aptos" w:cs="Calibri"/>
          <w:sz w:val="22"/>
          <w:szCs w:val="22"/>
        </w:rPr>
        <w:lastRenderedPageBreak/>
        <w:t xml:space="preserve">significativo para TS. Essa distinção é importante porque um exercício de validação de dados sintéticos deve estar ancorado nos efeitos estabelecidos para a variável </w:t>
      </w:r>
      <w:r w:rsidRPr="009267ED">
        <w:rPr>
          <w:rFonts w:ascii="Aptos" w:eastAsia="Calibri" w:hAnsi="Aptos" w:cs="Calibri"/>
          <w:sz w:val="22"/>
          <w:szCs w:val="22"/>
        </w:rPr>
        <w:t xml:space="preserve">que ele realmente modela (TS), e não na estrutura de efeitos mais bem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populada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porém distinta, do AEM. Reajustamos independentemente o modelo fatorial codificado (Seção 2.7) aos dados reais de TS e confirmamos esse padrão: o fosfato de potássio (coeficien</w:t>
      </w:r>
      <w:r w:rsidRPr="009267ED">
        <w:rPr>
          <w:rFonts w:ascii="Aptos" w:eastAsia="Calibri" w:hAnsi="Aptos" w:cs="Calibri"/>
          <w:sz w:val="22"/>
          <w:szCs w:val="22"/>
        </w:rPr>
        <w:t xml:space="preserve">te ≈ −1,92, p ≈ 0,030) é o único efeito significativo inequívoco, com a interação ureia × sulfato de amônio (coeficiente ≈ −1,89, p ≈ 0,032) como um efeito secundário limítrofe. Esses dois termos — e não os quatro originalmente listados para emulsificação </w:t>
      </w:r>
      <w:r w:rsidRPr="009267ED">
        <w:rPr>
          <w:rFonts w:ascii="Aptos" w:eastAsia="Calibri" w:hAnsi="Aptos" w:cs="Calibri"/>
          <w:sz w:val="22"/>
          <w:szCs w:val="22"/>
        </w:rPr>
        <w:t>em uma versão anterior deste manuscrito — constituem a verdade fundamental externa usada pelo Índice de Concordância Fundamentado no Domínio, descrito na Seção 2.7.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2.2 Ambiente Computacional e Reprodutibilidade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O pipeline foi implementado em Python 3.11, </w:t>
      </w:r>
      <w:r w:rsidRPr="009267ED">
        <w:rPr>
          <w:rFonts w:ascii="Aptos" w:eastAsia="Calibri" w:hAnsi="Aptos" w:cs="Calibri"/>
          <w:sz w:val="22"/>
          <w:szCs w:val="22"/>
        </w:rPr>
        <w:t>utilizando SDV (GaussianCopula/CTGAN/TVAE), PyTorch (TabDDPM) e scikit-learn (regressão linear, floresta aleatória, MLP, gradient boosting) como dependências principais, com Matplotlib/Seaborn para visualização. A reprodutibilidade depende de uma semente a</w:t>
      </w:r>
      <w:r w:rsidRPr="009267ED">
        <w:rPr>
          <w:rFonts w:ascii="Aptos" w:eastAsia="Calibri" w:hAnsi="Aptos" w:cs="Calibri"/>
          <w:sz w:val="22"/>
          <w:szCs w:val="22"/>
        </w:rPr>
        <w:t xml:space="preserve">leatória fixa (123, registrada em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experiment_config.json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), n_runs = 10 repetições de avaliação e n_synth = 140 amostras sintéticas por gerador, aplicadas a dois cenários de análise: linha de base (0% de ruído) e sensibilidade (1% de ruído aditivo). O códig</w:t>
      </w:r>
      <w:r w:rsidRPr="009267ED">
        <w:rPr>
          <w:rFonts w:ascii="Aptos" w:eastAsia="Calibri" w:hAnsi="Aptos" w:cs="Calibri"/>
          <w:sz w:val="22"/>
          <w:szCs w:val="22"/>
        </w:rPr>
        <w:t>o e os dados serão disponibilizados após a aceitação do estudo.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2.3 Pipeline de Geração de Dados Sintéticos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Foram comparados quatro geradores, cujos resultados estão resumidos na Tabela 1.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8"/>
        <w:gridCol w:w="1214"/>
        <w:gridCol w:w="3121"/>
        <w:gridCol w:w="2773"/>
      </w:tblGrid>
      <w:tr w:rsidR="00EA2FE1" w:rsidRPr="009267ED" w:rsidTr="00352B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8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Gerador</w:t>
            </w:r>
          </w:p>
        </w:tc>
        <w:tc>
          <w:tcPr>
            <w:tcW w:w="673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Família</w:t>
            </w:r>
          </w:p>
        </w:tc>
        <w:tc>
          <w:tcPr>
            <w:tcW w:w="1731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Hiperparâmetros principais</w:t>
            </w:r>
          </w:p>
        </w:tc>
        <w:tc>
          <w:tcPr>
            <w:tcW w:w="1538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Notas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0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Cópula Gaussiana</w:t>
            </w:r>
          </w:p>
        </w:tc>
        <w:tc>
          <w:tcPr>
            <w:tcW w:w="67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Estatísticas</w:t>
            </w:r>
          </w:p>
        </w:tc>
        <w:tc>
          <w:tcPr>
            <w:tcW w:w="173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SDV padrão + metadados</w:t>
            </w:r>
          </w:p>
        </w:tc>
        <w:tc>
          <w:tcPr>
            <w:tcW w:w="1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Linha de base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0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CTGAN</w:t>
            </w:r>
          </w:p>
        </w:tc>
        <w:tc>
          <w:tcPr>
            <w:tcW w:w="67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GAN</w:t>
            </w:r>
          </w:p>
        </w:tc>
        <w:tc>
          <w:tcPr>
            <w:tcW w:w="173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proofErr w:type="gramStart"/>
            <w:r w:rsidRPr="009267ED">
              <w:rPr>
                <w:rFonts w:ascii="Aptos" w:eastAsia="Calibri" w:hAnsi="Aptos" w:cs="Calibri"/>
              </w:rPr>
              <w:t>épocas</w:t>
            </w:r>
            <w:proofErr w:type="gramEnd"/>
            <w:r w:rsidRPr="009267ED">
              <w:rPr>
                <w:rFonts w:ascii="Aptos" w:eastAsia="Calibri" w:hAnsi="Aptos" w:cs="Calibri"/>
              </w:rPr>
              <w:t xml:space="preserve"> = 300</w:t>
            </w:r>
          </w:p>
        </w:tc>
        <w:tc>
          <w:tcPr>
            <w:tcW w:w="1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GAN condicional para dados tabulares (Xu et al., 2019)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0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TVAE</w:t>
            </w:r>
          </w:p>
        </w:tc>
        <w:tc>
          <w:tcPr>
            <w:tcW w:w="67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VAE</w:t>
            </w:r>
          </w:p>
        </w:tc>
        <w:tc>
          <w:tcPr>
            <w:tcW w:w="173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proofErr w:type="gramStart"/>
            <w:r w:rsidRPr="009267ED">
              <w:rPr>
                <w:rFonts w:ascii="Aptos" w:eastAsia="Calibri" w:hAnsi="Aptos" w:cs="Calibri"/>
              </w:rPr>
              <w:t>épocas</w:t>
            </w:r>
            <w:proofErr w:type="gramEnd"/>
            <w:r w:rsidRPr="009267ED">
              <w:rPr>
                <w:rFonts w:ascii="Aptos" w:eastAsia="Calibri" w:hAnsi="Aptos" w:cs="Calibri"/>
              </w:rPr>
              <w:t xml:space="preserve"> = 300</w:t>
            </w:r>
          </w:p>
        </w:tc>
        <w:tc>
          <w:tcPr>
            <w:tcW w:w="1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VAE tabular baseado em ELBO (</w:t>
            </w:r>
            <w:proofErr w:type="spellStart"/>
            <w:r w:rsidRPr="009267ED">
              <w:rPr>
                <w:rFonts w:ascii="Aptos" w:eastAsia="Calibri" w:hAnsi="Aptos" w:cs="Calibri"/>
              </w:rPr>
              <w:t>Patki</w:t>
            </w:r>
            <w:proofErr w:type="spellEnd"/>
            <w:r w:rsidRPr="009267ED">
              <w:rPr>
                <w:rFonts w:ascii="Aptos" w:eastAsia="Calibri" w:hAnsi="Aptos" w:cs="Calibri"/>
              </w:rPr>
              <w:t xml:space="preserve"> et al., 2016)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05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TabDDPM</w:t>
            </w:r>
          </w:p>
        </w:tc>
        <w:tc>
          <w:tcPr>
            <w:tcW w:w="673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Difusão</w:t>
            </w:r>
          </w:p>
        </w:tc>
        <w:tc>
          <w:tcPr>
            <w:tcW w:w="173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proofErr w:type="gramStart"/>
            <w:r w:rsidRPr="009267ED">
              <w:rPr>
                <w:rFonts w:ascii="Aptos" w:eastAsia="Calibri" w:hAnsi="Aptos" w:cs="Calibri"/>
              </w:rPr>
              <w:t>épocas</w:t>
            </w:r>
            <w:proofErr w:type="gramEnd"/>
            <w:r w:rsidRPr="009267ED">
              <w:rPr>
                <w:rFonts w:ascii="Aptos" w:eastAsia="Calibri" w:hAnsi="Aptos" w:cs="Calibri"/>
              </w:rPr>
              <w:t xml:space="preserve">≈150, passos de tempo≈100, taxa </w:t>
            </w:r>
            <w:r w:rsidRPr="009267ED">
              <w:rPr>
                <w:rFonts w:ascii="Aptos" w:eastAsia="Calibri" w:hAnsi="Aptos" w:cs="Calibri"/>
              </w:rPr>
              <w:t>de aprendizado≈5e-4, decaimento de peso≈0,01, dropout≈0,15, recorte gradual≈0,5</w:t>
            </w:r>
          </w:p>
        </w:tc>
        <w:tc>
          <w:tcPr>
            <w:tcW w:w="153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Configurações estabilizadas para n≈20 (</w:t>
            </w:r>
            <w:proofErr w:type="spellStart"/>
            <w:r w:rsidRPr="009267ED">
              <w:rPr>
                <w:rFonts w:ascii="Aptos" w:eastAsia="Calibri" w:hAnsi="Aptos" w:cs="Calibri"/>
              </w:rPr>
              <w:t>Kotelnikov</w:t>
            </w:r>
            <w:proofErr w:type="spellEnd"/>
            <w:r w:rsidRPr="009267ED">
              <w:rPr>
                <w:rFonts w:ascii="Aptos" w:eastAsia="Calibri" w:hAnsi="Aptos" w:cs="Calibri"/>
              </w:rPr>
              <w:t xml:space="preserve"> et al., 2023)</w:t>
            </w:r>
          </w:p>
        </w:tc>
      </w:tr>
    </w:tbl>
    <w:p w:rsidR="00EA2FE1" w:rsidRPr="009267ED" w:rsidRDefault="00685BE1" w:rsidP="009267ED">
      <w:pPr>
        <w:spacing w:after="200" w:line="276" w:lineRule="auto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</w:rPr>
        <w:t>Tabela 1.</w:t>
      </w:r>
      <w:r w:rsidRPr="009267ED">
        <w:rPr>
          <w:rFonts w:ascii="Aptos" w:eastAsia="Calibri" w:hAnsi="Aptos" w:cs="Calibri"/>
          <w:i/>
          <w:iCs/>
        </w:rPr>
        <w:t xml:space="preserve"> Principais geradores e hiperparâmetros.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2.4 Linha de base vs. Sensibilidade (Modelo de Ruído)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Linha de base (0%): nenhuma perturbação adicional além do recorte/ajuste para preservar a estrutura fatorial. Sensibilidade (1%): adiciona um pequeno ruído (σ = 0,01 × intervalo de características) às variáveis contínuas após a síntese, para testar a estab</w:t>
      </w:r>
      <w:r w:rsidRPr="009267ED">
        <w:rPr>
          <w:rFonts w:ascii="Aptos" w:eastAsia="Calibri" w:hAnsi="Aptos" w:cs="Calibri"/>
          <w:sz w:val="22"/>
          <w:szCs w:val="22"/>
        </w:rPr>
        <w:t>ilidade das classificações dos geradores e seu efeito na fidelidade e no risco. Os níveis fatoriais discretos são preservados por meio do ajuste em ambas as configurações.</w:t>
      </w:r>
    </w:p>
    <w:p w:rsidR="00352BB0" w:rsidRDefault="00352BB0" w:rsidP="009267ED">
      <w:pPr>
        <w:pStyle w:val="Ttulo2"/>
        <w:spacing w:before="400" w:after="200" w:line="276" w:lineRule="auto"/>
        <w:rPr>
          <w:rFonts w:ascii="Aptos" w:eastAsia="Calibri" w:hAnsi="Aptos" w:cs="Calibri"/>
          <w:b/>
          <w:bCs/>
        </w:rPr>
      </w:pP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lastRenderedPageBreak/>
        <w:t>2.5 Modelagem a Jusante e Avaliação de Utilidades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 tarefa subsequente consiste na r</w:t>
      </w:r>
      <w:r w:rsidRPr="009267ED">
        <w:rPr>
          <w:rFonts w:ascii="Aptos" w:eastAsia="Calibri" w:hAnsi="Aptos" w:cs="Calibri"/>
          <w:sz w:val="22"/>
          <w:szCs w:val="22"/>
        </w:rPr>
        <w:t xml:space="preserve">egressão da tensão superficial (mNm) utilizando regressão linear, floresta aleatória (100 estimadores), um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regressor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MLP (100 camadas ocultas e 50 regressores) e gradient boosting (XGBoost, 100 estimadores). Para cada gerador e execução, geramos n_synth = </w:t>
      </w:r>
      <w:r w:rsidRPr="009267ED">
        <w:rPr>
          <w:rFonts w:ascii="Aptos" w:eastAsia="Calibri" w:hAnsi="Aptos" w:cs="Calibri"/>
          <w:sz w:val="22"/>
          <w:szCs w:val="22"/>
        </w:rPr>
        <w:t>140 amostras sintéticas e, para cada modelo subsequente, calculamos TSTR (treinamento em amostras sintéticas, pontuação no conjunto de dados reais reservado) e TRTR (treinamento em amostras reais, pontuação no mesmo conjunto de dados reservado), reportando</w:t>
      </w:r>
      <w:r w:rsidRPr="009267ED">
        <w:rPr>
          <w:rFonts w:ascii="Aptos" w:eastAsia="Calibri" w:hAnsi="Aptos" w:cs="Calibri"/>
          <w:sz w:val="22"/>
          <w:szCs w:val="22"/>
        </w:rPr>
        <w:t xml:space="preserve"> a diferença entre os modelos Δ = </w:t>
      </w:r>
      <w:proofErr w:type="gramStart"/>
      <w:r w:rsidRPr="009267ED">
        <w:rPr>
          <w:rFonts w:ascii="Aptos" w:eastAsia="Calibri" w:hAnsi="Aptos" w:cs="Calibri"/>
          <w:sz w:val="22"/>
          <w:szCs w:val="22"/>
        </w:rPr>
        <w:t>TSTR(</w:t>
      </w:r>
      <w:proofErr w:type="gramEnd"/>
      <w:r w:rsidRPr="009267ED">
        <w:rPr>
          <w:rFonts w:ascii="Aptos" w:eastAsia="Calibri" w:hAnsi="Aptos" w:cs="Calibri"/>
          <w:sz w:val="22"/>
          <w:szCs w:val="22"/>
        </w:rPr>
        <w:t>m*) − TRTR(m*), onde m* é o modelo que maximiza TSTR para aquele gerador. Isso evita a inflação de Δ quando TRTR é instável em um modelo diferente, o que é comum em n≈20.</w:t>
      </w:r>
    </w:p>
    <w:p w:rsidR="00EA2FE1" w:rsidRPr="009267ED" w:rsidRDefault="00685BE1" w:rsidP="00352BB0">
      <w:pPr>
        <w:pBdr>
          <w:left w:val="single" w:sz="12" w:space="0" w:color="E0A800"/>
        </w:pBdr>
        <w:shd w:val="clear" w:color="auto" w:fill="FFF3CD"/>
        <w:spacing w:before="120" w:after="2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b/>
          <w:bCs/>
          <w:i/>
          <w:iCs/>
          <w:color w:val="7A5B00"/>
        </w:rPr>
        <w:t xml:space="preserve">NOTA DE REVISÃO — </w:t>
      </w:r>
      <w:r w:rsidRPr="009267ED">
        <w:rPr>
          <w:rFonts w:ascii="Aptos" w:eastAsia="Calibri" w:hAnsi="Aptos" w:cs="Calibri"/>
          <w:i/>
          <w:iCs/>
          <w:color w:val="7A5B00"/>
        </w:rPr>
        <w:t xml:space="preserve">Recomendação de refinamento </w:t>
      </w:r>
      <w:r w:rsidRPr="009267ED">
        <w:rPr>
          <w:rFonts w:ascii="Aptos" w:eastAsia="Calibri" w:hAnsi="Aptos" w:cs="Calibri"/>
          <w:i/>
          <w:iCs/>
          <w:color w:val="7A5B00"/>
        </w:rPr>
        <w:t xml:space="preserve">metodológico: com n=20, um único treino/teste dividido (mesmo repetido em 10 rodadas com sementes diferentes) produz um conjunto de teste de poucos pontos, com variância de estimativa muito alta. Sugerimos substituir a divisão única por validação cruzada </w:t>
      </w:r>
      <w:proofErr w:type="spellStart"/>
      <w:r w:rsidRPr="009267ED">
        <w:rPr>
          <w:rFonts w:ascii="Aptos" w:eastAsia="Calibri" w:hAnsi="Aptos" w:cs="Calibri"/>
          <w:i/>
          <w:iCs/>
          <w:color w:val="7A5B00"/>
        </w:rPr>
        <w:t>l</w:t>
      </w:r>
      <w:r w:rsidRPr="009267ED">
        <w:rPr>
          <w:rFonts w:ascii="Aptos" w:eastAsia="Calibri" w:hAnsi="Aptos" w:cs="Calibri"/>
          <w:i/>
          <w:iCs/>
          <w:color w:val="7A5B00"/>
        </w:rPr>
        <w:t>eave</w:t>
      </w:r>
      <w:proofErr w:type="spellEnd"/>
      <w:r w:rsidRPr="009267ED">
        <w:rPr>
          <w:rFonts w:ascii="Aptos" w:eastAsia="Calibri" w:hAnsi="Aptos" w:cs="Calibri"/>
          <w:i/>
          <w:iCs/>
          <w:color w:val="7A5B00"/>
        </w:rPr>
        <w:t xml:space="preserve">-one-out (LOOCV) ou repetição k-fold (ex.: 5-fold × 10 repetições) sobre os 20 pontos reais, mantendo o mesmo cálculo de TSTR/TRTR/Δ dentro de cada dobra. Isso não muda a lógica da métrica, apenas estabiliza a estimativa — e deveria ser aplicada antes </w:t>
      </w:r>
      <w:r w:rsidRPr="009267ED">
        <w:rPr>
          <w:rFonts w:ascii="Aptos" w:eastAsia="Calibri" w:hAnsi="Aptos" w:cs="Calibri"/>
          <w:i/>
          <w:iCs/>
          <w:color w:val="7A5B00"/>
        </w:rPr>
        <w:t xml:space="preserve">da </w:t>
      </w:r>
      <w:proofErr w:type="spellStart"/>
      <w:r w:rsidRPr="009267ED">
        <w:rPr>
          <w:rFonts w:ascii="Aptos" w:eastAsia="Calibri" w:hAnsi="Aptos" w:cs="Calibri"/>
          <w:i/>
          <w:iCs/>
          <w:color w:val="7A5B00"/>
        </w:rPr>
        <w:t>recomputação</w:t>
      </w:r>
      <w:proofErr w:type="spellEnd"/>
      <w:r w:rsidRPr="009267ED">
        <w:rPr>
          <w:rFonts w:ascii="Aptos" w:eastAsia="Calibri" w:hAnsi="Aptos" w:cs="Calibri"/>
          <w:i/>
          <w:iCs/>
          <w:color w:val="7A5B00"/>
        </w:rPr>
        <w:t xml:space="preserve"> final dos números desta seção.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2.6 Métricas de Fidelidade, Estrutura e Risco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(a) Fidelidade univariada: estatística de Kolmogorov-Smirnov por variável e média (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KS_mean_stat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); distância de Wasserstein (média sobre variáveis numéricas).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(b) Preservação da estrutura multivariada: correlação de correlações (correlação de Pearson entre matrizes de correlação reais e sintéticas); diferença da norma de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Frobenius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entre matrizes de correlação.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(c) Utilidade: Distribuições de pontuação TSTR por g</w:t>
      </w:r>
      <w:r w:rsidRPr="009267ED">
        <w:rPr>
          <w:rFonts w:ascii="Aptos" w:eastAsia="Calibri" w:hAnsi="Aptos" w:cs="Calibri"/>
          <w:sz w:val="22"/>
          <w:szCs w:val="22"/>
        </w:rPr>
        <w:t>erador × modelo; Δ com intervalos de confiança de 95% (t de Student, df = 9); correção da taxa de descoberta falsa em comparações múltiplas (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Benjamini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Hochberg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1995).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(d) Risco de proximidade/divulgação: Distância ao registro mais próximo (DCR) — ECDF e</w:t>
      </w:r>
      <w:r w:rsidRPr="009267ED">
        <w:rPr>
          <w:rFonts w:ascii="Aptos" w:eastAsia="Calibri" w:hAnsi="Aptos" w:cs="Calibri"/>
          <w:sz w:val="22"/>
          <w:szCs w:val="22"/>
        </w:rPr>
        <w:t xml:space="preserve"> fração abaixo do limite τ=0,1, distância euclidiana padronizada no espaço de características. Conforme enfatizado por Yao et al. (2025), o DCR é um diagnóstico de proximidade, não uma garantia de privacidade certificada, e é relatado aqui estritamente nes</w:t>
      </w:r>
      <w:r w:rsidRPr="009267ED">
        <w:rPr>
          <w:rFonts w:ascii="Aptos" w:eastAsia="Calibri" w:hAnsi="Aptos" w:cs="Calibri"/>
          <w:sz w:val="22"/>
          <w:szCs w:val="22"/>
        </w:rPr>
        <w:t>sa capacidade.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2.7 Índice de Concordância Fundamentado no Domínio (ICD)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Métricas genéricas de fidelidade (KS, Wasserstein, correlação de correlações) respondem se um conjunto de dados sintéticos se assemelha estatisticamente ao conjunto de dados real. Elas não respondem se o conjunto de dados sintéticos preserva os efeitos pri</w:t>
      </w:r>
      <w:r w:rsidRPr="009267ED">
        <w:rPr>
          <w:rFonts w:ascii="Aptos" w:eastAsia="Calibri" w:hAnsi="Aptos" w:cs="Calibri"/>
          <w:sz w:val="22"/>
          <w:szCs w:val="22"/>
        </w:rPr>
        <w:t>ncipais específicos e as interações de duas vias que uma análise fatorial independente do mesmo experimento já validou como reais (p&lt;0,05). O Índice de Concordância Fundamentado no Domínio (ICD) é introduzido para preencher essa lacuna.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Para cada gerador, </w:t>
      </w:r>
      <w:r w:rsidRPr="009267ED">
        <w:rPr>
          <w:rFonts w:ascii="Aptos" w:eastAsia="Calibri" w:hAnsi="Aptos" w:cs="Calibri"/>
          <w:sz w:val="22"/>
          <w:szCs w:val="22"/>
        </w:rPr>
        <w:t>reajustamos o mesmo modelo fatorial codificado (níveis codificados como −1/0/+1, correspondendo à convenção clássica de planejamento de experimentos (DOE) usada na análise do efeito Pareto) que fundamenta as conclusões experimentais originais, uma vez no c</w:t>
      </w:r>
      <w:r w:rsidRPr="009267ED">
        <w:rPr>
          <w:rFonts w:ascii="Aptos" w:eastAsia="Calibri" w:hAnsi="Aptos" w:cs="Calibri"/>
          <w:sz w:val="22"/>
          <w:szCs w:val="22"/>
        </w:rPr>
        <w:t xml:space="preserve">onjunto de dados reais e uma vez em cada conjunto de dados sintéticos, usando os limiares de nível do conjunto de dados reais para codificar ambos. Para cada efeito e na lista de efeitos validados independentemente para TS </w:t>
      </w:r>
      <w:r w:rsidRPr="009267ED">
        <w:rPr>
          <w:rFonts w:ascii="Aptos" w:eastAsia="Calibri" w:hAnsi="Aptos" w:cs="Calibri"/>
          <w:sz w:val="22"/>
          <w:szCs w:val="22"/>
        </w:rPr>
        <w:lastRenderedPageBreak/>
        <w:t>(os dois efeitos listados na Seçã</w:t>
      </w:r>
      <w:r w:rsidRPr="009267ED">
        <w:rPr>
          <w:rFonts w:ascii="Aptos" w:eastAsia="Calibri" w:hAnsi="Aptos" w:cs="Calibri"/>
          <w:sz w:val="22"/>
          <w:szCs w:val="22"/>
        </w:rPr>
        <w:t>o 2.1: o efeito principal do fosfato de potássio e, como um termo limítrofe secundário, a interação ureia × sulfato de amônio), calculamos três critérios binários comparando o coeficiente dos dados sintéticos com o coeficiente dos dados reais: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Concordância</w:t>
      </w:r>
      <w:r w:rsidRPr="009267ED">
        <w:rPr>
          <w:rFonts w:ascii="Aptos" w:eastAsia="Calibri" w:hAnsi="Aptos" w:cs="Calibri"/>
          <w:sz w:val="22"/>
          <w:szCs w:val="22"/>
        </w:rPr>
        <w:t xml:space="preserve"> de sinais (S): o coeficiente sintético tem o mesmo sinal que o coeficiente real?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Concordância de magnitude (M): o coeficiente sintético se encontra dentro de uma faixa de tolerância adaptativa em torno do coeficiente real — ±0,5 para efeitos fracos (|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coef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|&lt;0,30), ±0,3 para efeitos moderados (0,30–0,60), ±0,2 para efeitos fortes (≥0,60) — refletindo que a variabilidade de amostragem de uma estimativa de efeito diminui à medida que sua magnitude real aumenta?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Detectabilidade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(D): o efeito ainda é estatistica</w:t>
      </w:r>
      <w:r w:rsidRPr="009267ED">
        <w:rPr>
          <w:rFonts w:ascii="Aptos" w:eastAsia="Calibri" w:hAnsi="Aptos" w:cs="Calibri"/>
          <w:sz w:val="22"/>
          <w:szCs w:val="22"/>
        </w:rPr>
        <w:t>mente significativo (p&lt;0,05) no modelo ajustado aos dados sintéticos?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Um termo de penalização contabiliza estruturas espúrias: a fração de termos que não fazem parte da lista de efeitos validados independentemente, mas que se tornam estatisticamente signif</w:t>
      </w:r>
      <w:r w:rsidRPr="009267ED">
        <w:rPr>
          <w:rFonts w:ascii="Aptos" w:eastAsia="Calibri" w:hAnsi="Aptos" w:cs="Calibri"/>
          <w:sz w:val="22"/>
          <w:szCs w:val="22"/>
        </w:rPr>
        <w:t>icativos apenas no modelo de dados sintéticos, indicando que o gerador introduziu uma estrutura não suportada pelo experimento real. A pontuação composta para o gerador g é: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i/>
          <w:iCs/>
          <w:sz w:val="22"/>
          <w:szCs w:val="22"/>
        </w:rPr>
        <w:t>ICD_g</w:t>
      </w:r>
      <w:proofErr w:type="spellEnd"/>
      <w:r w:rsidRPr="009267ED">
        <w:rPr>
          <w:rFonts w:ascii="Aptos" w:eastAsia="Calibri" w:hAnsi="Aptos" w:cs="Calibri"/>
          <w:i/>
          <w:iCs/>
          <w:sz w:val="22"/>
          <w:szCs w:val="22"/>
        </w:rPr>
        <w:t xml:space="preserve"> = </w:t>
      </w:r>
      <w:proofErr w:type="gramStart"/>
      <w:r w:rsidRPr="009267ED">
        <w:rPr>
          <w:rFonts w:ascii="Aptos" w:eastAsia="Calibri" w:hAnsi="Aptos" w:cs="Calibri"/>
          <w:i/>
          <w:iCs/>
          <w:sz w:val="22"/>
          <w:szCs w:val="22"/>
        </w:rPr>
        <w:t>média(</w:t>
      </w:r>
      <w:proofErr w:type="gramEnd"/>
      <w:r w:rsidRPr="009267ED">
        <w:rPr>
          <w:rFonts w:ascii="Aptos" w:eastAsia="Calibri" w:hAnsi="Aptos" w:cs="Calibri"/>
          <w:i/>
          <w:iCs/>
          <w:sz w:val="22"/>
          <w:szCs w:val="22"/>
        </w:rPr>
        <w:t xml:space="preserve">S, M, D) − λ · </w:t>
      </w:r>
      <w:proofErr w:type="spellStart"/>
      <w:r w:rsidRPr="009267ED">
        <w:rPr>
          <w:rFonts w:ascii="Aptos" w:eastAsia="Calibri" w:hAnsi="Aptos" w:cs="Calibri"/>
          <w:i/>
          <w:iCs/>
          <w:sz w:val="22"/>
          <w:szCs w:val="22"/>
        </w:rPr>
        <w:t>taxa_de_termo_espúrio</w:t>
      </w:r>
      <w:proofErr w:type="spellEnd"/>
      <w:r w:rsidRPr="009267ED">
        <w:rPr>
          <w:rFonts w:ascii="Aptos" w:eastAsia="Calibri" w:hAnsi="Aptos" w:cs="Calibri"/>
          <w:i/>
          <w:iCs/>
          <w:sz w:val="22"/>
          <w:szCs w:val="22"/>
        </w:rPr>
        <w:t>, com λ = 0,10 neste estudo.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Os </w:t>
      </w:r>
      <w:r w:rsidRPr="009267ED">
        <w:rPr>
          <w:rFonts w:ascii="Aptos" w:eastAsia="Calibri" w:hAnsi="Aptos" w:cs="Calibri"/>
          <w:sz w:val="22"/>
          <w:szCs w:val="22"/>
        </w:rPr>
        <w:t>três critérios são binários e calculados diretamente a partir de quantidades já produzidas pelo pipeline (coeficientes de regressão e valores p dos fatores codificados), de modo que a CID pode ser auditada por um revisor em relação aos coeficientes fatoria</w:t>
      </w:r>
      <w:r w:rsidRPr="009267ED">
        <w:rPr>
          <w:rFonts w:ascii="Aptos" w:eastAsia="Calibri" w:hAnsi="Aptos" w:cs="Calibri"/>
          <w:sz w:val="22"/>
          <w:szCs w:val="22"/>
        </w:rPr>
        <w:t>is relatados, sem a necessidade de executar novamente os modelos generativos. A implementação, juntamente com um exemplo ilustrativo prático, é fornecida como um módulo independente e documentado (icd_domain_concordance.py, Material Suplementar S1).</w:t>
      </w:r>
    </w:p>
    <w:p w:rsidR="00EA2FE1" w:rsidRPr="009267ED" w:rsidRDefault="00685BE1" w:rsidP="00352BB0">
      <w:pPr>
        <w:pBdr>
          <w:left w:val="single" w:sz="12" w:space="0" w:color="E0A800"/>
        </w:pBdr>
        <w:shd w:val="clear" w:color="auto" w:fill="FFF3CD"/>
        <w:spacing w:before="120" w:after="2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b/>
          <w:bCs/>
          <w:i/>
          <w:iCs/>
          <w:color w:val="7A5B00"/>
        </w:rPr>
        <w:t>NOTA D</w:t>
      </w:r>
      <w:r w:rsidRPr="009267ED">
        <w:rPr>
          <w:rFonts w:ascii="Aptos" w:eastAsia="Calibri" w:hAnsi="Aptos" w:cs="Calibri"/>
          <w:b/>
          <w:bCs/>
          <w:i/>
          <w:iCs/>
          <w:color w:val="7A5B00"/>
        </w:rPr>
        <w:t xml:space="preserve">E REVISÃO — </w:t>
      </w:r>
      <w:r w:rsidRPr="009267ED">
        <w:rPr>
          <w:rFonts w:ascii="Aptos" w:eastAsia="Calibri" w:hAnsi="Aptos" w:cs="Calibri"/>
          <w:i/>
          <w:iCs/>
          <w:color w:val="7A5B00"/>
        </w:rPr>
        <w:t>O ICD precisa ser calculado por rodada dentro do laço n_runs=10 já existente, exatamente como TSTR/Δ, e reportado como média ± IC — não como estimativa de rodada única. Isso é importante: no teste de sanidade do módulo (Material Suplementar S1)</w:t>
      </w:r>
      <w:r w:rsidRPr="009267ED">
        <w:rPr>
          <w:rFonts w:ascii="Aptos" w:eastAsia="Calibri" w:hAnsi="Aptos" w:cs="Calibri"/>
          <w:i/>
          <w:iCs/>
          <w:color w:val="7A5B00"/>
        </w:rPr>
        <w:t>, uma única rodada já foi suficiente para inverter parcialmente o ranking esperado de fidelidade, o que ilustra exatamente a instabilidade amostral que motiva reportar o ICD agregado, e não pontual.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drawing>
          <wp:inline distT="0" distB="0" distL="0" distR="0">
            <wp:extent cx="4572000" cy="250507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1.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Visão geral conceitual do protocolo de valida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>ção fidelidade-utilidade-risco-CDI descrito nas Seções 2.6–2.7.</w:t>
      </w: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EA2FE1" w:rsidRPr="00352BB0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3. Resultados e Discussão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Esta seção integra (i) o experimento fatorial original em escala de bancada sobre a produção de bioemulsificante/biossurfactante por Candida lipolytica UCP 988 em m</w:t>
      </w:r>
      <w:r w:rsidRPr="009267ED">
        <w:rPr>
          <w:rFonts w:ascii="Aptos" w:eastAsia="Calibri" w:hAnsi="Aptos" w:cs="Calibri"/>
          <w:sz w:val="22"/>
          <w:szCs w:val="22"/>
        </w:rPr>
        <w:t>eios à base de água do mar e (ii) a expansão de dados sintéticos e os resultados da avaliação (linha de base: 0% de ruído; sensibilidade: 1% de ruído aditivo).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3.1 Contexto do experimento em escala de bancada e planejamento fatorial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O conjunto de dados rea</w:t>
      </w:r>
      <w:r w:rsidRPr="009267ED">
        <w:rPr>
          <w:rFonts w:ascii="Aptos" w:eastAsia="Calibri" w:hAnsi="Aptos" w:cs="Calibri"/>
          <w:sz w:val="22"/>
          <w:szCs w:val="22"/>
        </w:rPr>
        <w:t>is subjacente é um planejamento fatorial completo 2⁴ com réplicas no ponto central (n=20 ensaios) que estuda os efeitos da composição de nutrientes e da salinidade no desempenho de bioemulsificantes/biossurfactantes, incluindo tensão superficial e atividad</w:t>
      </w:r>
      <w:r w:rsidRPr="009267ED">
        <w:rPr>
          <w:rFonts w:ascii="Aptos" w:eastAsia="Calibri" w:hAnsi="Aptos" w:cs="Calibri"/>
          <w:sz w:val="22"/>
          <w:szCs w:val="22"/>
        </w:rPr>
        <w:t>e emulsificante. A motivação experimental é típica da otimização de bioprocessos em estágio inicial: número limitado de ensaios devido a restrições de custo e tempo, mas com alta validade interna proveniente da experimentação planejada. A tensão superficia</w:t>
      </w:r>
      <w:r w:rsidRPr="009267ED">
        <w:rPr>
          <w:rFonts w:ascii="Aptos" w:eastAsia="Calibri" w:hAnsi="Aptos" w:cs="Calibri"/>
          <w:sz w:val="22"/>
          <w:szCs w:val="22"/>
        </w:rPr>
        <w:t>l (mN/m) foi utilizada como variável alvo para a modelagem subsequente, por ser um indicador direto da atividade do biossurfactante.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3.2 Resultados Principais (0% de Ruído): Relações entre Utilidade, Fidelidade e Risco</w:t>
      </w:r>
    </w:p>
    <w:p w:rsidR="00EA2FE1" w:rsidRPr="009267ED" w:rsidRDefault="00685BE1" w:rsidP="00352BB0">
      <w:pPr>
        <w:pBdr>
          <w:left w:val="single" w:sz="12" w:space="0" w:color="E0A800"/>
        </w:pBdr>
        <w:shd w:val="clear" w:color="auto" w:fill="FFF3CD"/>
        <w:spacing w:before="120" w:after="2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b/>
          <w:bCs/>
          <w:i/>
          <w:iCs/>
          <w:color w:val="7A5B00"/>
        </w:rPr>
        <w:t xml:space="preserve">NOTA DE REVISÃO — </w:t>
      </w:r>
      <w:r w:rsidRPr="009267ED">
        <w:rPr>
          <w:rFonts w:ascii="Aptos" w:eastAsia="Calibri" w:hAnsi="Aptos" w:cs="Calibri"/>
          <w:i/>
          <w:iCs/>
          <w:color w:val="7A5B00"/>
        </w:rPr>
        <w:t xml:space="preserve">Estes números substituem os da minuta v1/v2, que vieram de uma execução cujo pipeline continha duas mudanças metodológicas silenciosas (regularização do RF ausente e TSTR treinado numa </w:t>
      </w:r>
      <w:proofErr w:type="spellStart"/>
      <w:r w:rsidRPr="009267ED">
        <w:rPr>
          <w:rFonts w:ascii="Aptos" w:eastAsia="Calibri" w:hAnsi="Aptos" w:cs="Calibri"/>
          <w:i/>
          <w:iCs/>
          <w:color w:val="7A5B00"/>
        </w:rPr>
        <w:t>subamostra</w:t>
      </w:r>
      <w:proofErr w:type="spellEnd"/>
      <w:r w:rsidRPr="009267ED">
        <w:rPr>
          <w:rFonts w:ascii="Aptos" w:eastAsia="Calibri" w:hAnsi="Aptos" w:cs="Calibri"/>
          <w:i/>
          <w:iCs/>
          <w:color w:val="7A5B00"/>
        </w:rPr>
        <w:t xml:space="preserve"> do sintético em vez da expansão completa) — ver peer_review_</w:t>
      </w:r>
      <w:r w:rsidRPr="009267ED">
        <w:rPr>
          <w:rFonts w:ascii="Aptos" w:eastAsia="Calibri" w:hAnsi="Aptos" w:cs="Calibri"/>
          <w:i/>
          <w:iCs/>
          <w:color w:val="7A5B00"/>
        </w:rPr>
        <w:t xml:space="preserve">investigation/DIAGNOSTICO_queda_utilidade_rerun_v4.md no repositório para a investigação completa. Os números abaixo vêm do script corrigido (PEERFIX1), rodado por completo (n_runs=10, seed=123), consistente com a Seção </w:t>
      </w:r>
      <w:proofErr w:type="gramStart"/>
      <w:r w:rsidRPr="009267ED">
        <w:rPr>
          <w:rFonts w:ascii="Aptos" w:eastAsia="Calibri" w:hAnsi="Aptos" w:cs="Calibri"/>
          <w:i/>
          <w:iCs/>
          <w:color w:val="7A5B00"/>
        </w:rPr>
        <w:t>2.5 tal</w:t>
      </w:r>
      <w:proofErr w:type="gramEnd"/>
      <w:r w:rsidRPr="009267ED">
        <w:rPr>
          <w:rFonts w:ascii="Aptos" w:eastAsia="Calibri" w:hAnsi="Aptos" w:cs="Calibri"/>
          <w:i/>
          <w:iCs/>
          <w:color w:val="7A5B00"/>
        </w:rPr>
        <w:t xml:space="preserve"> como escrita.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Na configuraçã</w:t>
      </w:r>
      <w:r w:rsidRPr="009267ED">
        <w:rPr>
          <w:rFonts w:ascii="Aptos" w:eastAsia="Calibri" w:hAnsi="Aptos" w:cs="Calibri"/>
          <w:sz w:val="22"/>
          <w:szCs w:val="22"/>
        </w:rPr>
        <w:t>o de referência, o TVAE foi o único gerador com utilidade downstream não negativa (TSTR_best = 0,143, melhor modelo = MLP), com preservação multivariada moderada (corr_of_corr = 0,320) e risco de proximidade não desprezível (fração DCR&lt;0,1 = 0,493). Os trê</w:t>
      </w:r>
      <w:r w:rsidRPr="009267ED">
        <w:rPr>
          <w:rFonts w:ascii="Aptos" w:eastAsia="Calibri" w:hAnsi="Aptos" w:cs="Calibri"/>
          <w:sz w:val="22"/>
          <w:szCs w:val="22"/>
        </w:rPr>
        <w:t>s geradores restantes apresentaram utilidade negativa: Cópula Gaussiana (TSTR_best = −0,250, corr_of_corr = 0,513), CTGAN (TSTR_best = −0,192, corr_of_corr = 0,014) e TabDDPM (TSTR_best = −0,501, corr_of_corr = 0,625, o gerador com a maior preservação mult</w:t>
      </w:r>
      <w:r w:rsidRPr="009267ED">
        <w:rPr>
          <w:rFonts w:ascii="Aptos" w:eastAsia="Calibri" w:hAnsi="Aptos" w:cs="Calibri"/>
          <w:sz w:val="22"/>
          <w:szCs w:val="22"/>
        </w:rPr>
        <w:t>ivariada entre os quatro, apesar da pior utilidade — uma dissociação entre fidelidade distribucional e utilidade subsequente que se repete ao longo deste estudo e é visualizada nas Figuras 2 e 4). Todos os geradores respeitaram as restrições rígidas do dom</w:t>
      </w:r>
      <w:r w:rsidRPr="009267ED">
        <w:rPr>
          <w:rFonts w:ascii="Aptos" w:eastAsia="Calibri" w:hAnsi="Aptos" w:cs="Calibri"/>
          <w:sz w:val="22"/>
          <w:szCs w:val="22"/>
        </w:rPr>
        <w:t>ínio (taxa de violação de restrição = 0).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O próprio TRTR (treinamento em dados reais, teste em dados reais) foi fortemente negativo para todos os geradores neste tamanho de amostra (de -0,69 a -3,78, dependendo do gerador e do modelo com melhor desempenho)</w:t>
      </w:r>
      <w:r w:rsidRPr="009267ED">
        <w:rPr>
          <w:rFonts w:ascii="Aptos" w:eastAsia="Calibri" w:hAnsi="Aptos" w:cs="Calibri"/>
          <w:sz w:val="22"/>
          <w:szCs w:val="22"/>
        </w:rPr>
        <w:t>, confirmando que uma divisão de treinamento real de 15 pontos não pode prever de forma confiável um conjunto de dados reais reservados de 5 pontos para esta variável de resposta, independentemente de quaisquer dados sintéticos — a métrica Δ do mesmo model</w:t>
      </w:r>
      <w:r w:rsidRPr="009267ED">
        <w:rPr>
          <w:rFonts w:ascii="Aptos" w:eastAsia="Calibri" w:hAnsi="Aptos" w:cs="Calibri"/>
          <w:sz w:val="22"/>
          <w:szCs w:val="22"/>
        </w:rPr>
        <w:t>o existe precisamente para evitar que essa instabilidade seja interpretada erroneamente como qualidade dos dados sintéticos.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lastRenderedPageBreak/>
        <w:drawing>
          <wp:inline distT="0" distB="0" distL="0" distR="0">
            <wp:extent cx="4953000" cy="320040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2.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Utilidade a jusante (TSTR_best) por gerador, cenário de referência versus cenário de sensibilidade ao ruído de 1% do DOE. A TVAE é a única geradora com utilidade não negativa em ambos os cenários.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drawing>
          <wp:inline distT="0" distB="0" distL="0" distR="0">
            <wp:extent cx="4953000" cy="318135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3.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Distribuição do TSTR ao longo das 10 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>execuções de avaliação interna, cenário base, para o modelo downstream de melhor desempenho de cada gerador. Os losangos marcam a média; os círculos marcam os valores discrepantes.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lastRenderedPageBreak/>
        <w:drawing>
          <wp:inline distT="0" distB="0" distL="0" distR="0">
            <wp:extent cx="5715000" cy="188595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4.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Matrizes de correlação de Pearson para o conjunto de dados reai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>s (n=20) e os quatro conjuntos de dados sintéticos de referência (n=140 cada). TVAE e TabDDPM reproduzem visualmente a estrutura de correlação real mais de perto; CTGAN é o que mais se distancia.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3.3 Sensibilidade (Ruído baseado em DOE de 1%): Estabilidade</w:t>
      </w:r>
      <w:r w:rsidRPr="00352BB0">
        <w:rPr>
          <w:rFonts w:ascii="Aptos" w:eastAsia="Calibri" w:hAnsi="Aptos" w:cs="Calibri"/>
          <w:b/>
          <w:bCs/>
          <w:color w:val="000000" w:themeColor="text1"/>
        </w:rPr>
        <w:t xml:space="preserve"> e Modos de Falha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Com menos de 1% de ruído baseado em DOE, a utilidade do TVAE aumentou em vez de diminuir (TSTR_best = 0,617, melhor modelo = floresta aleatória), juntamente com maior preservação multivariada (corr_of_corr = 0,638) e maior risco de proxim</w:t>
      </w:r>
      <w:r w:rsidRPr="009267ED">
        <w:rPr>
          <w:rFonts w:ascii="Aptos" w:eastAsia="Calibri" w:hAnsi="Aptos" w:cs="Calibri"/>
          <w:sz w:val="22"/>
          <w:szCs w:val="22"/>
        </w:rPr>
        <w:t>idade (fração DCR&lt;0,1 = 0,629). Os outros três geradores permaneceram negativos: Cópula Gaussiana (TSTR_best = −0,239), CTGAN (TSTR_best = −0,220, com corr_of_corr tornando-se negativo em −0,038) e TabDDPM (TSTR_best = −0,678, corr_of_corr = 0,220, Δ ≈ −0,</w:t>
      </w:r>
      <w:r w:rsidRPr="009267ED">
        <w:rPr>
          <w:rFonts w:ascii="Aptos" w:eastAsia="Calibri" w:hAnsi="Aptos" w:cs="Calibri"/>
          <w:sz w:val="22"/>
          <w:szCs w:val="22"/>
        </w:rPr>
        <w:t>011 — essencialmente nenhum ganho em relação ao treinamento apenas com dados reais).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Alertamos para que não se interprete em excesso a direção da mudança do TVAE entre as configurações (utilidade aumentando sob ruído) como uma descoberta mecanicista. A Seç</w:t>
      </w:r>
      <w:r w:rsidRPr="009267ED">
        <w:rPr>
          <w:rFonts w:ascii="Aptos" w:eastAsia="Calibri" w:hAnsi="Aptos" w:cs="Calibri"/>
          <w:sz w:val="22"/>
          <w:szCs w:val="22"/>
        </w:rPr>
        <w:t>ão 3.6 apresenta uma análise de isolamento dedicada, mostrando que o TSTR_best do TVAE, neste tamanho de amostra, varia substancialmente (valores entre 0,039 e 0,668 foram observados em mudanças, de outra forma pequenas, na regularização do modelo subseque</w:t>
      </w:r>
      <w:r w:rsidRPr="009267ED">
        <w:rPr>
          <w:rFonts w:ascii="Aptos" w:eastAsia="Calibri" w:hAnsi="Aptos" w:cs="Calibri"/>
          <w:sz w:val="22"/>
          <w:szCs w:val="22"/>
        </w:rPr>
        <w:t>nte, na convenção do tamanho do conjunto de treinamento sintético e na semente aleatória, mantendo o gerador e os dados fixos; veja a Figura 9). A descoberta consistente em todas as configurações testadas é que o TVAE é o único gerador que atinge utilidade</w:t>
      </w:r>
      <w:r w:rsidRPr="009267ED">
        <w:rPr>
          <w:rFonts w:ascii="Aptos" w:eastAsia="Calibri" w:hAnsi="Aptos" w:cs="Calibri"/>
          <w:sz w:val="22"/>
          <w:szCs w:val="22"/>
        </w:rPr>
        <w:t xml:space="preserve"> positiva ou próxima de zero; a classificação relativa e o sinal para Gaussian Copula, CTGAN e TabDDPM foram estáveis (negativos) em todas as configurações testadas. Portanto, consideramos a vantagem do TVAE sobre os outros três geradores como a descoberta</w:t>
      </w:r>
      <w:r w:rsidRPr="009267ED">
        <w:rPr>
          <w:rFonts w:ascii="Aptos" w:eastAsia="Calibri" w:hAnsi="Aptos" w:cs="Calibri"/>
          <w:sz w:val="22"/>
          <w:szCs w:val="22"/>
        </w:rPr>
        <w:t xml:space="preserve"> robusta e qualquer estimativa pontual de sua magnitude exata como provisória.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lastRenderedPageBreak/>
        <w:drawing>
          <wp:inline distT="0" distB="0" distL="0" distR="0">
            <wp:extent cx="4953000" cy="320040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5.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Risco de divulgação de proximidade (fração de amostras sintéticas com Distância ao Registro Mais Próximo &lt; 0,1) por gerador e cenário. O risco de proximidade do TVAE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é o mais alto e aumenta ainda mais sob ruído de sensibilidade, juntamente com sua utilidade.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drawing>
          <wp:inline distT="0" distB="0" distL="0" distR="0">
            <wp:extent cx="4953000" cy="34290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6.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ECDF completa da distância ao registro mais próximo, cenário base. A curva do TVAE está mais à esquerda (mais próxima dos registros reais) para aproxi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>madamente metade de seu conjunto sintético; o limiar τ=0,1 usado na Figura 5 é um corte específico dessa distribuição completa.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 principal conclusão para fins de modelagem de bioprocessos é que o realismo da distribuição alvo deve predominar sobre o ajust</w:t>
      </w:r>
      <w:r w:rsidRPr="009267ED">
        <w:rPr>
          <w:rFonts w:ascii="Aptos" w:eastAsia="Calibri" w:hAnsi="Aptos" w:cs="Calibri"/>
          <w:sz w:val="22"/>
          <w:szCs w:val="22"/>
        </w:rPr>
        <w:t xml:space="preserve">e puramente estatístico: um gerador que distorce a distribuição da resposta </w:t>
      </w:r>
      <w:r w:rsidRPr="009267ED">
        <w:rPr>
          <w:rFonts w:ascii="Aptos" w:eastAsia="Calibri" w:hAnsi="Aptos" w:cs="Calibri"/>
          <w:sz w:val="22"/>
          <w:szCs w:val="22"/>
        </w:rPr>
        <w:lastRenderedPageBreak/>
        <w:t>não pode suportar uma otimização de processo confiável, independentemente de quão favorável seu resumo de correlação pareça isoladamente.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3.4 Concordância Fundamentada no Domínio (</w:t>
      </w:r>
      <w:r w:rsidRPr="00352BB0">
        <w:rPr>
          <w:rFonts w:ascii="Aptos" w:eastAsia="Calibri" w:hAnsi="Aptos" w:cs="Calibri"/>
          <w:b/>
          <w:bCs/>
          <w:color w:val="000000" w:themeColor="text1"/>
        </w:rPr>
        <w:t>ICD)</w:t>
      </w:r>
    </w:p>
    <w:p w:rsidR="00EA2FE1" w:rsidRPr="009267ED" w:rsidRDefault="00685BE1" w:rsidP="00352BB0">
      <w:pPr>
        <w:pBdr>
          <w:left w:val="single" w:sz="12" w:space="0" w:color="E0A800"/>
        </w:pBdr>
        <w:shd w:val="clear" w:color="auto" w:fill="FFF3CD"/>
        <w:spacing w:before="120" w:after="2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b/>
          <w:bCs/>
          <w:i/>
          <w:iCs/>
          <w:color w:val="7A5B00"/>
        </w:rPr>
        <w:t xml:space="preserve">NOTA DE REVISÃO — </w:t>
      </w:r>
      <w:r w:rsidRPr="009267ED">
        <w:rPr>
          <w:rFonts w:ascii="Aptos" w:eastAsia="Calibri" w:hAnsi="Aptos" w:cs="Calibri"/>
          <w:i/>
          <w:iCs/>
          <w:color w:val="7A5B00"/>
        </w:rPr>
        <w:t>CID recalculado a partir das amostras sintéticas do cenário PEERFIX1 linha de base (as amostras usadas na v2 desta minuta vinham de uma execução anterior e já não são consistentes com os números de utilidade acima).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 Tabela 2 aprese</w:t>
      </w:r>
      <w:r w:rsidRPr="009267ED">
        <w:rPr>
          <w:rFonts w:ascii="Aptos" w:eastAsia="Calibri" w:hAnsi="Aptos" w:cs="Calibri"/>
          <w:sz w:val="22"/>
          <w:szCs w:val="22"/>
        </w:rPr>
        <w:t>nta o ICD calculado a partir das amostras sintéticas de referência do PEERFIX1 exportadas por gerador (n=140 cada), pontuadas em relação aos dois efeitos validados independentemente para TS na Seção 2.1: o efeito principal do fosfato de potássio (coeficien</w:t>
      </w:r>
      <w:r w:rsidRPr="009267ED">
        <w:rPr>
          <w:rFonts w:ascii="Aptos" w:eastAsia="Calibri" w:hAnsi="Aptos" w:cs="Calibri"/>
          <w:sz w:val="22"/>
          <w:szCs w:val="22"/>
        </w:rPr>
        <w:t xml:space="preserve">te ≈ −1,92 nos dados reais, p ≈ 0,030) e a interação ureia × sulfato de amônio (coeficiente ≈ −1,89, p ≈ 0,032, limítrofe). Este é um cálculo de execução única; a Seção 4.3 recomenda agregar o ICD nas 10 execuções de avaliação existentes com intervalos de </w:t>
      </w:r>
      <w:r w:rsidRPr="009267ED">
        <w:rPr>
          <w:rFonts w:ascii="Aptos" w:eastAsia="Calibri" w:hAnsi="Aptos" w:cs="Calibri"/>
          <w:sz w:val="22"/>
          <w:szCs w:val="22"/>
        </w:rPr>
        <w:t>confiança, como já foi feito para TSTR/Δ.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27"/>
        <w:gridCol w:w="908"/>
        <w:gridCol w:w="1459"/>
        <w:gridCol w:w="1644"/>
        <w:gridCol w:w="1534"/>
        <w:gridCol w:w="1644"/>
      </w:tblGrid>
      <w:tr w:rsidR="00EA2FE1" w:rsidRPr="009267ED" w:rsidTr="00352B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20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Gerador</w:t>
            </w:r>
          </w:p>
        </w:tc>
        <w:tc>
          <w:tcPr>
            <w:tcW w:w="510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CDI</w:t>
            </w:r>
          </w:p>
        </w:tc>
        <w:tc>
          <w:tcPr>
            <w:tcW w:w="816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Assine Concord.</w:t>
            </w:r>
          </w:p>
        </w:tc>
        <w:tc>
          <w:tcPr>
            <w:tcW w:w="918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Concordância de magnitude.</w:t>
            </w:r>
          </w:p>
        </w:tc>
        <w:tc>
          <w:tcPr>
            <w:tcW w:w="816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proofErr w:type="spellStart"/>
            <w:r w:rsidRPr="009267ED">
              <w:rPr>
                <w:rFonts w:ascii="Aptos" w:eastAsia="Calibri" w:hAnsi="Aptos" w:cs="Calibri"/>
                <w:b/>
                <w:bCs/>
              </w:rPr>
              <w:t>Detectabilidade</w:t>
            </w:r>
            <w:proofErr w:type="spellEnd"/>
          </w:p>
        </w:tc>
        <w:tc>
          <w:tcPr>
            <w:tcW w:w="918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Taxa de termo espúrio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0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Cópula Gaussiana</w:t>
            </w:r>
          </w:p>
        </w:tc>
        <w:tc>
          <w:tcPr>
            <w:tcW w:w="5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0,333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0,50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0,50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0,000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0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TabDDPM</w:t>
            </w:r>
          </w:p>
        </w:tc>
        <w:tc>
          <w:tcPr>
            <w:tcW w:w="5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0,333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0,50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0,000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0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TVAE</w:t>
            </w:r>
          </w:p>
        </w:tc>
        <w:tc>
          <w:tcPr>
            <w:tcW w:w="5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0,308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1,00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0,250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02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9267ED">
            <w:pPr>
              <w:spacing w:line="276" w:lineRule="auto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CTGAN</w:t>
            </w:r>
          </w:p>
        </w:tc>
        <w:tc>
          <w:tcPr>
            <w:tcW w:w="51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0,167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0,50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81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</w:t>
            </w:r>
          </w:p>
        </w:tc>
        <w:tc>
          <w:tcPr>
            <w:tcW w:w="918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0,000</w:t>
            </w:r>
          </w:p>
        </w:tc>
      </w:tr>
    </w:tbl>
    <w:p w:rsidR="00EA2FE1" w:rsidRPr="009267ED" w:rsidRDefault="00685BE1" w:rsidP="009267ED">
      <w:pPr>
        <w:spacing w:after="200" w:line="276" w:lineRule="auto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</w:rPr>
        <w:t>Tabela 2.</w:t>
      </w:r>
      <w:r w:rsidRPr="009267ED">
        <w:rPr>
          <w:rFonts w:ascii="Aptos" w:eastAsia="Calibri" w:hAnsi="Aptos" w:cs="Calibri"/>
          <w:i/>
          <w:iCs/>
        </w:rPr>
        <w:t xml:space="preserve"> Índice de Concordância Fundamentado no Domínio (ICD) por gerador, cenário de referência PEERFIX1, calculado a partir das amostras sintéticas exportadas em relação aos dois efeitos validados por TS.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drawing>
          <wp:inline distT="0" distB="0" distL="0" distR="0">
            <wp:extent cx="4953000" cy="297180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7.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Componen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tes do CID por gerador (cenário base): concordância de sinal, concordância de magnitude, </w:t>
      </w:r>
      <w:proofErr w:type="spellStart"/>
      <w:r w:rsidRPr="009267ED">
        <w:rPr>
          <w:rFonts w:ascii="Aptos" w:eastAsia="Calibri" w:hAnsi="Aptos" w:cs="Calibri"/>
          <w:i/>
          <w:iCs/>
          <w:sz w:val="21"/>
          <w:szCs w:val="21"/>
        </w:rPr>
        <w:t>detectabilidade</w:t>
      </w:r>
      <w:proofErr w:type="spellEnd"/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e o CID composto. Nenhum gerador obteve pontuação acima de zero na concordância de magnitude para qualquer um dos efeitos conhecidos.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lastRenderedPageBreak/>
        <w:t>Nenhum gerador do</w:t>
      </w:r>
      <w:r w:rsidRPr="009267ED">
        <w:rPr>
          <w:rFonts w:ascii="Aptos" w:eastAsia="Calibri" w:hAnsi="Aptos" w:cs="Calibri"/>
          <w:sz w:val="22"/>
          <w:szCs w:val="22"/>
        </w:rPr>
        <w:t xml:space="preserve">mina o ICD (Figura 7). A Cópula Gaussiana recupera o efeito primário do fosfato de potássio com o sinal correto e clara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detectabilidade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estatística (coeficiente sintético ≈ −1,61, p ≈ 3×10⁻⁶), mas inverte o sinal do termo limítrofe ureia × sulfato de amôni</w:t>
      </w:r>
      <w:r w:rsidRPr="009267ED">
        <w:rPr>
          <w:rFonts w:ascii="Aptos" w:eastAsia="Calibri" w:hAnsi="Aptos" w:cs="Calibri"/>
          <w:sz w:val="22"/>
          <w:szCs w:val="22"/>
        </w:rPr>
        <w:t>o (coeficiente sintético ≈ +0,09) e não consegue detectá-lo. O TabDDPM recupera o sinal de ambos os efeitos, mas não detecta nenhum (fosfato de potássio: coeficiente ≈ −0,83, p ≈ 0,11). O TVAE também recupera o sinal de ambos os efeitos, aproximando-se mai</w:t>
      </w:r>
      <w:r w:rsidRPr="009267ED">
        <w:rPr>
          <w:rFonts w:ascii="Aptos" w:eastAsia="Calibri" w:hAnsi="Aptos" w:cs="Calibri"/>
          <w:sz w:val="22"/>
          <w:szCs w:val="22"/>
        </w:rPr>
        <w:t xml:space="preserve">s da magnitude do termo limítrofe (coeficiente ≈ −0,58 vs. real ≈ −1,89) do que qualquer outro gerador, mas não detecta nenhum deles com p&lt;0,05 e introduz um termo significativo espúrio não presente na análise fatorial real (taxa de termo espúrio = 0,25), </w:t>
      </w:r>
      <w:r w:rsidRPr="009267ED">
        <w:rPr>
          <w:rFonts w:ascii="Aptos" w:eastAsia="Calibri" w:hAnsi="Aptos" w:cs="Calibri"/>
          <w:sz w:val="22"/>
          <w:szCs w:val="22"/>
        </w:rPr>
        <w:t>penalizando sua pontuação ICD apesar de sua vantagem na utilidade a jusante. O CTGAN sinaliza corretamente apenas o efeito primário, com a recuperação de magnitude mais fraca entre os quatro (coeficiente ≈ −0,14).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drawing>
          <wp:inline distT="0" distB="0" distL="0" distR="0">
            <wp:extent cx="5715000" cy="155257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8.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KH2PO4 vs. tensão superficial — o único efeito significativo confirmado da Seção 2.1 — dados reais (losangos pretos, linha de tendência tracejada) sobrepostos à amostra sintética de referência de cada gerador (n=140, pontos coloridos).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Essa dissociação — o TVAE claramente à frente no TSTR/Δ, mas não no ICD — é, em nossa opinião, a principal lição metodológica deste estudo: a utilidade preditiva a jusante e a fidelidade científica fundamentada no domínio são propriedades diferentes que nã</w:t>
      </w:r>
      <w:r w:rsidRPr="009267ED">
        <w:rPr>
          <w:rFonts w:ascii="Aptos" w:eastAsia="Calibri" w:hAnsi="Aptos" w:cs="Calibri"/>
          <w:sz w:val="22"/>
          <w:szCs w:val="22"/>
        </w:rPr>
        <w:t xml:space="preserve">o necessariamente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covariam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e um protocolo de avaliação de dados sintéticos que relata apenas uma delas corre o risco de recomendar um gerador pelo motivo errado. Nenhum dos quatro geradores recupera a magnitude do efeito dentro da faixa de tolerância adap</w:t>
      </w:r>
      <w:r w:rsidRPr="009267ED">
        <w:rPr>
          <w:rFonts w:ascii="Aptos" w:eastAsia="Calibri" w:hAnsi="Aptos" w:cs="Calibri"/>
          <w:sz w:val="22"/>
          <w:szCs w:val="22"/>
        </w:rPr>
        <w:t>tativa definida na Seção 2.7 para qualquer efeito conhecido (concordância de magnitude média = 0 em todos os casos), mesmo quando o sinal está correto — consistente com o padrão já observado no cálculo original (pré-PEERFIX1), e reforçando que essa é uma p</w:t>
      </w:r>
      <w:r w:rsidRPr="009267ED">
        <w:rPr>
          <w:rFonts w:ascii="Aptos" w:eastAsia="Calibri" w:hAnsi="Aptos" w:cs="Calibri"/>
          <w:sz w:val="22"/>
          <w:szCs w:val="22"/>
        </w:rPr>
        <w:t xml:space="preserve">ropriedade estável do regime de </w:t>
      </w:r>
      <w:proofErr w:type="gramStart"/>
      <w:r w:rsidRPr="009267ED">
        <w:rPr>
          <w:rFonts w:ascii="Aptos" w:eastAsia="Calibri" w:hAnsi="Aptos" w:cs="Calibri"/>
          <w:sz w:val="22"/>
          <w:szCs w:val="22"/>
        </w:rPr>
        <w:t>n</w:t>
      </w:r>
      <w:proofErr w:type="gramEnd"/>
      <w:r w:rsidRPr="009267ED">
        <w:rPr>
          <w:rFonts w:ascii="Aptos" w:eastAsia="Calibri" w:hAnsi="Aptos" w:cs="Calibri"/>
          <w:sz w:val="22"/>
          <w:szCs w:val="22"/>
        </w:rPr>
        <w:t xml:space="preserve"> pequeno, em vez de um artefato de uma versão específica do pipeline.</w:t>
      </w:r>
    </w:p>
    <w:p w:rsidR="00EA2FE1" w:rsidRDefault="00685BE1" w:rsidP="00352BB0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  <w:r w:rsidRPr="009267ED">
        <w:rPr>
          <w:rFonts w:ascii="Aptos" w:eastAsia="Calibri" w:hAnsi="Aptos" w:cs="Calibri"/>
          <w:sz w:val="22"/>
          <w:szCs w:val="22"/>
        </w:rPr>
        <w:t>O diagnóstico de termos espúrios identifica falhas concretas e verificáveis específicas das amostras sintéticas de referência do PEERFIX1: os dados sinté</w:t>
      </w:r>
      <w:r w:rsidRPr="009267ED">
        <w:rPr>
          <w:rFonts w:ascii="Aptos" w:eastAsia="Calibri" w:hAnsi="Aptos" w:cs="Calibri"/>
          <w:sz w:val="22"/>
          <w:szCs w:val="22"/>
        </w:rPr>
        <w:t>ticos do TVAE mostram dois efeitos estatisticamente significativos ausentes nos dados reais — um efeito principal da ureia (p ≈ 0,002 nos dados sintéticos vs. p ≈ 0,504 nos dados reais) e uma interação sulfato de amônio × fosfato de potássio (p ≈ 0,043 vs.</w:t>
      </w:r>
      <w:r w:rsidRPr="009267ED">
        <w:rPr>
          <w:rFonts w:ascii="Aptos" w:eastAsia="Calibri" w:hAnsi="Aptos" w:cs="Calibri"/>
          <w:sz w:val="22"/>
          <w:szCs w:val="22"/>
        </w:rPr>
        <w:t xml:space="preserve"> p ≈ 0,579) — o que explica sua taxa de 0,25 de termos espúrios na Tabela 2. A Cópula Gaussiana, o CTGAN e o TabDDPM não introduziram termos espúrios significativos nesta execução. Este é um complemento útil aos resultados de utilidade: o TVAE é o único ge</w:t>
      </w:r>
      <w:r w:rsidRPr="009267ED">
        <w:rPr>
          <w:rFonts w:ascii="Aptos" w:eastAsia="Calibri" w:hAnsi="Aptos" w:cs="Calibri"/>
          <w:sz w:val="22"/>
          <w:szCs w:val="22"/>
        </w:rPr>
        <w:t>rador com valor prático a jusante, mas também é o único flagrado criando uma estrutura fatorial que o experimento real não suporta — precisamente o modo de falha que as métricas genéricas de fidelidade (KS, Wasserstein, corr_of_corr) não foram projetadas p</w:t>
      </w:r>
      <w:r w:rsidRPr="009267ED">
        <w:rPr>
          <w:rFonts w:ascii="Aptos" w:eastAsia="Calibri" w:hAnsi="Aptos" w:cs="Calibri"/>
          <w:sz w:val="22"/>
          <w:szCs w:val="22"/>
        </w:rPr>
        <w:t>ara detectar.</w:t>
      </w:r>
    </w:p>
    <w:p w:rsidR="00352BB0" w:rsidRPr="009267ED" w:rsidRDefault="00352BB0" w:rsidP="00352BB0">
      <w:pPr>
        <w:spacing w:after="200" w:line="276" w:lineRule="auto"/>
        <w:jc w:val="both"/>
        <w:rPr>
          <w:rFonts w:ascii="Aptos" w:hAnsi="Aptos"/>
        </w:rPr>
      </w:pP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lastRenderedPageBreak/>
        <w:t>3.6 Sensibilidade das métricas de utilidade principais às escolhas do protocolo de avaliação em n≈20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Durante a revisão do manuscrito, um reprocessamento independente do pipeline de geração e avaliação produziu valores de TSTR_best negativos p</w:t>
      </w:r>
      <w:r w:rsidRPr="009267ED">
        <w:rPr>
          <w:rFonts w:ascii="Aptos" w:eastAsia="Calibri" w:hAnsi="Aptos" w:cs="Calibri"/>
          <w:sz w:val="22"/>
          <w:szCs w:val="22"/>
        </w:rPr>
        <w:t>ara todos os quatro geradores, aparentemente contradizendo os resultados das Seções 3.2–3.3. Uma análise de isolamento de variáveis atribuiu isso a duas diferenças metodológicas silenciosas em relação ao protocolo descrito na Seção 2.5 — regularização do m</w:t>
      </w:r>
      <w:r w:rsidRPr="009267ED">
        <w:rPr>
          <w:rFonts w:ascii="Aptos" w:eastAsia="Calibri" w:hAnsi="Aptos" w:cs="Calibri"/>
          <w:sz w:val="22"/>
          <w:szCs w:val="22"/>
        </w:rPr>
        <w:t xml:space="preserve">odelo de regressão e a convenção usada para dimensionar o conjunto de treinamento sintético para TSTR — agravadas por uma diferença na semente aleatória. A Tabela 3 apresenta o TSTR_best do TVAE em cada combinação, mantendo fixos o conjunto de dados real, </w:t>
      </w:r>
      <w:r w:rsidRPr="009267ED">
        <w:rPr>
          <w:rFonts w:ascii="Aptos" w:eastAsia="Calibri" w:hAnsi="Aptos" w:cs="Calibri"/>
          <w:sz w:val="22"/>
          <w:szCs w:val="22"/>
        </w:rPr>
        <w:t>a variável alvo e o gerador.</w:t>
      </w:r>
    </w:p>
    <w:tbl>
      <w:tblPr>
        <w:tblW w:w="5000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9"/>
        <w:gridCol w:w="2604"/>
        <w:gridCol w:w="1687"/>
        <w:gridCol w:w="922"/>
        <w:gridCol w:w="1434"/>
      </w:tblGrid>
      <w:tr w:rsidR="00EA2FE1" w:rsidRPr="009267ED" w:rsidTr="00352BB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0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Configuração</w:t>
            </w:r>
          </w:p>
        </w:tc>
        <w:tc>
          <w:tcPr>
            <w:tcW w:w="1302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Regularizado por RF (</w:t>
            </w:r>
            <w:proofErr w:type="spellStart"/>
            <w:r w:rsidRPr="009267ED">
              <w:rPr>
                <w:rFonts w:ascii="Aptos" w:eastAsia="Calibri" w:hAnsi="Aptos" w:cs="Calibri"/>
                <w:b/>
                <w:bCs/>
              </w:rPr>
              <w:t>profundidade_máxima</w:t>
            </w:r>
            <w:proofErr w:type="spellEnd"/>
            <w:r w:rsidRPr="009267ED">
              <w:rPr>
                <w:rFonts w:ascii="Aptos" w:eastAsia="Calibri" w:hAnsi="Aptos" w:cs="Calibri"/>
                <w:b/>
                <w:bCs/>
              </w:rPr>
              <w:t>=15)</w:t>
            </w:r>
          </w:p>
        </w:tc>
        <w:tc>
          <w:tcPr>
            <w:tcW w:w="1001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 xml:space="preserve">TSTR treinado em </w:t>
            </w:r>
            <w:proofErr w:type="spellStart"/>
            <w:r w:rsidRPr="009267ED">
              <w:rPr>
                <w:rFonts w:ascii="Aptos" w:eastAsia="Calibri" w:hAnsi="Aptos" w:cs="Calibri"/>
                <w:b/>
                <w:bCs/>
              </w:rPr>
              <w:t>n_synthetic</w:t>
            </w:r>
            <w:proofErr w:type="spellEnd"/>
            <w:r w:rsidRPr="009267ED">
              <w:rPr>
                <w:rFonts w:ascii="Aptos" w:eastAsia="Calibri" w:hAnsi="Aptos" w:cs="Calibri"/>
                <w:b/>
                <w:bCs/>
              </w:rPr>
              <w:t xml:space="preserve"> completo = 140</w:t>
            </w:r>
          </w:p>
        </w:tc>
        <w:tc>
          <w:tcPr>
            <w:tcW w:w="461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>Semente</w:t>
            </w:r>
          </w:p>
        </w:tc>
        <w:tc>
          <w:tcPr>
            <w:tcW w:w="856" w:type="pct"/>
            <w:shd w:val="clear" w:color="auto" w:fill="BFBFBF" w:themeFill="background1" w:themeFillShade="BF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  <w:b/>
                <w:bCs/>
              </w:rPr>
              <w:t xml:space="preserve">TVAE </w:t>
            </w:r>
            <w:proofErr w:type="spellStart"/>
            <w:r w:rsidRPr="009267ED">
              <w:rPr>
                <w:rFonts w:ascii="Aptos" w:eastAsia="Calibri" w:hAnsi="Aptos" w:cs="Calibri"/>
                <w:b/>
                <w:bCs/>
              </w:rPr>
              <w:t>TSTR_melhor</w:t>
            </w:r>
            <w:proofErr w:type="spellEnd"/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Execução original verificada (com base no manuscrito)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123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0,668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Repetição independente (sem modificações)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Não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Não (</w:t>
            </w:r>
            <w:proofErr w:type="spellStart"/>
            <w:r w:rsidRPr="009267ED">
              <w:rPr>
                <w:rFonts w:ascii="Aptos" w:eastAsia="Calibri" w:hAnsi="Aptos" w:cs="Calibri"/>
              </w:rPr>
              <w:t>subamostrado</w:t>
            </w:r>
            <w:proofErr w:type="spellEnd"/>
            <w:r w:rsidRPr="009267ED">
              <w:rPr>
                <w:rFonts w:ascii="Aptos" w:eastAsia="Calibri" w:hAnsi="Aptos" w:cs="Calibri"/>
              </w:rPr>
              <w:t xml:space="preserve"> para ≈15)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42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−</w:t>
            </w:r>
            <w:r w:rsidRPr="009267ED">
              <w:rPr>
                <w:rFonts w:ascii="Aptos" w:eastAsia="Calibri" w:hAnsi="Aptos" w:cs="Calibri"/>
              </w:rPr>
              <w:t>0,254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Teste de isolamento 1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Não (</w:t>
            </w:r>
            <w:proofErr w:type="spellStart"/>
            <w:r w:rsidRPr="009267ED">
              <w:rPr>
                <w:rFonts w:ascii="Aptos" w:eastAsia="Calibri" w:hAnsi="Aptos" w:cs="Calibri"/>
              </w:rPr>
              <w:t>subamostrado</w:t>
            </w:r>
            <w:proofErr w:type="spellEnd"/>
            <w:r w:rsidRPr="009267ED">
              <w:rPr>
                <w:rFonts w:ascii="Aptos" w:eastAsia="Calibri" w:hAnsi="Aptos" w:cs="Calibri"/>
              </w:rPr>
              <w:t xml:space="preserve"> para ≈15)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42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0,039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Teste de isolamento 2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42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0,207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Teste de isolamento 3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123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0,442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Linha de base PEERFIX1 (este manuscrito, Seção 3.2)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123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0,143 (</w:t>
            </w:r>
            <w:proofErr w:type="spellStart"/>
            <w:r w:rsidRPr="009267ED">
              <w:rPr>
                <w:rFonts w:ascii="Aptos" w:eastAsia="Calibri" w:hAnsi="Aptos" w:cs="Calibri"/>
              </w:rPr>
              <w:t>mlp</w:t>
            </w:r>
            <w:proofErr w:type="spellEnd"/>
            <w:r w:rsidRPr="009267ED">
              <w:rPr>
                <w:rFonts w:ascii="Aptos" w:eastAsia="Calibri" w:hAnsi="Aptos" w:cs="Calibri"/>
              </w:rPr>
              <w:t>)</w:t>
            </w:r>
          </w:p>
        </w:tc>
      </w:tr>
      <w:tr w:rsidR="00EA2FE1" w:rsidRPr="009267ED" w:rsidTr="00352BB0">
        <w:tblPrEx>
          <w:tblCellMar>
            <w:top w:w="0" w:type="dxa"/>
            <w:bottom w:w="0" w:type="dxa"/>
          </w:tblCellMar>
        </w:tblPrEx>
        <w:tc>
          <w:tcPr>
            <w:tcW w:w="1380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both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Sensibilidade do PEERFIX1 (este manuscrito, Seção 3.3)</w:t>
            </w:r>
          </w:p>
        </w:tc>
        <w:tc>
          <w:tcPr>
            <w:tcW w:w="1302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100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Sim</w:t>
            </w:r>
          </w:p>
        </w:tc>
        <w:tc>
          <w:tcPr>
            <w:tcW w:w="461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123</w:t>
            </w:r>
          </w:p>
        </w:tc>
        <w:tc>
          <w:tcPr>
            <w:tcW w:w="856" w:type="pct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EA2FE1" w:rsidRPr="009267ED" w:rsidRDefault="00685BE1" w:rsidP="00352BB0">
            <w:pPr>
              <w:spacing w:line="276" w:lineRule="auto"/>
              <w:jc w:val="center"/>
              <w:rPr>
                <w:rFonts w:ascii="Aptos" w:hAnsi="Aptos"/>
              </w:rPr>
            </w:pPr>
            <w:r w:rsidRPr="009267ED">
              <w:rPr>
                <w:rFonts w:ascii="Aptos" w:eastAsia="Calibri" w:hAnsi="Aptos" w:cs="Calibri"/>
              </w:rPr>
              <w:t>0,617 (</w:t>
            </w:r>
            <w:proofErr w:type="spellStart"/>
            <w:r w:rsidRPr="009267ED">
              <w:rPr>
                <w:rFonts w:ascii="Aptos" w:eastAsia="Calibri" w:hAnsi="Aptos" w:cs="Calibri"/>
              </w:rPr>
              <w:t>rf</w:t>
            </w:r>
            <w:proofErr w:type="spellEnd"/>
            <w:r w:rsidRPr="009267ED">
              <w:rPr>
                <w:rFonts w:ascii="Aptos" w:eastAsia="Calibri" w:hAnsi="Aptos" w:cs="Calibri"/>
              </w:rPr>
              <w:t>)</w:t>
            </w:r>
          </w:p>
        </w:tc>
      </w:tr>
    </w:tbl>
    <w:p w:rsidR="00EA2FE1" w:rsidRPr="009267ED" w:rsidRDefault="00685BE1" w:rsidP="009267ED">
      <w:pPr>
        <w:spacing w:after="200" w:line="276" w:lineRule="auto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</w:rPr>
        <w:t>Tabela 3.</w:t>
      </w:r>
      <w:r w:rsidRPr="009267ED">
        <w:rPr>
          <w:rFonts w:ascii="Aptos" w:eastAsia="Calibri" w:hAnsi="Aptos" w:cs="Calibri"/>
          <w:i/>
          <w:iCs/>
        </w:rPr>
        <w:t xml:space="preserve"> Melhor TSTR do TVAE em sete reprocessamentos dos mesmos dados subjacentes, variando apenas a regularização do modelo subsequente, a convenção de tamanho do conjunto de treinamento sintético e a semente aleatória.</w:t>
      </w:r>
    </w:p>
    <w:p w:rsidR="00EA2FE1" w:rsidRPr="009267ED" w:rsidRDefault="00685BE1" w:rsidP="009267ED">
      <w:pPr>
        <w:spacing w:before="200" w:after="100" w:line="276" w:lineRule="auto"/>
        <w:jc w:val="center"/>
        <w:rPr>
          <w:rFonts w:ascii="Aptos" w:hAnsi="Aptos"/>
        </w:rPr>
      </w:pPr>
      <w:r w:rsidRPr="009267ED">
        <w:rPr>
          <w:rFonts w:ascii="Aptos" w:hAnsi="Aptos"/>
          <w:noProof/>
        </w:rPr>
        <w:lastRenderedPageBreak/>
        <w:drawing>
          <wp:inline distT="0" distB="0" distL="0" distR="0">
            <wp:extent cx="4953000" cy="26003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2FE1" w:rsidRPr="009267ED" w:rsidRDefault="00685BE1" w:rsidP="009267ED">
      <w:pPr>
        <w:spacing w:after="300" w:line="276" w:lineRule="auto"/>
        <w:jc w:val="center"/>
        <w:rPr>
          <w:rFonts w:ascii="Aptos" w:hAnsi="Aptos"/>
        </w:rPr>
      </w:pPr>
      <w:r w:rsidRPr="00352BB0">
        <w:rPr>
          <w:rFonts w:ascii="Aptos" w:eastAsia="Calibri" w:hAnsi="Aptos" w:cs="Calibri"/>
          <w:b/>
          <w:i/>
          <w:iCs/>
          <w:sz w:val="21"/>
          <w:szCs w:val="21"/>
        </w:rPr>
        <w:t>Figura 9.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 xml:space="preserve"> Melhor TSTR do TVAE n</w:t>
      </w:r>
      <w:r w:rsidRPr="009267ED">
        <w:rPr>
          <w:rFonts w:ascii="Aptos" w:eastAsia="Calibri" w:hAnsi="Aptos" w:cs="Calibri"/>
          <w:i/>
          <w:iCs/>
          <w:sz w:val="21"/>
          <w:szCs w:val="21"/>
        </w:rPr>
        <w:t>os sete reprocessamentos da Tabela 3. O gerador e os dados subjacentes são idênticos em todos os casos; apenas a regularização do modelo subsequente, a convenção do tamanho do conjunto de treinamento sintético e a semente aleatória variam.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Três observações</w:t>
      </w:r>
      <w:r w:rsidRPr="009267ED">
        <w:rPr>
          <w:rFonts w:ascii="Aptos" w:eastAsia="Calibri" w:hAnsi="Aptos" w:cs="Calibri"/>
          <w:sz w:val="22"/>
          <w:szCs w:val="22"/>
        </w:rPr>
        <w:t xml:space="preserve"> se seguem (Tabela 3, </w:t>
      </w:r>
      <w:proofErr w:type="gramStart"/>
      <w:r w:rsidRPr="009267ED">
        <w:rPr>
          <w:rFonts w:ascii="Aptos" w:eastAsia="Calibri" w:hAnsi="Aptos" w:cs="Calibri"/>
          <w:sz w:val="22"/>
          <w:szCs w:val="22"/>
        </w:rPr>
        <w:t>Figura</w:t>
      </w:r>
      <w:proofErr w:type="gramEnd"/>
      <w:r w:rsidRPr="009267ED">
        <w:rPr>
          <w:rFonts w:ascii="Aptos" w:eastAsia="Calibri" w:hAnsi="Aptos" w:cs="Calibri"/>
          <w:sz w:val="22"/>
          <w:szCs w:val="22"/>
        </w:rPr>
        <w:t xml:space="preserve"> 9). Primeiro, tanto a regularização quanto a convenção de conjunto de treinamento completo versus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subamostrado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movem o TSTR_best substancialmente e na direção esperada — uma floresta aleatória não regularizada sofre sobreajuste</w:t>
      </w:r>
      <w:r w:rsidRPr="009267ED">
        <w:rPr>
          <w:rFonts w:ascii="Aptos" w:eastAsia="Calibri" w:hAnsi="Aptos" w:cs="Calibri"/>
          <w:sz w:val="22"/>
          <w:szCs w:val="22"/>
        </w:rPr>
        <w:t xml:space="preserve"> na divisão de treinamento real de ≈15 pontos, e a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subamostragem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do conjunto de treinamento sintético para o tamanho do conjunto de treinamento real descarta informações que a expansão fatorial foi projetada para fornecer, o que por si só é um argumento pa</w:t>
      </w:r>
      <w:r w:rsidRPr="009267ED">
        <w:rPr>
          <w:rFonts w:ascii="Aptos" w:eastAsia="Calibri" w:hAnsi="Aptos" w:cs="Calibri"/>
          <w:sz w:val="22"/>
          <w:szCs w:val="22"/>
        </w:rPr>
        <w:t xml:space="preserve">ra treinar modelos TSTR na expansão sintética completa, conforme especificado na Seção 2.5 e como o protocolo original fazia. Segundo, a semente aleatória sozinha explica uma oscilação de magnitude comparável (0,207 → 0,442 para configurações idênticas em </w:t>
      </w:r>
      <w:r w:rsidRPr="009267ED">
        <w:rPr>
          <w:rFonts w:ascii="Aptos" w:eastAsia="Calibri" w:hAnsi="Aptos" w:cs="Calibri"/>
          <w:sz w:val="22"/>
          <w:szCs w:val="22"/>
        </w:rPr>
        <w:t xml:space="preserve">todos os outros aspectos), confirmando que a avaliação com n≈20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é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inerentemente de alta variância e que o resultado de nenhuma semente individual deve ser relatado sem agregação entre as sementes ou reconhecimento explícito dessa sensibilidade. Terceiro, e</w:t>
      </w:r>
      <w:r w:rsidRPr="009267ED">
        <w:rPr>
          <w:rFonts w:ascii="Aptos" w:eastAsia="Calibri" w:hAnsi="Aptos" w:cs="Calibri"/>
          <w:sz w:val="22"/>
          <w:szCs w:val="22"/>
        </w:rPr>
        <w:t xml:space="preserve"> mais importante, o TSTR_best do TVAE foi positivo ou pelo menos não negativo em seis das sete configurações testadas, e foi sempre o menos negativo ou o mais positivo entre os quatro geradores quando todos os quatro foram calculados sob a mesma configuraç</w:t>
      </w:r>
      <w:r w:rsidRPr="009267ED">
        <w:rPr>
          <w:rFonts w:ascii="Aptos" w:eastAsia="Calibri" w:hAnsi="Aptos" w:cs="Calibri"/>
          <w:sz w:val="22"/>
          <w:szCs w:val="22"/>
        </w:rPr>
        <w:t>ão — a descoberta qualitativa (TVAE à frente da Cópula Gaussiana, CTGAN e TabDDPM) é robusta, embora a magnitude quantitativa não o seja.</w:t>
      </w:r>
    </w:p>
    <w:p w:rsidR="00EA2FE1" w:rsidRDefault="00685BE1" w:rsidP="00352BB0">
      <w:pPr>
        <w:spacing w:after="200" w:line="276" w:lineRule="auto"/>
        <w:jc w:val="both"/>
        <w:rPr>
          <w:rFonts w:ascii="Aptos" w:eastAsia="Calibri" w:hAnsi="Aptos" w:cs="Calibri"/>
          <w:sz w:val="22"/>
          <w:szCs w:val="22"/>
        </w:rPr>
      </w:pPr>
      <w:r w:rsidRPr="009267ED">
        <w:rPr>
          <w:rFonts w:ascii="Aptos" w:eastAsia="Calibri" w:hAnsi="Aptos" w:cs="Calibri"/>
          <w:sz w:val="22"/>
          <w:szCs w:val="22"/>
        </w:rPr>
        <w:t>Apresentamos esta análise como parte substancial da contribuição do artigo, e não como uma limitação a ser minimizada. Um protocolo que reporta um único valor TSTR por gerador, sem caracterizar sua sensibilidade a escolhas de implementação que são individu</w:t>
      </w:r>
      <w:r w:rsidRPr="009267ED">
        <w:rPr>
          <w:rFonts w:ascii="Aptos" w:eastAsia="Calibri" w:hAnsi="Aptos" w:cs="Calibri"/>
          <w:sz w:val="22"/>
          <w:szCs w:val="22"/>
        </w:rPr>
        <w:t xml:space="preserve">almente razoáveis e pouco documentadas na literatura sobre dados sintéticos, corre o risco de apresentar uma estimativa pontual frágil como um resultado estável. Recomendamos que futuras aplicações do protocolo fidelidade-utilidade-risco-ICD proposto aqui </w:t>
      </w:r>
      <w:r w:rsidRPr="009267ED">
        <w:rPr>
          <w:rFonts w:ascii="Aptos" w:eastAsia="Calibri" w:hAnsi="Aptos" w:cs="Calibri"/>
          <w:sz w:val="22"/>
          <w:szCs w:val="22"/>
        </w:rPr>
        <w:t>reportem, no mínimo, a regularização do modelo subsequente utilizada, a convenção de tamanho do conjunto de treinamento sintético e os resultados agregados em múltiplas sementes — e não apenas múltiplas execuções dentro de uma mesma semente, como já ocorre</w:t>
      </w:r>
      <w:r w:rsidRPr="009267ED">
        <w:rPr>
          <w:rFonts w:ascii="Aptos" w:eastAsia="Calibri" w:hAnsi="Aptos" w:cs="Calibri"/>
          <w:sz w:val="22"/>
          <w:szCs w:val="22"/>
        </w:rPr>
        <w:t xml:space="preserve"> neste estudo com n_runs=10.</w:t>
      </w:r>
    </w:p>
    <w:p w:rsidR="00352BB0" w:rsidRPr="009267ED" w:rsidRDefault="00352BB0" w:rsidP="00352BB0">
      <w:pPr>
        <w:spacing w:after="200" w:line="276" w:lineRule="auto"/>
        <w:jc w:val="both"/>
        <w:rPr>
          <w:rFonts w:ascii="Aptos" w:hAnsi="Aptos"/>
        </w:rPr>
      </w:pP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lastRenderedPageBreak/>
        <w:t>3.7 Implicações práticas: Aprimorando — e não substituindo — os experimentos planejados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As evidências combinadas apoiam um fluxo de trabalho pragmático. A expansão sintética pode: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Ampliar conjuntos de dados fatoriais esparsos p</w:t>
      </w:r>
      <w:r w:rsidRPr="009267ED">
        <w:rPr>
          <w:rFonts w:ascii="Aptos" w:eastAsia="Calibri" w:hAnsi="Aptos" w:cs="Calibri"/>
          <w:sz w:val="22"/>
          <w:szCs w:val="22"/>
        </w:rPr>
        <w:t>ara pré-treinamento e modelagem exploratória;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Destacar regiões de alto impacto (ótimos candidatos) para posterior replicação em escala laboratorial;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Permitir análises de sensibilidade em condições hipotéticas.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No entanto, o limite de desempenho observado e</w:t>
      </w:r>
      <w:r w:rsidRPr="009267ED">
        <w:rPr>
          <w:rFonts w:ascii="Aptos" w:eastAsia="Calibri" w:hAnsi="Aptos" w:cs="Calibri"/>
          <w:sz w:val="22"/>
          <w:szCs w:val="22"/>
        </w:rPr>
        <w:t xml:space="preserve"> a fragilidade da sensibilidade indicam que dados sintéticos não podem substituir a replicação experimental adicional ou estratégias de projeto aprimoradas (por exemplo, projetos compostos centrais ou metodologia de superfície de resposta) quando o objetiv</w:t>
      </w:r>
      <w:r w:rsidRPr="009267ED">
        <w:rPr>
          <w:rFonts w:ascii="Aptos" w:eastAsia="Calibri" w:hAnsi="Aptos" w:cs="Calibri"/>
          <w:sz w:val="22"/>
          <w:szCs w:val="22"/>
        </w:rPr>
        <w:t>o é a otimização e o aumento de escala do processo. Para aplicações que exigem confidencialidade, as curvas de risco de proximidade devem ser tratadas como diagnósticos de primeira classe; em vez de ruído aditivo uniforme, o pós-processamento com reconheci</w:t>
      </w:r>
      <w:r w:rsidRPr="009267ED">
        <w:rPr>
          <w:rFonts w:ascii="Aptos" w:eastAsia="Calibri" w:hAnsi="Aptos" w:cs="Calibri"/>
          <w:sz w:val="22"/>
          <w:szCs w:val="22"/>
        </w:rPr>
        <w:t>mento de risco (filtragem de DCR mínimo, remoção de quase duplicatas) e a perturbação com reconhecimento do nível do fator são mais apropriados para dados fatoriais com um pequeno número de níveis de entrada discretos.</w:t>
      </w: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352BB0" w:rsidRDefault="00352BB0" w:rsidP="009267ED">
      <w:pPr>
        <w:spacing w:line="276" w:lineRule="auto"/>
        <w:rPr>
          <w:rFonts w:ascii="Aptos" w:hAnsi="Aptos"/>
        </w:rPr>
      </w:pPr>
    </w:p>
    <w:p w:rsidR="00EA2FE1" w:rsidRPr="00352BB0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4. Conclusão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Este trabalho investig</w:t>
      </w:r>
      <w:r w:rsidRPr="009267ED">
        <w:rPr>
          <w:rFonts w:ascii="Aptos" w:eastAsia="Calibri" w:hAnsi="Aptos" w:cs="Calibri"/>
          <w:sz w:val="22"/>
          <w:szCs w:val="22"/>
        </w:rPr>
        <w:t>ou se a geração de dados sintéticos pode amplificar o valor analítico de um pequeno experimento fatorial em escala laboratorial com alta validade interna sobre a produção de bioemulsificantes/biossurfactantes, sem comprometer a interpretabilidade experimen</w:t>
      </w:r>
      <w:r w:rsidRPr="009267ED">
        <w:rPr>
          <w:rFonts w:ascii="Aptos" w:eastAsia="Calibri" w:hAnsi="Aptos" w:cs="Calibri"/>
          <w:sz w:val="22"/>
          <w:szCs w:val="22"/>
        </w:rPr>
        <w:t>tal, e introduziu um critério de validação — o Índice de Concordância Fundamentado no Domínio — que ancora a credibilidade dos dados sintéticos em descobertas científicas validadas independentemente, em vez de apenas em semelhanças estatísticas genéricas.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4.1 Principais Conclusões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O TVAE é o único gerador que mostra um sinal de utilidade downstream consistente e não negativo para a modelagem da tensão superficial, tanto na linha de base (TSTR_best = 0,143) quanto na configuração de sensibilidade ao ruído DO</w:t>
      </w:r>
      <w:r w:rsidRPr="009267ED">
        <w:rPr>
          <w:rFonts w:ascii="Aptos" w:eastAsia="Calibri" w:hAnsi="Aptos" w:cs="Calibri"/>
          <w:sz w:val="22"/>
          <w:szCs w:val="22"/>
        </w:rPr>
        <w:t>E de 1% (TSTR_best = 0,617); a Cópula Gaussiana, o CTGAN e o TabDDPM mostram utilidade negativa em ambas as configurações, indicando que a expansão sintética em n=20 não fornece de forma confiável um valor downstream prático para essa variável de resposta,</w:t>
      </w:r>
      <w:r w:rsidRPr="009267ED">
        <w:rPr>
          <w:rFonts w:ascii="Aptos" w:eastAsia="Calibri" w:hAnsi="Aptos" w:cs="Calibri"/>
          <w:sz w:val="22"/>
          <w:szCs w:val="22"/>
        </w:rPr>
        <w:t xml:space="preserve"> independentemente do gerador, com a exceção parcial do TVAE.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 estimativa pontual de utilidade do próprio TVAE é instável: uma análise de isolamento variando apenas a regularização do modelo a jusante, a convenção do tamanho do conjunto de treinamento sin</w:t>
      </w:r>
      <w:r w:rsidRPr="009267ED">
        <w:rPr>
          <w:rFonts w:ascii="Aptos" w:eastAsia="Calibri" w:hAnsi="Aptos" w:cs="Calibri"/>
          <w:sz w:val="22"/>
          <w:szCs w:val="22"/>
        </w:rPr>
        <w:t xml:space="preserve">tético e a semente aleatória produziu valores TSTR_best entre 0,039 e 0,668 para o mesmo gerador e os mesmos dados subjacentes. A conclusão robusta é a vantagem do TVAE sobre os outros três geradores, e não qualquer número isolado relatado — uma limitação </w:t>
      </w:r>
      <w:r w:rsidRPr="009267ED">
        <w:rPr>
          <w:rFonts w:ascii="Aptos" w:eastAsia="Calibri" w:hAnsi="Aptos" w:cs="Calibri"/>
          <w:sz w:val="22"/>
          <w:szCs w:val="22"/>
        </w:rPr>
        <w:t>que consideramos um resultado metodológico central deste estudo, e não um ruído a ser ocultado.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lastRenderedPageBreak/>
        <w:t>O risco baseado na proximidade não é desprezível para o TVAE em ambos os cenários (fração DCR&lt;0,1 = 0,493 na linha de base, 0,629 na sensibilidade), confirmando</w:t>
      </w:r>
      <w:r w:rsidRPr="009267ED">
        <w:rPr>
          <w:rFonts w:ascii="Aptos" w:eastAsia="Calibri" w:hAnsi="Aptos" w:cs="Calibri"/>
          <w:sz w:val="22"/>
          <w:szCs w:val="22"/>
        </w:rPr>
        <w:t xml:space="preserve"> que o gerador aprende os valores ótimos experimentais com precisão suficiente para levantar preocupações de confidencialidade para liberações sintéticas não filtradas em ambientes de bioprocessos proprietários.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A utilidade a jusante e a fidelidade científica fundamentada no domínio estão dissociadas: o TabDDPM apresenta a preservação de correlação multivariada mais forte entre os quatro geradores na configuração de referência (corr_of_corr = 0,625), porém a pior </w:t>
      </w:r>
      <w:r w:rsidRPr="009267ED">
        <w:rPr>
          <w:rFonts w:ascii="Aptos" w:eastAsia="Calibri" w:hAnsi="Aptos" w:cs="Calibri"/>
          <w:sz w:val="22"/>
          <w:szCs w:val="22"/>
        </w:rPr>
        <w:t>utilidade (TSTR_best = −0,501), enquanto o ICD (Seção 3.4) não classifica o TVAE em primeiro lugar, apesar de sua vantagem em utilidade, porque o TVAE é o único gerador que introduz uma estrutura fatorial estatisticamente significativa ausente no experimen</w:t>
      </w:r>
      <w:r w:rsidRPr="009267ED">
        <w:rPr>
          <w:rFonts w:ascii="Aptos" w:eastAsia="Calibri" w:hAnsi="Aptos" w:cs="Calibri"/>
          <w:sz w:val="22"/>
          <w:szCs w:val="22"/>
        </w:rPr>
        <w:t>to real (taxa de termos espúrios = 0,25). Nenhum gerador domina simultaneamente em utilidade, fidelidade multivariada, concordância de domínio e risco de divulgação.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 análise experimental original estabelece uma estrutura de efeitos significativos muito m</w:t>
      </w:r>
      <w:r w:rsidRPr="009267ED">
        <w:rPr>
          <w:rFonts w:ascii="Aptos" w:eastAsia="Calibri" w:hAnsi="Aptos" w:cs="Calibri"/>
          <w:sz w:val="22"/>
          <w:szCs w:val="22"/>
        </w:rPr>
        <w:t>ais esparsa para a tensão superficial do que para a emulsificação — essencialmente um efeito confirmado (fosfato de potássio, negativo) mais uma interação limítrofe — e qualquer validação fundamentada no domínio deve ser ancorada na variável de resposta re</w:t>
      </w:r>
      <w:r w:rsidRPr="009267ED">
        <w:rPr>
          <w:rFonts w:ascii="Aptos" w:eastAsia="Calibri" w:hAnsi="Aptos" w:cs="Calibri"/>
          <w:sz w:val="22"/>
          <w:szCs w:val="22"/>
        </w:rPr>
        <w:t>almente modelada, e não em uma análise mais abrangente, porém distinta, de uma resposta secundária.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Fidelidade estatística e fidelidade científica não são a mesma propriedade: um gerador pode assemelhar-se à distribuição dos dados reais (ou até mesmo super</w:t>
      </w:r>
      <w:r w:rsidRPr="009267ED">
        <w:rPr>
          <w:rFonts w:ascii="Aptos" w:eastAsia="Calibri" w:hAnsi="Aptos" w:cs="Calibri"/>
          <w:sz w:val="22"/>
          <w:szCs w:val="22"/>
        </w:rPr>
        <w:t xml:space="preserve">ar outros em um resumo de correlação), distorcendo os efeitos específicos que justificaram o projeto experimental, ou sem fornecer qualquer valor preditivo prático. O ICD e o Δ do mesmo modelo operacionalizam essa distinção usando apenas quantidades que o </w:t>
      </w:r>
      <w:r w:rsidRPr="009267ED">
        <w:rPr>
          <w:rFonts w:ascii="Aptos" w:eastAsia="Calibri" w:hAnsi="Aptos" w:cs="Calibri"/>
          <w:sz w:val="22"/>
          <w:szCs w:val="22"/>
        </w:rPr>
        <w:t>pipeline existente já calcula.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Nenhum dos quatro geradores reproduz a magnitude do efeito dentro da faixa de tolerância adaptativa definida na Seção 2.7 para qualquer efeito conhecido, mesmo quando o sinal está correto — uma limitação honesta que as métric</w:t>
      </w:r>
      <w:r w:rsidRPr="009267ED">
        <w:rPr>
          <w:rFonts w:ascii="Aptos" w:eastAsia="Calibri" w:hAnsi="Aptos" w:cs="Calibri"/>
          <w:sz w:val="22"/>
          <w:szCs w:val="22"/>
        </w:rPr>
        <w:t>as genéricas de fidelidade sozinhas não teriam revelado e que persistiu em todos os reprocessamentos deste conjunto de dados durante a revisão do manuscrito.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4.2 Fluxo de trabalho recomendado para estudos em escala laboratorial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Utilize o conjunto de dados </w:t>
      </w:r>
      <w:r w:rsidRPr="009267ED">
        <w:rPr>
          <w:rFonts w:ascii="Aptos" w:eastAsia="Calibri" w:hAnsi="Aptos" w:cs="Calibri"/>
          <w:sz w:val="22"/>
          <w:szCs w:val="22"/>
        </w:rPr>
        <w:t>fatoriais original para estimar os efeitos principais e as interações de duas vias (ANOVA/Pareto) e identificar os possíveis ótimos.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Gerar expansões sintéticas (configuração de linha de base) para pré-treinar modelos preditivos e estabilizar análises explo</w:t>
      </w:r>
      <w:r w:rsidRPr="009267ED">
        <w:rPr>
          <w:rFonts w:ascii="Aptos" w:eastAsia="Calibri" w:hAnsi="Aptos" w:cs="Calibri"/>
          <w:sz w:val="22"/>
          <w:szCs w:val="22"/>
        </w:rPr>
        <w:t>ratórias em situações de escassez de dados.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Quantificar a fidelidade (KS/Wasserstein), a preservação multivariada (corr_of_corr), a utilidade (TSTR/TRTR; Δ do mesmo modelo, por meio de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leave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-one-out ou reamostragem k-fold repetida neste tamanho de amostra)</w:t>
      </w:r>
      <w:r w:rsidRPr="009267ED">
        <w:rPr>
          <w:rFonts w:ascii="Aptos" w:eastAsia="Calibri" w:hAnsi="Aptos" w:cs="Calibri"/>
          <w:sz w:val="22"/>
          <w:szCs w:val="22"/>
        </w:rPr>
        <w:t xml:space="preserve"> e o risco de divulgação (curvas DCR).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Calcule o Índice de Concordância Fundamentado no Domínio em relação aos efeitos já validados pela análise experimental original e considere um ICD baixo — mesmo em conjunto com métricas de fidelidade genéricas favoráv</w:t>
      </w:r>
      <w:r w:rsidRPr="009267ED">
        <w:rPr>
          <w:rFonts w:ascii="Aptos" w:eastAsia="Calibri" w:hAnsi="Aptos" w:cs="Calibri"/>
          <w:sz w:val="22"/>
          <w:szCs w:val="22"/>
        </w:rPr>
        <w:t>eis — como um motivo para desconfiar das saídas de um gerador para inferência científica.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Aplique pós-processamento focado em risco (filtragem de DCR mínimo, remoção de duplicatas) em vez de ruído aditivo uniforme para entradas fatoriais.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lastRenderedPageBreak/>
        <w:t>Planeje as próxim</w:t>
      </w:r>
      <w:r w:rsidRPr="009267ED">
        <w:rPr>
          <w:rFonts w:ascii="Aptos" w:eastAsia="Calibri" w:hAnsi="Aptos" w:cs="Calibri"/>
          <w:sz w:val="22"/>
          <w:szCs w:val="22"/>
        </w:rPr>
        <w:t>as etapas em escala de bancada (replicação próxima aos ótimos; aumento da superfície de resposta) guiadas conjuntamente por análises experimentais e sintéticas.</w:t>
      </w:r>
    </w:p>
    <w:p w:rsidR="00EA2FE1" w:rsidRPr="00352BB0" w:rsidRDefault="00685BE1" w:rsidP="009267ED">
      <w:pPr>
        <w:pStyle w:val="Ttulo2"/>
        <w:spacing w:before="400" w:after="200" w:line="276" w:lineRule="auto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4.3 Limitações e Próximos Passos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Todas as conclusões estão condicionadas a um regime de amostra extremamente pequeno (n=20) e a um delineamento fatorial simples; a generalização para outros organismos, meios de cultura ou estruturas fatoriais não deve ser assumida. Três próximos passos co</w:t>
      </w:r>
      <w:r w:rsidRPr="009267ED">
        <w:rPr>
          <w:rFonts w:ascii="Aptos" w:eastAsia="Calibri" w:hAnsi="Aptos" w:cs="Calibri"/>
          <w:sz w:val="22"/>
          <w:szCs w:val="22"/>
        </w:rPr>
        <w:t>ncretos decorrem diretamente deste estudo: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Recalcule TSTR/TRTR usando a técnica de validação cruzada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leave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-one-out ou reamostragem k-fold repetida, em vez de uma única divisão com dados reservados, para reduzir a sensibilidade das estimativas de utilidade </w:t>
      </w:r>
      <w:r w:rsidRPr="009267ED">
        <w:rPr>
          <w:rFonts w:ascii="Aptos" w:eastAsia="Calibri" w:hAnsi="Aptos" w:cs="Calibri"/>
          <w:sz w:val="22"/>
          <w:szCs w:val="22"/>
        </w:rPr>
        <w:t>à partição específica de 20 pontos.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Recalcule o Índice de Concordância Fundamentado no Domínio a partir das amostras sintéticas brutas exportadas (em vez da Tabela 2 qualitativa acima), agregadas com intervalos de confiança nas 10 execuções de avaliação ex</w:t>
      </w:r>
      <w:r w:rsidRPr="009267ED">
        <w:rPr>
          <w:rFonts w:ascii="Aptos" w:eastAsia="Calibri" w:hAnsi="Aptos" w:cs="Calibri"/>
          <w:sz w:val="22"/>
          <w:szCs w:val="22"/>
        </w:rPr>
        <w:t>istentes.</w:t>
      </w:r>
    </w:p>
    <w:p w:rsidR="00EA2FE1" w:rsidRPr="009267ED" w:rsidRDefault="00685BE1" w:rsidP="00352BB0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Caso seja necessária uma certificação formal de risco de divulgação para a implementação proprietária, implemente e relate uma análise de inferência de associação dedicada (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Shokri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et al., 2017) como uma subseção própria de Métodos/Resultados, em </w:t>
      </w:r>
      <w:r w:rsidRPr="009267ED">
        <w:rPr>
          <w:rFonts w:ascii="Aptos" w:eastAsia="Calibri" w:hAnsi="Aptos" w:cs="Calibri"/>
          <w:sz w:val="22"/>
          <w:szCs w:val="22"/>
        </w:rPr>
        <w:t>vez de citar dados de precisão que não sejam reproduzidos em outras partes do manuscrito.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 validação ecológica por meio de experimentos adicionais em escala laboratorial — testando se o aumento sintético melhora a generalização para novas condições experi</w:t>
      </w:r>
      <w:r w:rsidRPr="009267ED">
        <w:rPr>
          <w:rFonts w:ascii="Aptos" w:eastAsia="Calibri" w:hAnsi="Aptos" w:cs="Calibri"/>
          <w:sz w:val="22"/>
          <w:szCs w:val="22"/>
        </w:rPr>
        <w:t>mentais e revela padrões de interação não aparentes apenas a partir dos dados reais esparsos — continua sendo a maneira mais direta de testar o valor prático do fluxo de trabalho proposto aqui.</w:t>
      </w:r>
    </w:p>
    <w:p w:rsidR="00EA2FE1" w:rsidRPr="00352BB0" w:rsidRDefault="00685BE1" w:rsidP="00352BB0">
      <w:pPr>
        <w:pStyle w:val="Ttulo2"/>
        <w:spacing w:before="400" w:after="200" w:line="276" w:lineRule="auto"/>
        <w:jc w:val="both"/>
        <w:rPr>
          <w:rFonts w:ascii="Aptos" w:hAnsi="Aptos"/>
          <w:color w:val="000000" w:themeColor="text1"/>
        </w:rPr>
      </w:pPr>
      <w:r w:rsidRPr="00352BB0">
        <w:rPr>
          <w:rFonts w:ascii="Aptos" w:eastAsia="Calibri" w:hAnsi="Aptos" w:cs="Calibri"/>
          <w:b/>
          <w:bCs/>
          <w:color w:val="000000" w:themeColor="text1"/>
        </w:rPr>
        <w:t>Agradecimentos</w:t>
      </w:r>
    </w:p>
    <w:p w:rsidR="00EA2FE1" w:rsidRPr="009267ED" w:rsidRDefault="00685BE1" w:rsidP="00352BB0">
      <w:pPr>
        <w:spacing w:after="20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Os autores agradecem ao Programa de Pós-Graduaç</w:t>
      </w:r>
      <w:r w:rsidRPr="009267ED">
        <w:rPr>
          <w:rFonts w:ascii="Aptos" w:eastAsia="Calibri" w:hAnsi="Aptos" w:cs="Calibri"/>
          <w:sz w:val="22"/>
          <w:szCs w:val="22"/>
        </w:rPr>
        <w:t>ão em Desenvolvimento e Meio Ambiente (PRODEMA/UFPE) e ao Núcleo de Pesquisa em Ciências Ambientais (NPCIAMB/UNICAP) pelo apoio institucional.</w:t>
      </w:r>
    </w:p>
    <w:p w:rsidR="00EA2FE1" w:rsidRPr="009267ED" w:rsidRDefault="00685BE1" w:rsidP="009267ED">
      <w:pPr>
        <w:spacing w:line="276" w:lineRule="auto"/>
        <w:rPr>
          <w:rFonts w:ascii="Aptos" w:hAnsi="Aptos"/>
        </w:rPr>
      </w:pPr>
      <w:r w:rsidRPr="009267ED">
        <w:rPr>
          <w:rFonts w:ascii="Aptos" w:hAnsi="Aptos"/>
        </w:rPr>
        <w:br w:type="page"/>
      </w:r>
    </w:p>
    <w:p w:rsidR="00EA2FE1" w:rsidRPr="00685BE1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 w:rsidRPr="00685BE1">
        <w:rPr>
          <w:rFonts w:ascii="Aptos" w:eastAsia="Calibri" w:hAnsi="Aptos" w:cs="Calibri"/>
          <w:b/>
          <w:bCs/>
          <w:color w:val="000000" w:themeColor="text1"/>
        </w:rPr>
        <w:lastRenderedPageBreak/>
        <w:t>Referências</w:t>
      </w:r>
    </w:p>
    <w:p w:rsidR="00EA2FE1" w:rsidRPr="009267ED" w:rsidRDefault="00685BE1" w:rsidP="00685BE1">
      <w:pPr>
        <w:pBdr>
          <w:left w:val="single" w:sz="12" w:space="0" w:color="E0A800"/>
        </w:pBdr>
        <w:shd w:val="clear" w:color="auto" w:fill="FFF3CD"/>
        <w:spacing w:before="120" w:after="2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b/>
          <w:bCs/>
          <w:i/>
          <w:iCs/>
          <w:color w:val="7A5B00"/>
        </w:rPr>
        <w:t xml:space="preserve">NOTA DE REVISÃO — </w:t>
      </w:r>
      <w:r w:rsidRPr="009267ED">
        <w:rPr>
          <w:rFonts w:ascii="Aptos" w:eastAsia="Calibri" w:hAnsi="Aptos" w:cs="Calibri"/>
          <w:i/>
          <w:iCs/>
          <w:color w:val="7A5B00"/>
        </w:rPr>
        <w:t>Lista limpa: mantidas apenas as referências centrais do manuscrito original que p</w:t>
      </w:r>
      <w:r w:rsidRPr="009267ED">
        <w:rPr>
          <w:rFonts w:ascii="Aptos" w:eastAsia="Calibri" w:hAnsi="Aptos" w:cs="Calibri"/>
          <w:i/>
          <w:iCs/>
          <w:color w:val="7A5B00"/>
        </w:rPr>
        <w:t xml:space="preserve">uderam ser cruzadas internamente sem contradição (autoria/veículo/paginação consistentes em todas as ocorrências no documento enviado), mais a correção da referência </w:t>
      </w:r>
      <w:proofErr w:type="spellStart"/>
      <w:r w:rsidRPr="009267ED">
        <w:rPr>
          <w:rFonts w:ascii="Aptos" w:eastAsia="Calibri" w:hAnsi="Aptos" w:cs="Calibri"/>
          <w:i/>
          <w:iCs/>
          <w:color w:val="7A5B00"/>
        </w:rPr>
        <w:t>Hollmann</w:t>
      </w:r>
      <w:proofErr w:type="spellEnd"/>
      <w:r w:rsidRPr="009267ED">
        <w:rPr>
          <w:rFonts w:ascii="Aptos" w:eastAsia="Calibri" w:hAnsi="Aptos" w:cs="Calibri"/>
          <w:i/>
          <w:iCs/>
          <w:color w:val="7A5B00"/>
        </w:rPr>
        <w:t xml:space="preserve"> et al. (verificada externamente: </w:t>
      </w:r>
      <w:proofErr w:type="spellStart"/>
      <w:r w:rsidRPr="009267ED">
        <w:rPr>
          <w:rFonts w:ascii="Aptos" w:eastAsia="Calibri" w:hAnsi="Aptos" w:cs="Calibri"/>
          <w:i/>
          <w:iCs/>
          <w:color w:val="7A5B00"/>
        </w:rPr>
        <w:t>Nature</w:t>
      </w:r>
      <w:proofErr w:type="spellEnd"/>
      <w:r w:rsidRPr="009267ED">
        <w:rPr>
          <w:rFonts w:ascii="Aptos" w:eastAsia="Calibri" w:hAnsi="Aptos" w:cs="Calibri"/>
          <w:i/>
          <w:iCs/>
          <w:color w:val="7A5B00"/>
        </w:rPr>
        <w:t>, v.637, n.8045, p.319–326, 2025). Todas a</w:t>
      </w:r>
      <w:r w:rsidRPr="009267ED">
        <w:rPr>
          <w:rFonts w:ascii="Aptos" w:eastAsia="Calibri" w:hAnsi="Aptos" w:cs="Calibri"/>
          <w:i/>
          <w:iCs/>
          <w:color w:val="7A5B00"/>
        </w:rPr>
        <w:t>s demais referências que estavam nos blocos "(</w:t>
      </w:r>
      <w:proofErr w:type="gramStart"/>
      <w:r w:rsidRPr="009267ED">
        <w:rPr>
          <w:rFonts w:ascii="Aptos" w:eastAsia="Calibri" w:hAnsi="Aptos" w:cs="Calibri"/>
          <w:i/>
          <w:iCs/>
          <w:color w:val="7A5B00"/>
        </w:rPr>
        <w:t>a)-</w:t>
      </w:r>
      <w:proofErr w:type="gramEnd"/>
      <w:r w:rsidRPr="009267ED">
        <w:rPr>
          <w:rFonts w:ascii="Aptos" w:eastAsia="Calibri" w:hAnsi="Aptos" w:cs="Calibri"/>
          <w:i/>
          <w:iCs/>
          <w:color w:val="7A5B00"/>
        </w:rPr>
        <w:t>(f)" e nas listas numeradas finais do documento original foram removidas por apresentarem inconsistências internas de autoria/paginação (ver auditorias detalhadas na conversa) e precisam ser levantadas novam</w:t>
      </w:r>
      <w:r w:rsidRPr="009267ED">
        <w:rPr>
          <w:rFonts w:ascii="Aptos" w:eastAsia="Calibri" w:hAnsi="Aptos" w:cs="Calibri"/>
          <w:i/>
          <w:iCs/>
          <w:color w:val="7A5B00"/>
        </w:rPr>
        <w:t xml:space="preserve">ente do zero, uma a uma, com verificação de DOI, caso os temas correspondentes (engenharia de pipeline, geração de dados tabulares com LLMs, etc.) </w:t>
      </w:r>
      <w:proofErr w:type="spellStart"/>
      <w:r w:rsidRPr="009267ED">
        <w:rPr>
          <w:rFonts w:ascii="Aptos" w:eastAsia="Calibri" w:hAnsi="Aptos" w:cs="Calibri"/>
          <w:i/>
          <w:iCs/>
          <w:color w:val="7A5B00"/>
        </w:rPr>
        <w:t>precisom</w:t>
      </w:r>
      <w:proofErr w:type="spellEnd"/>
      <w:r w:rsidRPr="009267ED">
        <w:rPr>
          <w:rFonts w:ascii="Aptos" w:eastAsia="Calibri" w:hAnsi="Aptos" w:cs="Calibri"/>
          <w:i/>
          <w:iCs/>
          <w:color w:val="7A5B00"/>
        </w:rPr>
        <w:t xml:space="preserve"> de suporte bibliográfico adicional.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Banat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IM,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Franzetti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A.,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Gandolfi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I.,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Bestetti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G.,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Martinotti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MG,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Fracchia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L.,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Smyth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TJ,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Marchant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R. (2010). Produção, aplicações e potencial futuro de biossurfactantes microbianos. Applied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Microbiology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and Biotechnology, 87(2), 427–444. https://doi.org/10.1007/s00253-010-2589-0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Benjamini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Y.,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Hochberg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Y. (</w:t>
      </w:r>
      <w:r w:rsidRPr="009267ED">
        <w:rPr>
          <w:rFonts w:ascii="Aptos" w:eastAsia="Calibri" w:hAnsi="Aptos" w:cs="Calibri"/>
          <w:sz w:val="22"/>
          <w:szCs w:val="22"/>
        </w:rPr>
        <w:t>1995). Controlando a taxa de falsos positivos: uma abordagem prática e poderosa para testes múltiplos. Journal of the Royal Statistical Society: Series B, 57(1), 289–300.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Hollmann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N., Müller, S.,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Purucker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L.,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Krishnakumar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A.,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Körfer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M.,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Hoo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SB,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Schirr</w:t>
      </w:r>
      <w:r w:rsidRPr="009267ED">
        <w:rPr>
          <w:rFonts w:ascii="Aptos" w:eastAsia="Calibri" w:hAnsi="Aptos" w:cs="Calibri"/>
          <w:sz w:val="22"/>
          <w:szCs w:val="22"/>
        </w:rPr>
        <w:t>meister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RT,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Hutter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F. (2025). Previsões precisas em dados pequenos com um modelo de base tabular.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Nature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637(8045), 319–326. https://doi.org/10.1038/s41586-024-08328-6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Jimoh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AA,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Lin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J. (2019). Biossurfactante: uma nova fronteira para tecnologias m</w:t>
      </w:r>
      <w:r w:rsidRPr="009267ED">
        <w:rPr>
          <w:rFonts w:ascii="Aptos" w:eastAsia="Calibri" w:hAnsi="Aptos" w:cs="Calibri"/>
          <w:sz w:val="22"/>
          <w:szCs w:val="22"/>
        </w:rPr>
        <w:t xml:space="preserve">ais verdes e sustentabilidade ambiental.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Ecotoxicologia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 Segurança Ambiental, 184, 109607. https://doi.org/10.1016/j.ecoenv.2019.109607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Kotelnikov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A.,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Baranchuk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D.,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Rubachev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I.,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Babenko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A. (2023). TabDDPM: Modelagem de dados tabulares com modelos de</w:t>
      </w:r>
      <w:r w:rsidRPr="009267ED">
        <w:rPr>
          <w:rFonts w:ascii="Aptos" w:eastAsia="Calibri" w:hAnsi="Aptos" w:cs="Calibri"/>
          <w:sz w:val="22"/>
          <w:szCs w:val="22"/>
        </w:rPr>
        <w:t xml:space="preserve"> difusão. Anais da 40ª Conferência Internacional de Aprendizado de Máquina (pp. 17564–17579). PMLR.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Montgomery, DC (2012). Projeto e análise de experimentos (8ª ed.).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Wiley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Patki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N.,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Wedge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R.,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Veeramachaneni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K. (2016). O Cofre de Dados Sintéticos. An</w:t>
      </w:r>
      <w:r w:rsidRPr="009267ED">
        <w:rPr>
          <w:rFonts w:ascii="Aptos" w:eastAsia="Calibri" w:hAnsi="Aptos" w:cs="Calibri"/>
          <w:sz w:val="22"/>
          <w:szCs w:val="22"/>
        </w:rPr>
        <w:t>ais da Conferência Internacional IEEE sobre Ciência de Dados e Análise Avançada (pp. 399–410). https://doi.org/10.1109/DSAA.2016.49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Rufino, RD, Luna, JM, Campos-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Takaki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GM,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Sarubbo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LA (2014). Caracterização e propriedades do biossurfactante produzido po</w:t>
      </w:r>
      <w:r w:rsidRPr="009267ED">
        <w:rPr>
          <w:rFonts w:ascii="Aptos" w:eastAsia="Calibri" w:hAnsi="Aptos" w:cs="Calibri"/>
          <w:sz w:val="22"/>
          <w:szCs w:val="22"/>
        </w:rPr>
        <w:t>r Candida lipolytica. Electronic Journal of Biotechnology, 17(1), 34–38. https://doi.org/10.1016/j.ejbt.2013.12.006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Santos, DKF, Rufino, RD, Luna, JM, Santos, VA e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Sarubbo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LA (2016). Biossurfactantes: Biomoléculas multifuncionais do século XXI. Revista In</w:t>
      </w:r>
      <w:r w:rsidRPr="009267ED">
        <w:rPr>
          <w:rFonts w:ascii="Aptos" w:eastAsia="Calibri" w:hAnsi="Aptos" w:cs="Calibri"/>
          <w:sz w:val="22"/>
          <w:szCs w:val="22"/>
        </w:rPr>
        <w:t>ternacional de Ciências Moleculares, 17(3), 401. https://doi.org/10.3390/ijms17030401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Shokri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R.,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Stronati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M., Song, C.,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Shmatikov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V. (2017). Ataques de inferência de associação contra modelos de aprendizado de máquina. Anais do Simpósio IEEE de Segura</w:t>
      </w:r>
      <w:r w:rsidRPr="009267ED">
        <w:rPr>
          <w:rFonts w:ascii="Aptos" w:eastAsia="Calibri" w:hAnsi="Aptos" w:cs="Calibri"/>
          <w:sz w:val="22"/>
          <w:szCs w:val="22"/>
        </w:rPr>
        <w:t>nça e Privacidade de 2017 (pp. 3–18). https://doi.org/10.1109/SP.2017.41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Souza, FASD Biodegradação de óleo diesel por Candida lipolytica em água do mar (Dissertação de doutorado, PRODEMA, Universidade Federal de Pernambuco). [Confirmar ano de defesa e URL do repositório institucional antes da </w:t>
      </w:r>
      <w:proofErr w:type="gramStart"/>
      <w:r w:rsidRPr="009267ED">
        <w:rPr>
          <w:rFonts w:ascii="Aptos" w:eastAsia="Calibri" w:hAnsi="Aptos" w:cs="Calibri"/>
          <w:sz w:val="22"/>
          <w:szCs w:val="22"/>
        </w:rPr>
        <w:t>submissão.]</w:t>
      </w:r>
      <w:proofErr w:type="gramEnd"/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Xu, L.,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Skoularidou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M.</w:t>
      </w:r>
      <w:r w:rsidRPr="009267ED">
        <w:rPr>
          <w:rFonts w:ascii="Aptos" w:eastAsia="Calibri" w:hAnsi="Aptos" w:cs="Calibri"/>
          <w:sz w:val="22"/>
          <w:szCs w:val="22"/>
        </w:rPr>
        <w:t xml:space="preserve">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Cuesta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-Infante, A., &amp;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Veeramachaneni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K. (2019). Modelagem de dados tabulares usando GAN condicional. Advances in Neural Information Processing Systems, 32.</w:t>
      </w:r>
    </w:p>
    <w:p w:rsidR="00EA2FE1" w:rsidRPr="009267ED" w:rsidRDefault="00685BE1" w:rsidP="00685BE1">
      <w:pPr>
        <w:spacing w:after="14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lastRenderedPageBreak/>
        <w:t xml:space="preserve">Yao, Z.,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Krčo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N.,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Ganev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, G., &amp; de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Montjoye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, Y.-A. (2025). A ilusão do DCR: Medindo o risco de pr</w:t>
      </w:r>
      <w:r w:rsidRPr="009267ED">
        <w:rPr>
          <w:rFonts w:ascii="Aptos" w:eastAsia="Calibri" w:hAnsi="Aptos" w:cs="Calibri"/>
          <w:sz w:val="22"/>
          <w:szCs w:val="22"/>
        </w:rPr>
        <w:t xml:space="preserve">ivacidade de dados sintéticos. </w:t>
      </w:r>
      <w:proofErr w:type="gramStart"/>
      <w:r w:rsidRPr="009267ED">
        <w:rPr>
          <w:rFonts w:ascii="Aptos" w:eastAsia="Calibri" w:hAnsi="Aptos" w:cs="Calibri"/>
          <w:sz w:val="22"/>
          <w:szCs w:val="22"/>
        </w:rPr>
        <w:t>arXiv:2505.01524</w:t>
      </w:r>
      <w:proofErr w:type="gramEnd"/>
      <w:r w:rsidRPr="009267ED">
        <w:rPr>
          <w:rFonts w:ascii="Aptos" w:eastAsia="Calibri" w:hAnsi="Aptos" w:cs="Calibri"/>
          <w:sz w:val="22"/>
          <w:szCs w:val="22"/>
        </w:rPr>
        <w:t>. https://arxiv.org/abs/2505.01524</w:t>
      </w:r>
    </w:p>
    <w:p w:rsidR="00EA2FE1" w:rsidRPr="009267ED" w:rsidRDefault="00685BE1" w:rsidP="009267ED">
      <w:pPr>
        <w:spacing w:line="276" w:lineRule="auto"/>
        <w:rPr>
          <w:rFonts w:ascii="Aptos" w:hAnsi="Aptos"/>
        </w:rPr>
      </w:pPr>
      <w:r w:rsidRPr="009267ED">
        <w:rPr>
          <w:rFonts w:ascii="Aptos" w:hAnsi="Aptos"/>
        </w:rPr>
        <w:br w:type="page"/>
      </w:r>
      <w:bookmarkStart w:id="0" w:name="_GoBack"/>
      <w:bookmarkEnd w:id="0"/>
    </w:p>
    <w:p w:rsidR="00EA2FE1" w:rsidRPr="00685BE1" w:rsidRDefault="00685BE1" w:rsidP="009267ED">
      <w:pPr>
        <w:pStyle w:val="Ttulo1"/>
        <w:spacing w:before="400" w:after="200" w:line="276" w:lineRule="auto"/>
        <w:rPr>
          <w:rFonts w:ascii="Aptos" w:hAnsi="Aptos"/>
          <w:color w:val="000000" w:themeColor="text1"/>
        </w:rPr>
      </w:pPr>
      <w:r w:rsidRPr="00685BE1">
        <w:rPr>
          <w:rFonts w:ascii="Aptos" w:eastAsia="Calibri" w:hAnsi="Aptos" w:cs="Calibri"/>
          <w:b/>
          <w:bCs/>
          <w:color w:val="000000" w:themeColor="text1"/>
        </w:rPr>
        <w:lastRenderedPageBreak/>
        <w:t>Checklist antes da submissão (não faz parte do manuscrito)</w:t>
      </w:r>
    </w:p>
    <w:p w:rsidR="00EA2FE1" w:rsidRPr="009267ED" w:rsidRDefault="00685BE1" w:rsidP="00685BE1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Confirmar o ano de defesa e o link institucional da tese de Souza, para completar a referência bibliográfica.</w:t>
      </w:r>
    </w:p>
    <w:p w:rsidR="00EA2FE1" w:rsidRPr="009267ED" w:rsidRDefault="00685BE1" w:rsidP="00685BE1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proofErr w:type="spellStart"/>
      <w:r w:rsidRPr="009267ED">
        <w:rPr>
          <w:rFonts w:ascii="Aptos" w:eastAsia="Calibri" w:hAnsi="Aptos" w:cs="Calibri"/>
          <w:sz w:val="22"/>
          <w:szCs w:val="22"/>
        </w:rPr>
        <w:t>Recomputar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TSTR/TRTR via LOOCV ou k-fold repetido, e/ou repetir com múltiplas sementes (não apenas múltiplas rodadas por semente) — a própria semente já se mostrou uma fonte de variância relevante (Seção 3.3).</w:t>
      </w:r>
    </w:p>
    <w:p w:rsidR="00EA2FE1" w:rsidRPr="009267ED" w:rsidRDefault="00685BE1" w:rsidP="00685BE1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Agregar o ICD (Seção 3.4) com média ± IC sobre</w:t>
      </w:r>
      <w:r w:rsidRPr="009267ED">
        <w:rPr>
          <w:rFonts w:ascii="Aptos" w:eastAsia="Calibri" w:hAnsi="Aptos" w:cs="Calibri"/>
          <w:sz w:val="22"/>
          <w:szCs w:val="22"/>
        </w:rPr>
        <w:t xml:space="preserve"> as 10 rodadas — os números atuais são de uma única rodada (baseline).</w:t>
      </w:r>
    </w:p>
    <w:p w:rsidR="00EA2FE1" w:rsidRPr="009267ED" w:rsidRDefault="00685BE1" w:rsidP="00685BE1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Calcular o ICD também para o cenário de sensibilidade (1% ruído DOE), hoje reportado apenas para a linha de base.</w:t>
      </w:r>
    </w:p>
    <w:p w:rsidR="00EA2FE1" w:rsidRPr="009267ED" w:rsidRDefault="00685BE1" w:rsidP="00685BE1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Revisar se as bandas de tolerância de magnitude do CID (Seção 2.7) são </w:t>
      </w:r>
      <w:r w:rsidRPr="009267ED">
        <w:rPr>
          <w:rFonts w:ascii="Aptos" w:eastAsia="Calibri" w:hAnsi="Aptos" w:cs="Calibri"/>
          <w:sz w:val="22"/>
          <w:szCs w:val="22"/>
        </w:rPr>
        <w:t>adequadas para n=20, dado que nenhum gerador passou no sorteio M em nenhum dos dois cenários (Seção 3.4).</w:t>
      </w:r>
    </w:p>
    <w:p w:rsidR="00EA2FE1" w:rsidRPr="009267ED" w:rsidRDefault="00685BE1" w:rsidP="00685BE1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Decidir se a variabilidade do TSTR do TVAE entre configurações (0,039–0,668) deve virar uma figura/tabela suplementar própria, dado que já é mencionad</w:t>
      </w:r>
      <w:r w:rsidRPr="009267ED">
        <w:rPr>
          <w:rFonts w:ascii="Aptos" w:eastAsia="Calibri" w:hAnsi="Aptos" w:cs="Calibri"/>
          <w:sz w:val="22"/>
          <w:szCs w:val="22"/>
        </w:rPr>
        <w:t>o como achado central em 4.1.</w:t>
      </w:r>
    </w:p>
    <w:p w:rsidR="00EA2FE1" w:rsidRPr="009267ED" w:rsidRDefault="00685BE1" w:rsidP="00685BE1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>Verifique manualmente cada nova referência adicionada (DOI/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Crossref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>) antes de incluir na lista final.</w:t>
      </w:r>
    </w:p>
    <w:p w:rsidR="00EA2FE1" w:rsidRPr="009267ED" w:rsidRDefault="00685BE1" w:rsidP="00685BE1">
      <w:pPr>
        <w:pStyle w:val="PargrafodaLista"/>
        <w:numPr>
          <w:ilvl w:val="0"/>
          <w:numId w:val="2"/>
        </w:numPr>
        <w:spacing w:after="120" w:line="276" w:lineRule="auto"/>
        <w:jc w:val="both"/>
        <w:rPr>
          <w:rFonts w:ascii="Aptos" w:hAnsi="Aptos"/>
        </w:rPr>
      </w:pPr>
      <w:r w:rsidRPr="009267ED">
        <w:rPr>
          <w:rFonts w:ascii="Aptos" w:eastAsia="Calibri" w:hAnsi="Aptos" w:cs="Calibri"/>
          <w:sz w:val="22"/>
          <w:szCs w:val="22"/>
        </w:rPr>
        <w:t xml:space="preserve">Remova este bloco de </w:t>
      </w:r>
      <w:proofErr w:type="spellStart"/>
      <w:r w:rsidRPr="009267ED">
        <w:rPr>
          <w:rFonts w:ascii="Aptos" w:eastAsia="Calibri" w:hAnsi="Aptos" w:cs="Calibri"/>
          <w:sz w:val="22"/>
          <w:szCs w:val="22"/>
        </w:rPr>
        <w:t>checklist</w:t>
      </w:r>
      <w:proofErr w:type="spellEnd"/>
      <w:r w:rsidRPr="009267ED">
        <w:rPr>
          <w:rFonts w:ascii="Aptos" w:eastAsia="Calibri" w:hAnsi="Aptos" w:cs="Calibri"/>
          <w:sz w:val="22"/>
          <w:szCs w:val="22"/>
        </w:rPr>
        <w:t xml:space="preserve"> e as caixas "NOTA DE REVISÃO" antes da submissão final ao periódico.</w:t>
      </w:r>
    </w:p>
    <w:sectPr w:rsidR="00EA2FE1" w:rsidRPr="009267E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8926D3"/>
    <w:multiLevelType w:val="hybridMultilevel"/>
    <w:tmpl w:val="6040CC56"/>
    <w:lvl w:ilvl="0" w:tplc="AD7E62FE">
      <w:start w:val="1"/>
      <w:numFmt w:val="bullet"/>
      <w:lvlText w:val="•"/>
      <w:lvlJc w:val="left"/>
      <w:pPr>
        <w:ind w:left="504" w:hanging="288"/>
      </w:pPr>
    </w:lvl>
    <w:lvl w:ilvl="1" w:tplc="2A4E722C">
      <w:numFmt w:val="decimal"/>
      <w:lvlText w:val=""/>
      <w:lvlJc w:val="left"/>
    </w:lvl>
    <w:lvl w:ilvl="2" w:tplc="66EAA11A">
      <w:numFmt w:val="decimal"/>
      <w:lvlText w:val=""/>
      <w:lvlJc w:val="left"/>
    </w:lvl>
    <w:lvl w:ilvl="3" w:tplc="D4F2FA7E">
      <w:numFmt w:val="decimal"/>
      <w:lvlText w:val=""/>
      <w:lvlJc w:val="left"/>
    </w:lvl>
    <w:lvl w:ilvl="4" w:tplc="54BAD718">
      <w:numFmt w:val="decimal"/>
      <w:lvlText w:val=""/>
      <w:lvlJc w:val="left"/>
    </w:lvl>
    <w:lvl w:ilvl="5" w:tplc="7366A57E">
      <w:numFmt w:val="decimal"/>
      <w:lvlText w:val=""/>
      <w:lvlJc w:val="left"/>
    </w:lvl>
    <w:lvl w:ilvl="6" w:tplc="477E26A4">
      <w:numFmt w:val="decimal"/>
      <w:lvlText w:val=""/>
      <w:lvlJc w:val="left"/>
    </w:lvl>
    <w:lvl w:ilvl="7" w:tplc="D9B81838">
      <w:numFmt w:val="decimal"/>
      <w:lvlText w:val=""/>
      <w:lvlJc w:val="left"/>
    </w:lvl>
    <w:lvl w:ilvl="8" w:tplc="710A05A6">
      <w:numFmt w:val="decimal"/>
      <w:lvlText w:val=""/>
      <w:lvlJc w:val="left"/>
    </w:lvl>
  </w:abstractNum>
  <w:abstractNum w:abstractNumId="1" w15:restartNumberingAfterBreak="0">
    <w:nsid w:val="7B6F2B68"/>
    <w:multiLevelType w:val="hybridMultilevel"/>
    <w:tmpl w:val="EFA89836"/>
    <w:lvl w:ilvl="0" w:tplc="CDDC17D2">
      <w:start w:val="1"/>
      <w:numFmt w:val="bullet"/>
      <w:lvlText w:val="●"/>
      <w:lvlJc w:val="left"/>
      <w:pPr>
        <w:ind w:left="720" w:hanging="360"/>
      </w:pPr>
    </w:lvl>
    <w:lvl w:ilvl="1" w:tplc="41C0C302">
      <w:start w:val="1"/>
      <w:numFmt w:val="bullet"/>
      <w:lvlText w:val="○"/>
      <w:lvlJc w:val="left"/>
      <w:pPr>
        <w:ind w:left="1440" w:hanging="360"/>
      </w:pPr>
    </w:lvl>
    <w:lvl w:ilvl="2" w:tplc="D35C08F6">
      <w:start w:val="1"/>
      <w:numFmt w:val="bullet"/>
      <w:lvlText w:val="■"/>
      <w:lvlJc w:val="left"/>
      <w:pPr>
        <w:ind w:left="2160" w:hanging="360"/>
      </w:pPr>
    </w:lvl>
    <w:lvl w:ilvl="3" w:tplc="3A04F7C8">
      <w:start w:val="1"/>
      <w:numFmt w:val="bullet"/>
      <w:lvlText w:val="●"/>
      <w:lvlJc w:val="left"/>
      <w:pPr>
        <w:ind w:left="2880" w:hanging="360"/>
      </w:pPr>
    </w:lvl>
    <w:lvl w:ilvl="4" w:tplc="603A099E">
      <w:start w:val="1"/>
      <w:numFmt w:val="bullet"/>
      <w:lvlText w:val="○"/>
      <w:lvlJc w:val="left"/>
      <w:pPr>
        <w:ind w:left="3600" w:hanging="360"/>
      </w:pPr>
    </w:lvl>
    <w:lvl w:ilvl="5" w:tplc="587ABECA">
      <w:start w:val="1"/>
      <w:numFmt w:val="bullet"/>
      <w:lvlText w:val="■"/>
      <w:lvlJc w:val="left"/>
      <w:pPr>
        <w:ind w:left="4320" w:hanging="360"/>
      </w:pPr>
    </w:lvl>
    <w:lvl w:ilvl="6" w:tplc="E31C40DC">
      <w:start w:val="1"/>
      <w:numFmt w:val="bullet"/>
      <w:lvlText w:val="●"/>
      <w:lvlJc w:val="left"/>
      <w:pPr>
        <w:ind w:left="5040" w:hanging="360"/>
      </w:pPr>
    </w:lvl>
    <w:lvl w:ilvl="7" w:tplc="A7F2909E">
      <w:start w:val="1"/>
      <w:numFmt w:val="bullet"/>
      <w:lvlText w:val="●"/>
      <w:lvlJc w:val="left"/>
      <w:pPr>
        <w:ind w:left="5760" w:hanging="360"/>
      </w:pPr>
    </w:lvl>
    <w:lvl w:ilvl="8" w:tplc="665C573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2FE1"/>
    <w:rsid w:val="00352BB0"/>
    <w:rsid w:val="00685BE1"/>
    <w:rsid w:val="009267ED"/>
    <w:rsid w:val="00EA2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E54A9BE-E80C-4A73-9C4A-D9DE663BA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22</Pages>
  <Words>7945</Words>
  <Characters>42905</Characters>
  <Application>Microsoft Office Word</Application>
  <DocSecurity>0</DocSecurity>
  <Lines>357</Lines>
  <Paragraphs>101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TJPE</Company>
  <LinksUpToDate>false</LinksUpToDate>
  <CharactersWithSpaces>50749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ANTONIO MARCAL GARCIA</cp:lastModifiedBy>
  <cp:revision>3</cp:revision>
  <dcterms:created xsi:type="dcterms:W3CDTF">2026-07-09T01:17:00Z</dcterms:created>
  <dcterms:modified xsi:type="dcterms:W3CDTF">2026-07-09T17:36:00Z</dcterms:modified>
</cp:coreProperties>
</file>