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ARTICLE TEXT BLOCKS — Results, Discussion, Conclusion, and Future Work (English)</w:t>
      </w:r>
    </w:p>
    <w:p/>
    <w:p>
      <w:pPr>
        <w:pStyle w:val="Heading2"/>
      </w:pPr>
      <w:r>
        <w:t>1. Results, Discussion, Conclusion and Future Work — article text blocks</w:t>
      </w:r>
    </w:p>
    <w:p/>
    <w:p>
      <w:pPr>
        <w:pStyle w:val="Heading3"/>
      </w:pPr>
      <w:r>
        <w:t>1.1 Results and Discussion (core evaluation)</w:t>
      </w:r>
    </w:p>
    <w:p/>
    <w:p>
      <w:r>
        <w:t xml:space="preserve">The evaluation was structured into four complementary views:  </w:t>
      </w:r>
    </w:p>
    <w:p>
      <w:r>
        <w:t xml:space="preserve">(i) </w:t>
      </w:r>
      <w:r>
        <w:rPr>
          <w:b/>
        </w:rPr>
        <w:t>univariate fidelity</w:t>
      </w:r>
      <w:r>
        <w:t xml:space="preserve"> using Kolmogorov–Smirnov (KS) and Wasserstein distance;  </w:t>
      </w:r>
    </w:p>
    <w:p>
      <w:r>
        <w:t xml:space="preserve">(ii) </w:t>
      </w:r>
      <w:r>
        <w:rPr>
          <w:b/>
        </w:rPr>
        <w:t>multivariate preservation</w:t>
      </w:r>
      <w:r>
        <w:t xml:space="preserve"> via correlation diagnostics;  </w:t>
      </w:r>
    </w:p>
    <w:p>
      <w:r>
        <w:t xml:space="preserve">(iii) </w:t>
      </w:r>
      <w:r>
        <w:rPr>
          <w:b/>
        </w:rPr>
        <w:t>downstream utility</w:t>
      </w:r>
      <w:r>
        <w:t xml:space="preserve"> through Train-on-Synthetic-Test-on-Real (TSTR) and Train-on-Real-Test-on-Real (TRTR) across multiple regressors (Linear Regression, Random Forest, MLP, and boosting tree); and  </w:t>
      </w:r>
    </w:p>
    <w:p>
      <w:r>
        <w:t xml:space="preserve">(iv) </w:t>
      </w:r>
      <w:r>
        <w:rPr>
          <w:b/>
        </w:rPr>
        <w:t>privacy/proximity risk</w:t>
      </w:r>
      <w:r>
        <w:t xml:space="preserve"> using DCR curves (ECDF and the fraction of pairs below a threshold τ).  </w:t>
      </w:r>
    </w:p>
    <w:p/>
    <w:p>
      <w:r>
        <w:t xml:space="preserve">Because TRTR can be unstable in small-n (and may even be negative when the real-data model underfits), we reported the gain as a same-model delta, </w:t>
      </w:r>
      <w:r>
        <w:rPr>
          <w:b/>
        </w:rPr>
        <w:t>Δ_same-model = TSTR − TRTR</w:t>
      </w:r>
      <w:r>
        <w:t>, computed within the model that maximizes TSTR.</w:t>
      </w:r>
    </w:p>
    <w:p/>
    <w:p>
      <w:pPr>
        <w:pStyle w:val="Heading3"/>
      </w:pPr>
      <w:r>
        <w:t>1.2 Utility (TSTR/TRTR): baseline vs realistic noise</w:t>
      </w:r>
    </w:p>
    <w:p/>
    <w:p>
      <w:r>
        <w:t xml:space="preserve">Across generators, </w:t>
      </w:r>
      <w:r>
        <w:rPr>
          <w:b/>
        </w:rPr>
        <w:t>TSTR values were negative</w:t>
      </w:r>
      <w:r>
        <w:t xml:space="preserve">, indicating that models trained on synthetic data did not outperform models trained on real data in absolute terms—an expected outcome under </w:t>
      </w:r>
      <w:r>
        <w:rPr>
          <w:b/>
        </w:rPr>
        <w:t>small experimental datasets</w:t>
      </w:r>
      <w:r>
        <w:t xml:space="preserve"> where generalization is fragile. Under the </w:t>
      </w:r>
      <w:r>
        <w:rPr>
          <w:b/>
        </w:rPr>
        <w:t>Baseline (0% DOE-noise)</w:t>
      </w:r>
      <w:r>
        <w:t xml:space="preserve"> condition, Gaussian Copula achieved the best utility (</w:t>
      </w:r>
      <w:r>
        <w:rPr>
          <w:b/>
        </w:rPr>
        <w:t>TSTR ≈ −0.231</w:t>
      </w:r>
      <w:r>
        <w:t>, rank 1), followed by TVAE (</w:t>
      </w:r>
      <w:r>
        <w:rPr>
          <w:b/>
        </w:rPr>
        <w:t>−0.376</w:t>
      </w:r>
      <w:r>
        <w:t>, rank 2), CTGAN (</w:t>
      </w:r>
      <w:r>
        <w:rPr>
          <w:b/>
        </w:rPr>
        <w:t>−0.674</w:t>
      </w:r>
      <w:r>
        <w:t>, rank 3), and TabDDPM (</w:t>
      </w:r>
      <w:r>
        <w:rPr>
          <w:b/>
        </w:rPr>
        <w:t>−0.857</w:t>
      </w:r>
      <w:r>
        <w:t xml:space="preserve">, rank 4).  </w:t>
      </w:r>
    </w:p>
    <w:p/>
    <w:p>
      <w:r>
        <w:t xml:space="preserve">When moving to </w:t>
      </w:r>
      <w:r>
        <w:rPr>
          <w:b/>
        </w:rPr>
        <w:t>Sensitivity (1% DOE-noise)</w:t>
      </w:r>
      <w:r>
        <w:t xml:space="preserve">, the relative </w:t>
      </w:r>
      <w:r>
        <w:rPr>
          <w:b/>
        </w:rPr>
        <w:t>ranking remained unchanged</w:t>
      </w:r>
      <w:r>
        <w:t xml:space="preserve">, but magnitudes shifted: TVAE improved (less negative; </w:t>
      </w:r>
      <w:r>
        <w:rPr>
          <w:b/>
        </w:rPr>
        <w:t>−0.256</w:t>
      </w:r>
      <w:r>
        <w:t>), while Gaussian Copula slightly degraded (</w:t>
      </w:r>
      <w:r>
        <w:rPr>
          <w:b/>
        </w:rPr>
        <w:t>−0.247</w:t>
      </w:r>
      <w:r>
        <w:t>), and CTGAN/TabDDPM degraded substantially (</w:t>
      </w:r>
      <w:r>
        <w:rPr>
          <w:b/>
        </w:rPr>
        <w:t>−0.953</w:t>
      </w:r>
      <w:r>
        <w:t xml:space="preserve"> and </w:t>
      </w:r>
      <w:r>
        <w:rPr>
          <w:b/>
        </w:rPr>
        <w:t>−1.543</w:t>
      </w:r>
      <w:r>
        <w:t xml:space="preserve">, respectively). This pattern suggests that </w:t>
      </w:r>
      <w:r>
        <w:rPr>
          <w:b/>
        </w:rPr>
        <w:t>deep generators can react nonlinearly to small perturbations</w:t>
      </w:r>
      <w:r>
        <w:t xml:space="preserve"> in experimental design/measurement, and reinforces the need to evaluate robustness under realistic noise, not only clean conditions.</w:t>
      </w:r>
    </w:p>
    <w:p/>
    <w:p>
      <w:pPr>
        <w:pStyle w:val="Heading3"/>
      </w:pPr>
      <w:r>
        <w:t>1.3 Privacy / proximity: DCR behavior under noise</w:t>
      </w:r>
    </w:p>
    <w:p/>
    <w:p>
      <w:r>
        <w:t xml:space="preserve">Privacy/proximity risk was assessed using the </w:t>
      </w:r>
      <w:r>
        <w:rPr>
          <w:b/>
        </w:rPr>
        <w:t>Distance to Closest Record (DCR)</w:t>
      </w:r>
      <w:r>
        <w:t>. Higher DCR indicates that synthetic records are farther from the closest real record, which is generally desirable. Under both scenarios, TabDDPM and CTGAN exhibited high and stable DCR medians (</w:t>
      </w:r>
      <w:r>
        <w:rPr>
          <w:b/>
        </w:rPr>
        <w:t>≈ 1.55 and ≈ 1.38</w:t>
      </w:r>
      <w:r>
        <w:t xml:space="preserve">), while Gaussian Copula remained stable around </w:t>
      </w:r>
      <w:r>
        <w:rPr>
          <w:b/>
        </w:rPr>
        <w:t>≈ 1.16</w:t>
      </w:r>
      <w:r>
        <w:t xml:space="preserve">.  </w:t>
      </w:r>
    </w:p>
    <w:p/>
    <w:p>
      <w:r>
        <w:t xml:space="preserve">In contrast, TVAE showed a sharp shift: its DCR median dropped from </w:t>
      </w:r>
      <w:r>
        <w:rPr>
          <w:b/>
        </w:rPr>
        <w:t>≈ 0.464 (Baseline)</w:t>
      </w:r>
      <w:r>
        <w:t xml:space="preserve"> to </w:t>
      </w:r>
      <w:r>
        <w:rPr>
          <w:b/>
        </w:rPr>
        <w:t>≈ 0.042 (Sensitivity)</w:t>
      </w:r>
      <w:r>
        <w:t xml:space="preserve">. Under a representative risk threshold (e.g., </w:t>
      </w:r>
      <w:r>
        <w:rPr>
          <w:b/>
        </w:rPr>
        <w:t>DCR = 0.1</w:t>
      </w:r>
      <w:r>
        <w:t xml:space="preserve">), this indicates that under realistic noise, TVAE can generate samples that become </w:t>
      </w:r>
      <w:r>
        <w:rPr>
          <w:b/>
        </w:rPr>
        <w:t>too close to the real dataset</w:t>
      </w:r>
      <w:r>
        <w:t>, elevating privacy/proximity risk. Therefore, any interpretation of TVAE’s improved utility under noise must be conditioned on this privacy collapse.</w:t>
      </w:r>
    </w:p>
    <w:p/>
    <w:p>
      <w:pPr>
        <w:pStyle w:val="Heading3"/>
      </w:pPr>
      <w:r>
        <w:t>1.4 Joint privacy–utility trade-off and robustness takeaway</w:t>
      </w:r>
    </w:p>
    <w:p/>
    <w:p>
      <w:r>
        <w:t xml:space="preserve">Figures 4–5 summarize the central result: </w:t>
      </w:r>
      <w:r>
        <w:rPr>
          <w:b/>
        </w:rPr>
        <w:t>robust generators are those whose utility and privacy profiles remain stable under realistic perturbation</w:t>
      </w:r>
      <w:r>
        <w:t>. Gaussian Copula shows the most balanced and stable behavior (minimal migration in both axes), supporting its use as a default baseline for small-n bioprocess datasets. TVAE presents a more complex picture: utility improves, but privacy deteriorates strongly, which may be unacceptable depending on the data governance constraints. CTGAN and TabDDPM exhibit clear utility degradation under noise, discouraging their use as primary generators when measurement/DOE variability is present.</w:t>
      </w:r>
    </w:p>
    <w:p/>
    <w:p>
      <w:pPr>
        <w:pStyle w:val="Heading3"/>
      </w:pPr>
      <w:r>
        <w:t>1.5.3.1 Physicochemical consistency with the experimental biosurfactant dataset</w:t>
      </w:r>
    </w:p>
    <w:p/>
    <w:p>
      <w:r>
        <w:t xml:space="preserve">Beyond distributional similarity, a key acceptance criterion in bioprocess modeling is whether synthetic samples preserve </w:t>
      </w:r>
      <w:r>
        <w:rPr>
          <w:b/>
        </w:rPr>
        <w:t>domain-consistent relationships</w:t>
      </w:r>
      <w:r>
        <w:t xml:space="preserve"> between formulation factors and the response (surface tension). The experimental dataset used here is a </w:t>
      </w:r>
      <w:r>
        <w:rPr>
          <w:b/>
        </w:rPr>
        <w:t>2⁴ factorial design with center points</w:t>
      </w:r>
      <w:r>
        <w:t xml:space="preserve"> (seawater %, urea, ammonium sulfate, KH₂PO₄; </w:t>
      </w:r>
      <w:r>
        <w:rPr>
          <w:i/>
        </w:rPr>
        <w:t>n</w:t>
      </w:r>
      <w:r>
        <w:t>=20, surface tension range ≈ 42.22–53.57 mN·m⁻¹).</w:t>
      </w:r>
    </w:p>
    <w:p/>
    <w:p>
      <w:r>
        <w:t xml:space="preserve">Using a parsimonious coded linear model with main effects and two-way interactions (levels −1/0/+1), the experimental data indicate that </w:t>
      </w:r>
      <w:r>
        <w:rPr>
          <w:b/>
        </w:rPr>
        <w:t>KH₂PO₄ is the dominant driver</w:t>
      </w:r>
      <w:r>
        <w:t xml:space="preserve">, lowering surface tension when moving from low to high level (Δ ≈ -3.83 mN·m⁻¹), and that a </w:t>
      </w:r>
      <w:r>
        <w:rPr>
          <w:b/>
        </w:rPr>
        <w:t>Urea×(NH₄)₂SO₄ interaction</w:t>
      </w:r>
      <w:r>
        <w:t xml:space="preserve"> is also relevant (Δ ≈ -3.77 mN·m⁻¹). When the same effect decomposition is computed on synthetic samples (baseline generators), we observe a clear </w:t>
      </w:r>
      <w:r>
        <w:rPr>
          <w:i/>
        </w:rPr>
        <w:t>mechanistic-consistency gradient</w:t>
      </w:r>
      <w:r>
        <w:t>:</w:t>
      </w:r>
    </w:p>
    <w:p/>
    <w:p>
      <w:pPr>
        <w:pStyle w:val="ListBullet"/>
      </w:pPr>
      <w:r>
        <w:rPr>
          <w:b/>
        </w:rPr>
        <w:t>TVAE</w:t>
      </w:r>
      <w:r>
        <w:t xml:space="preserve"> preserves the </w:t>
      </w:r>
      <w:r>
        <w:rPr>
          <w:b/>
        </w:rPr>
        <w:t>direction</w:t>
      </w:r>
      <w:r>
        <w:t xml:space="preserve"> and approximate </w:t>
      </w:r>
      <w:r>
        <w:rPr>
          <w:b/>
        </w:rPr>
        <w:t>magnitude</w:t>
      </w:r>
      <w:r>
        <w:t xml:space="preserve"> of the KH₂PO₄ effect (Δ ≈ -4.02) and maintains the interaction sign (Δ_BC ≈ -0.70), consistent with its strong correlation-structure fidelity (Xu et al., 2019).</w:t>
      </w:r>
    </w:p>
    <w:p>
      <w:pPr>
        <w:pStyle w:val="ListBullet"/>
      </w:pPr>
      <w:r>
        <w:rPr>
          <w:b/>
        </w:rPr>
        <w:t>Gaussian Copula</w:t>
      </w:r>
      <w:r>
        <w:t xml:space="preserve"> captures the KH₂PO₄ direction/magnitude (Δ ≈ -3.23) but fails to reproduce the Urea×(NH₄)₂SO₄ interaction (Δ_BC ≈ 0.18), which is expected from a model that prioritizes smooth marginal dependence with limited higher-order interaction learning.</w:t>
      </w:r>
    </w:p>
    <w:p>
      <w:pPr>
        <w:pStyle w:val="ListBullet"/>
      </w:pPr>
      <w:r>
        <w:rPr>
          <w:b/>
        </w:rPr>
        <w:t>CTGAN</w:t>
      </w:r>
      <w:r>
        <w:t xml:space="preserve"> strongly attenuates the KH₂PO₄ effect (Δ ≈ -0.48) and flips the interaction sign (Δ_BC ≈ 1.06), suggesting instability for sparse DOE grids in this setting (Xu et al., 2019).</w:t>
      </w:r>
    </w:p>
    <w:p>
      <w:pPr>
        <w:pStyle w:val="ListBullet"/>
      </w:pPr>
      <w:r>
        <w:rPr>
          <w:b/>
        </w:rPr>
        <w:t>TabDDPM</w:t>
      </w:r>
      <w:r>
        <w:t xml:space="preserve"> reverses the KH₂PO₄ effect (Δ ≈ 2.42) while preserving the interaction sign (Δ_BC ≈ -2.14), aligning with its weaker utility under small‑n constraints (Kotelnikov et al., 2023).</w:t>
      </w:r>
    </w:p>
    <w:p/>
    <w:p>
      <w:r>
        <w:t xml:space="preserve">These checks connect the synthetic-data evaluation back to the </w:t>
      </w:r>
      <w:r>
        <w:rPr>
          <w:b/>
        </w:rPr>
        <w:t>biochemical plausibility</w:t>
      </w:r>
      <w:r>
        <w:t xml:space="preserve"> of the modeled process. Biosurfactants are characterized by their ability to reduce surface tension and form micelles at a critical micelle concentration; their interfacial activity and adsorption kinetics can be sensitive to concentration and salinity, depending on the biosurfactant class and medium (Safari et al., 2023). From a DOE perspective, related factorial designs have been used to optimize biosurfactant production in saline media and to quantify the role of nitrogen sources and salinity (e.g., Fontes et al., 2010), reinforcing the importance of reporting not only aggregate statistical scores but also whether the synthetic data preserve the </w:t>
      </w:r>
      <w:r>
        <w:rPr>
          <w:b/>
        </w:rPr>
        <w:t>directionality</w:t>
      </w:r>
      <w:r>
        <w:t xml:space="preserve"> of domain-relevant effects.</w:t>
      </w:r>
    </w:p>
    <w:p/>
    <w:p>
      <w:r>
        <w:t xml:space="preserve">Finally, the companion experimental study provided by the user reports that, in their broader factorial setting, variations in the tested nutrient levels were not statistically significant for surface tension after 168 h, and highlights a best-performing condition with minimum surface tension around 40–41 mN·m⁻¹ (uploaded PDF, pp. 24–25). This apparent discrepancy reinforces the central message of this paper: </w:t>
      </w:r>
      <w:r>
        <w:rPr>
          <w:b/>
        </w:rPr>
        <w:t>small‑n bioprocess data are highly sensitive to design choices, measurement noise, and confounding</w:t>
      </w:r>
      <w:r>
        <w:t>. Therefore, synthetic-data methods should be selected not only for apparent downstream utility, but also for (i) robustness under realistic perturbations (Sensitivity scenario), and (ii) consistency with known or experimentally supported physicochemical behavior.</w:t>
      </w:r>
    </w:p>
    <w:p/>
    <w:p/>
    <w:p/>
    <w:p/>
    <w:p>
      <w:pPr>
        <w:pStyle w:val="Heading2"/>
      </w:pPr>
      <w:r>
        <w:t>2. Conclusion (English – manuscript-ready)</w:t>
      </w:r>
    </w:p>
    <w:p/>
    <w:p>
      <w:r>
        <w:t xml:space="preserve">We evaluated four tabular synthetic data generators (Gaussian Copula, CTGAN, TVAE, and TabDDPM) under two experimental settings: a baseline (0% DOE-noise) and a robustness test with mild perturbation (1% DOE-noise). Across both scenarios, </w:t>
      </w:r>
      <w:r>
        <w:rPr>
          <w:b/>
        </w:rPr>
        <w:t>Gaussian Copula</w:t>
      </w:r>
      <w:r>
        <w:t xml:space="preserve"> provided the most balanced performance for small experimental data. It achieved the best downstream utility (TSTR, signed R²) in both conditions (−0.231 in the baseline; −0.247 under DOE-noise) and maintained stable multivariate structure (|corr_of_corr|≈0.513) with controlled proximity risk (DCR median ≈ 1.156–1.157; frac(DCR&lt;0.1)=0.193).</w:t>
      </w:r>
    </w:p>
    <w:p/>
    <w:p>
      <w:r>
        <w:rPr>
          <w:b/>
        </w:rPr>
        <w:t>TVAE</w:t>
      </w:r>
      <w:r>
        <w:t xml:space="preserve"> consistently delivered the strongest multivariate fidelity and further improved under DOE-noise (|corr_of_corr| 0.583→0.755), and it nearly matched Gaussian Copula in utility under the sensitivity setting (−0.256). However, TVAE also exhibited </w:t>
      </w:r>
      <w:r>
        <w:rPr>
          <w:b/>
        </w:rPr>
        <w:t>substantially higher proximity risk</w:t>
      </w:r>
      <w:r>
        <w:t xml:space="preserve">, which </w:t>
      </w:r>
      <w:r>
        <w:rPr>
          <w:b/>
        </w:rPr>
        <w:t>worsened</w:t>
      </w:r>
      <w:r>
        <w:t xml:space="preserve"> when DOE-noise was introduced (DCR median 0.464→0.042; frac(DCR&lt;0.1) 0.464→0.593). This demonstrates that mild DOE perturbations should be interpreted as robustness stress-tests rather than privacy mechanisms. </w:t>
      </w:r>
    </w:p>
    <w:p/>
    <w:p>
      <w:r>
        <w:t>Overall, these results indicate that, for small datasets, simpler distributional models can outperform more complex generators in robustness and practical downstream utility, while high-fidelity generators require explicit privacy controls before deployment.</w:t>
      </w:r>
    </w:p>
    <w:p/>
    <w:p>
      <w:r>
        <w:t>---</w:t>
      </w:r>
    </w:p>
    <w:p/>
    <w:p>
      <w:pPr>
        <w:pStyle w:val="Heading2"/>
      </w:pPr>
      <w:r>
        <w:t>3. Future Work (English – manuscript-ready)</w:t>
      </w:r>
    </w:p>
    <w:p/>
    <w:p>
      <w:r>
        <w:t xml:space="preserve">Future work should extend this study in four directions. First, incorporate </w:t>
      </w:r>
      <w:r>
        <w:rPr>
          <w:b/>
        </w:rPr>
        <w:t>explicit privacy mechanisms</w:t>
      </w:r>
      <w:r>
        <w:t>—such as differentially private training, PATE-style aggregation, or post-generation safeguards (e.g., DCR-based filtering and repulsion)—and report privacy–utility trade-off frontiers. Second, broaden utility evaluation beyond a single regression target by including multiple tasks (multi-output regression and classification), domain constraints, and uncertainty reporting (e.g., confidence intervals for TSTR/TRTR deltas under repeated splits). Third, expand fidelity diagnostics for mixed-type tabular data, including dependence measures beyond correlations (e.g., mutual information proxies or copula-based dependence tests), and align metrics with application-relevant invariants. Fourth, test robustness across a wider perturbation spectrum (DOE-noise levels, outlier regimes, and scaling choices) to characterize stability regions and failure modes, enabling principled generator selection for small experimental datasets.</w:t>
      </w:r>
    </w:p>
    <w:p/>
    <w:p>
      <w:r>
        <w:t>---</w:t>
      </w:r>
    </w:p>
    <w:p/>
    <w:p>
      <w:pPr>
        <w:pStyle w:val="Heading2"/>
      </w:pPr>
      <w:r>
        <w:t>4. Referências bibliográficas acadêmicas (para fundamentar métodos/métricas)</w:t>
      </w:r>
    </w:p>
    <w:p/>
    <w:p>
      <w:pPr>
        <w:pStyle w:val="ListBullet"/>
      </w:pPr>
      <w:r>
        <w:t xml:space="preserve">Shokri, R. et al. (2017). </w:t>
      </w:r>
      <w:r>
        <w:rPr>
          <w:b/>
        </w:rPr>
        <w:t>Membership Inference Attacks Against Machine Learning Models</w:t>
      </w:r>
      <w:r>
        <w:t xml:space="preserve">. </w:t>
      </w:r>
      <w:r>
        <w:rPr>
          <w:i/>
        </w:rPr>
        <w:t>IEEE Symposium on Security and Privacy</w:t>
      </w:r>
      <w:r>
        <w:t xml:space="preserve">.  </w:t>
      </w:r>
    </w:p>
    <w:p>
      <w:pPr>
        <w:pStyle w:val="ListBullet"/>
      </w:pPr>
      <w:r>
        <w:t xml:space="preserve">Stadler, T., Oprisanu, B., &amp; Troncoso, C. (2020). </w:t>
      </w:r>
      <w:r>
        <w:rPr>
          <w:b/>
        </w:rPr>
        <w:t>Synthetic Data — Anonymisation Groundhog Day</w:t>
      </w:r>
      <w:r>
        <w:t xml:space="preserve">. </w:t>
      </w:r>
      <w:r>
        <w:rPr>
          <w:i/>
        </w:rPr>
        <w:t>USENIX Security</w:t>
      </w:r>
      <w:r>
        <w:t xml:space="preserve">.  </w:t>
      </w:r>
    </w:p>
    <w:p>
      <w:pPr>
        <w:pStyle w:val="ListBullet"/>
      </w:pPr>
      <w:r>
        <w:t xml:space="preserve">Xu, L. et al. (2019). </w:t>
      </w:r>
      <w:r>
        <w:rPr>
          <w:b/>
        </w:rPr>
        <w:t>Modeling Tabular Data using Conditional GAN</w:t>
      </w:r>
      <w:r>
        <w:t xml:space="preserve"> (CTGAN). </w:t>
      </w:r>
      <w:r>
        <w:rPr>
          <w:i/>
        </w:rPr>
        <w:t>NeurIPS Workshop / arXiv</w:t>
      </w:r>
      <w:r>
        <w:t xml:space="preserve">.  </w:t>
      </w:r>
    </w:p>
    <w:p>
      <w:pPr>
        <w:pStyle w:val="ListBullet"/>
      </w:pPr>
      <w:r>
        <w:t xml:space="preserve">Kingma, D. P., &amp; Welling, M. (2014). </w:t>
      </w:r>
      <w:r>
        <w:rPr>
          <w:b/>
        </w:rPr>
        <w:t>Auto-Encoding Variational Bayes</w:t>
      </w:r>
      <w:r>
        <w:t xml:space="preserve"> (VAE). </w:t>
      </w:r>
      <w:r>
        <w:rPr>
          <w:i/>
        </w:rPr>
        <w:t>ICLR</w:t>
      </w:r>
      <w:r>
        <w:t xml:space="preserve">.  </w:t>
      </w:r>
    </w:p>
    <w:p>
      <w:pPr>
        <w:pStyle w:val="ListBullet"/>
      </w:pPr>
      <w:r>
        <w:t xml:space="preserve">Arjovsky, M., Chintala, S., &amp; Bottou, L. (2017). </w:t>
      </w:r>
      <w:r>
        <w:rPr>
          <w:b/>
        </w:rPr>
        <w:t>Wasserstein GAN</w:t>
      </w:r>
      <w:r>
        <w:t xml:space="preserve">. </w:t>
      </w:r>
      <w:r>
        <w:rPr>
          <w:i/>
        </w:rPr>
        <w:t>ICML</w:t>
      </w:r>
      <w:r>
        <w:t xml:space="preserve">.  </w:t>
      </w:r>
    </w:p>
    <w:p>
      <w:pPr>
        <w:pStyle w:val="ListBullet"/>
      </w:pPr>
      <w:r>
        <w:t xml:space="preserve">Jordon, J., Yoon, J., &amp; van der Schaar, M. (2018). </w:t>
      </w:r>
      <w:r>
        <w:rPr>
          <w:b/>
        </w:rPr>
        <w:t>PATE-GAN</w:t>
      </w:r>
      <w:r>
        <w:t xml:space="preserve">. </w:t>
      </w:r>
      <w:r>
        <w:rPr>
          <w:i/>
        </w:rPr>
        <w:t>ICLR Workshop / arXiv</w:t>
      </w:r>
      <w:r>
        <w:t>.</w:t>
      </w:r>
    </w:p>
    <w:p/>
    <w:p/>
    <w:p>
      <w:r>
        <w:t>---</w:t>
      </w:r>
    </w:p>
    <w:p/>
    <w:p>
      <w:pPr>
        <w:pStyle w:val="Heading3"/>
      </w:pPr>
      <w:r>
        <w:t>Captions (English) for Figures 4–5 (ready to paste)</w:t>
      </w:r>
    </w:p>
    <w:p/>
    <w:p>
      <w:r>
        <w:rPr>
          <w:b/>
        </w:rPr>
        <w:t>Figure 4.</w:t>
      </w:r>
      <w:r>
        <w:t xml:space="preserve"> Privacy–utility trade-off across Baseline (0% DOE noise; circles) and Sensitivity (1% DOE noise; triangles). Arrows indicate how each generator migrates under realistic noise. The x-axis reports signed TSTR (R²; closer to 0 is better utility), while the y-axis reports the median Distance-to-Closest-Record (DCR; larger is better privacy). The red dashed line marks the privacy-risk threshold (DCR = 0.1). Under Sensitivity, TVAE improves utility but crosses below the privacy threshold (DCR median &lt; 0.1), indicating a substantial proximity risk; Gaussian Copula remains the most balanced and stable option, while CTGAN and TabDDPM show utility degradation with privacy remaining above the threshold.</w:t>
      </w:r>
    </w:p>
    <w:p/>
    <w:p>
      <w:r>
        <w:rPr>
          <w:b/>
        </w:rPr>
        <w:t>Figure 5.</w:t>
      </w:r>
      <w:r>
        <w:t xml:space="preserve"> Utility and ranking summary under Baseline (0% DOE noise) versus Sensitivity (1% DOE noise). For each generator, we report the signed TSTR (R²) and the change in utility ΔTSTR (positive values mean less negative / closer to 0, i.e., better). Rankings are unchanged across scenarios (ΔRank = 0), but performance shifts are heterogeneous: TVAE shows the largest utility gain (+0.120), whereas CTGAN (-0.278) and TabDDPM (-0.686) degrade substantially; Gaussian Copula remains the best overall in utility with only a minor change (-0.015). This table should be interpreted jointly with Fig. 4, since improved utility can coincide with elevated privacy risk (as observed for TVAE).</w:t>
      </w:r>
    </w:p>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