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 — Q1/Q2 PIPELINE VALIDATION AND APPROVAL</w:t>
      </w:r>
    </w:p>
    <w:p/>
    <w:p>
      <w:pPr>
        <w:pStyle w:val="Heading2"/>
      </w:pPr>
      <w:r>
        <w:t>Objective</w:t>
      </w:r>
    </w:p>
    <w:p>
      <w:r>
        <w:t xml:space="preserve">To validate the end-to-end pipeline for </w:t>
      </w:r>
      <w:r>
        <w:rPr>
          <w:b/>
        </w:rPr>
        <w:t>synthetic data expansion</w:t>
      </w:r>
      <w:r>
        <w:t xml:space="preserve"> and </w:t>
      </w:r>
      <w:r>
        <w:rPr>
          <w:b/>
        </w:rPr>
        <w:t>analytical reporting</w:t>
      </w:r>
      <w:r>
        <w:t xml:space="preserve"> under two experimental realism scenarios:</w:t>
      </w:r>
    </w:p>
    <w:p>
      <w:pPr>
        <w:pStyle w:val="ListBullet"/>
      </w:pPr>
      <w:r>
        <w:rPr>
          <w:b/>
        </w:rPr>
        <w:t>Baseline:</w:t>
      </w:r>
      <w:r>
        <w:t xml:space="preserve"> 0% DOE-noise</w:t>
      </w:r>
    </w:p>
    <w:p>
      <w:pPr>
        <w:pStyle w:val="ListBullet"/>
      </w:pPr>
      <w:r>
        <w:rPr>
          <w:b/>
        </w:rPr>
        <w:t>Sensitivity:</w:t>
      </w:r>
      <w:r>
        <w:t xml:space="preserve"> 1% DOE-noise (realistic perturbation)</w:t>
      </w:r>
    </w:p>
    <w:p/>
    <w:p>
      <w:pPr>
        <w:pStyle w:val="Heading2"/>
      </w:pPr>
      <w:r>
        <w:t>What was verified</w:t>
      </w:r>
    </w:p>
    <w:p>
      <w:r>
        <w:t xml:space="preserve">1) </w:t>
      </w:r>
      <w:r>
        <w:rPr>
          <w:b/>
        </w:rPr>
        <w:t>Orchestration integrity:</w:t>
      </w:r>
      <w:r>
        <w:t xml:space="preserve"> pipeline stages execute end-to-end without runtime errors and generate the expected artifacts.</w:t>
      </w:r>
    </w:p>
    <w:p>
      <w:r>
        <w:t xml:space="preserve">2) </w:t>
      </w:r>
      <w:r>
        <w:rPr>
          <w:b/>
        </w:rPr>
        <w:t>Metric completeness:</w:t>
      </w:r>
      <w:r>
        <w:t xml:space="preserve"> utility (TSTR/TRTR), fidelity (univariate and multivariate), and privacy (DCR curves and thresholds) are produced consistently across generators and scenarios.</w:t>
      </w:r>
    </w:p>
    <w:p>
      <w:r>
        <w:t xml:space="preserve">3) </w:t>
      </w:r>
      <w:r>
        <w:rPr>
          <w:b/>
        </w:rPr>
        <w:t>Reporting compliance:</w:t>
      </w:r>
      <w:r>
        <w:t xml:space="preserve"> outputs are journal-ready (figures, captions, consolidated summaries) and aligned with the Q1/Q2 reporting template.</w:t>
      </w:r>
    </w:p>
    <w:p/>
    <w:p>
      <w:pPr>
        <w:pStyle w:val="Heading2"/>
      </w:pPr>
      <w:r>
        <w:t>Core findings (from the consolidated evaluation)</w:t>
      </w:r>
    </w:p>
    <w:p>
      <w:pPr>
        <w:pStyle w:val="ListBullet"/>
      </w:pPr>
      <w:r>
        <w:rPr>
          <w:b/>
        </w:rPr>
        <w:t>Gaussian Copula</w:t>
      </w:r>
      <w:r>
        <w:t xml:space="preserve"> shows the best stability across noise conditions, maintaining the best utility (closest-to-zero signed R²) while remaining above privacy risk thresholds.</w:t>
      </w:r>
    </w:p>
    <w:p>
      <w:pPr>
        <w:pStyle w:val="ListBullet"/>
      </w:pPr>
      <w:r>
        <w:rPr>
          <w:b/>
        </w:rPr>
        <w:t>TVAE</w:t>
      </w:r>
      <w:r>
        <w:t xml:space="preserve"> shows an apparent utility improvement under 1% noise but exhibits a strong privacy collapse (DCR median drops below the threshold), indicating elevated proximity risk.</w:t>
      </w:r>
    </w:p>
    <w:p>
      <w:pPr>
        <w:pStyle w:val="ListBullet"/>
      </w:pPr>
      <w:r>
        <w:rPr>
          <w:b/>
        </w:rPr>
        <w:t>CTGAN</w:t>
      </w:r>
      <w:r>
        <w:t xml:space="preserve"> and </w:t>
      </w:r>
      <w:r>
        <w:rPr>
          <w:b/>
        </w:rPr>
        <w:t>TabDDPM</w:t>
      </w:r>
      <w:r>
        <w:t xml:space="preserve"> show clear degradation in downstream utility under realistic noise, suggesting higher sensitivity to measurement/DOE perturbations in small-n.</w:t>
      </w:r>
    </w:p>
    <w:p/>
    <w:p>
      <w:pPr>
        <w:pStyle w:val="Heading2"/>
      </w:pPr>
      <w:r>
        <w:t>Acceptance statement</w:t>
      </w:r>
    </w:p>
    <w:p>
      <w:r>
        <w:t xml:space="preserve">Given the absence of execution errors and the successful generation of all required artifacts (figures, tables, consolidated reports), the pipeline is </w:t>
      </w:r>
      <w:r>
        <w:rPr>
          <w:b/>
        </w:rPr>
        <w:t>approved as the reference implementation</w:t>
      </w:r>
      <w:r>
        <w:t xml:space="preserve"> for the Q1/Q2 submission package, with the following methodological note to be carried into the manuscript:</w:t>
      </w:r>
    </w:p>
    <w:p/>
    <w:p>
      <w:r>
        <w:rPr>
          <w:i/>
        </w:rPr>
        <w:t>In small experimental datasets, robustness under realistic noise must be treated as a primary selection criterion; improvements in downstream utility are not sufficient if privacy/proximity metrics deteriorate below the chosen risk threshold.</w:t>
      </w:r>
    </w:p>
    <w:p/>
    <w:p>
      <w:pPr>
        <w:pStyle w:val="Heading2"/>
      </w:pPr>
      <w:r>
        <w:t>Delivered artifacts (to cite in the submission package)</w:t>
      </w:r>
    </w:p>
    <w:p>
      <w:pPr>
        <w:pStyle w:val="ListBullet"/>
      </w:pPr>
      <w:r>
        <w:t>Consolidated evaluation report(s) and executive visual summary.</w:t>
      </w:r>
    </w:p>
    <w:p>
      <w:pPr>
        <w:pStyle w:val="ListBullet"/>
      </w:pPr>
      <w:r>
        <w:t>Journal-grade figures for:</w:t>
      </w:r>
    </w:p>
    <w:p>
      <w:pPr>
        <w:pStyle w:val="ListBullet"/>
      </w:pPr>
      <w:r>
        <w:t>privacy–utility trade-off,</w:t>
      </w:r>
    </w:p>
    <w:p>
      <w:pPr>
        <w:pStyle w:val="ListBullet"/>
      </w:pPr>
      <w:r>
        <w:t>utility and ranking summary,</w:t>
      </w:r>
    </w:p>
    <w:p>
      <w:pPr>
        <w:pStyle w:val="ListBullet"/>
      </w:pPr>
      <w:r>
        <w:t>fidelity and privacy comparisons (baseline vs sensitivity).</w:t>
      </w:r>
    </w:p>
    <w:p>
      <w:pPr>
        <w:pStyle w:val="ListBullet"/>
      </w:pPr>
      <w:r>
        <w:t>Manuscript-ready text blocks (Results/Discussion/Conclusion/Future work) including the real-vs-synthetic discussion bridge.</w:t>
      </w:r>
    </w:p>
    <w:p/>
    <w:p>
      <w:pPr>
        <w:pStyle w:val="Heading2"/>
      </w:pPr>
      <w:r>
        <w:t>Next steps (recommended for the manuscript)</w:t>
      </w:r>
    </w:p>
    <w:p>
      <w:pPr>
        <w:pStyle w:val="ListBullet"/>
      </w:pPr>
      <w:r>
        <w:t>Finalize figure numbering and map each caption to the final order in the journal template.</w:t>
      </w:r>
    </w:p>
    <w:p>
      <w:pPr>
        <w:pStyle w:val="ListBullet"/>
      </w:pPr>
      <w:r>
        <w:t xml:space="preserve">Keep the “real vs synthetic” discussion paragraph to support </w:t>
      </w:r>
      <w:r>
        <w:rPr>
          <w:b/>
        </w:rPr>
        <w:t>biophysical plausibility</w:t>
      </w:r>
      <w:r>
        <w:t xml:space="preserve"> and interpretability of the synthetic expansion in the biosurfactant process context.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