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D86" w:rsidRPr="00200E0D" w:rsidRDefault="004C36A3" w:rsidP="00200E0D">
      <w:pPr>
        <w:spacing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b/>
          <w:bCs/>
          <w:sz w:val="22"/>
          <w:szCs w:val="22"/>
        </w:rPr>
        <w:t>Fernando Antonio Marçal Garcia</w:t>
      </w:r>
    </w:p>
    <w:p w:rsidR="004C7516" w:rsidRDefault="004C36A3" w:rsidP="00200E0D">
      <w:pPr>
        <w:spacing w:line="276" w:lineRule="auto"/>
        <w:jc w:val="both"/>
        <w:rPr>
          <w:rFonts w:ascii="Aptos" w:eastAsia="Calibri" w:hAnsi="Aptos" w:cs="Calibri"/>
        </w:rPr>
      </w:pPr>
      <w:r>
        <w:rPr>
          <w:rFonts w:ascii="Aptos" w:eastAsia="Calibri" w:hAnsi="Aptos" w:cs="Calibri"/>
        </w:rPr>
        <w:t xml:space="preserve">Professor (PhD) of Information Systems, Maurício de Nassau University Center – Uninassau, Olinda, PE, Brazil, </w:t>
      </w:r>
    </w:p>
    <w:p w:rsidR="00537D86" w:rsidRPr="00200E0D" w:rsidRDefault="004C7516" w:rsidP="00200E0D">
      <w:pPr>
        <w:spacing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</w:rPr>
        <w:t xml:space="preserve">Postgraduate Program in Development and Environment (PRODEMA) - Federal University of Pernambuco, Recife, PE, Brazil</w:t>
      </w:r>
    </w:p>
    <w:p w:rsidR="00537D86" w:rsidRPr="00200E0D" w:rsidRDefault="004C36A3" w:rsidP="00200E0D">
      <w:pPr>
        <w:spacing w:after="3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</w:rPr>
        <w:t>fernando.garcia@ufpe.br</w:t>
      </w:r>
    </w:p>
    <w:p w:rsidR="00537D86" w:rsidRPr="00200E0D" w:rsidRDefault="004C36A3" w:rsidP="00200E0D">
      <w:pPr>
        <w:spacing w:after="3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</w:rPr>
        <w:t>[DATA]</w:t>
      </w:r>
    </w:p>
    <w:p w:rsidR="00BA18FE" w:rsidRPr="00BA18FE" w:rsidRDefault="00BA18FE" w:rsidP="00BA18FE">
      <w:pPr>
        <w:spacing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Dear Editor of the </w:t>
      </w:r>
      <w:r>
        <w:rPr>
          <w:rFonts w:ascii="Aptos" w:hAnsi="Aptos"/>
          <w:i/>
          <w:iCs/>
          <w:color w:val="303030"/>
          <w:sz w:val="22"/>
          <w:szCs w:val="22"/>
        </w:rPr>
        <w:t>Biochemical Engineering Journal</w:t>
      </w:r>
      <w:r>
        <w:rPr>
          <w:rFonts w:ascii="Aptos" w:hAnsi="Aptos"/>
          <w:color w:val="303030"/>
          <w:sz w:val="22"/>
          <w:szCs w:val="22"/>
        </w:rPr>
        <w:t>,</w:t>
      </w:r>
    </w:p>
    <w:p w:rsidR="00BA18FE" w:rsidRPr="00BA18FE" w:rsidRDefault="00BA18FE" w:rsidP="00BA18FE">
      <w:pPr>
        <w:spacing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We are pleased to submit our manuscript, </w:t>
      </w:r>
      <w:r>
        <w:rPr>
          <w:rFonts w:ascii="Aptos" w:hAnsi="Aptos"/>
          <w:b/>
          <w:bCs/>
          <w:color w:val="303030"/>
          <w:sz w:val="22"/>
          <w:szCs w:val="22"/>
        </w:rPr>
        <w:t>"Synthetic Expansion of Bench-Scale Experimental Data on Biosurfactant Production Using Tabular Generative Models: Trade-offs Between Fidelity, Utility, and Domain-Grounded Validation"</w:t>
      </w:r>
      <w:r>
        <w:rPr>
          <w:rFonts w:ascii="Aptos" w:hAnsi="Aptos"/>
          <w:color w:val="303030"/>
          <w:sz w:val="22"/>
          <w:szCs w:val="22"/>
        </w:rPr>
        <w:t xml:space="preserve">, for consideration as a research article.</w:t>
      </w:r>
    </w:p>
    <w:p w:rsidR="00BA18FE" w:rsidRPr="00BA18FE" w:rsidRDefault="00BA18FE" w:rsidP="00BA18FE">
      <w:pPr>
        <w:spacing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A critical bottleneck in bioprocess development is the reliance on small factorial datasets (</w:t>
      </w:r>
      <w:r>
        <w:rPr>
          <w:rFonts w:ascii="Aptos" w:hAnsi="Aptos"/>
          <w:i/>
          <w:iCs/>
          <w:color w:val="303030"/>
          <w:sz w:val="22"/>
          <w:szCs w:val="22"/>
        </w:rPr>
        <w:t>n</w:t>
      </w:r>
      <w:r>
        <w:rPr>
          <w:rFonts w:ascii="Aptos" w:hAnsi="Aptos"/>
          <w:color w:val="303030"/>
          <w:sz w:val="22"/>
          <w:szCs w:val="22"/>
        </w:rPr>
        <w:t xml:space="preserve">≈20), which are robust for experimental inference but fragile for modern machine learning. While synthetic expansion is a promising solution, its application in bench-scale engineering faces a "trust gap": statistical resemblance does not guarantee that the AI preserves the biological effects validated by the researcher.</w:t>
      </w:r>
    </w:p>
    <w:p w:rsidR="00BA18FE" w:rsidRPr="00BA18FE" w:rsidRDefault="00BA18FE" w:rsidP="00BA18FE">
      <w:pPr>
        <w:spacing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Our study addresses this by introducing the </w:t>
      </w:r>
      <w:r>
        <w:rPr>
          <w:rFonts w:ascii="Aptos" w:hAnsi="Aptos"/>
          <w:b/>
          <w:bCs/>
          <w:color w:val="303030"/>
          <w:sz w:val="22"/>
          <w:szCs w:val="22"/>
        </w:rPr>
        <w:t>Domain-Grounded Concordance Index (ICD)</w:t>
      </w:r>
      <w:r>
        <w:rPr>
          <w:rFonts w:ascii="Aptos" w:hAnsi="Aptos"/>
          <w:color w:val="303030"/>
          <w:sz w:val="22"/>
          <w:szCs w:val="22"/>
        </w:rPr>
        <w:t xml:space="preserve">. Unlike generic metrics, the ICD audits whether synthetic expansion maintains the sign, magnitude, and detectability of real factorial effects. Using a dataset of </w:t>
      </w:r>
      <w:r>
        <w:rPr>
          <w:rFonts w:ascii="Aptos" w:hAnsi="Aptos"/>
          <w:i/>
          <w:iCs/>
          <w:color w:val="303030"/>
          <w:sz w:val="22"/>
          <w:szCs w:val="22"/>
        </w:rPr>
        <w:t>Candida lipolytica</w:t>
      </w:r>
      <w:r>
        <w:rPr>
          <w:rFonts w:ascii="Aptos" w:hAnsi="Aptos"/>
          <w:color w:val="303030"/>
          <w:sz w:val="22"/>
          <w:szCs w:val="22"/>
        </w:rPr>
        <w:t xml:space="preserve"> UCP 988, we implemented a rigorous </w:t>
      </w:r>
      <w:r>
        <w:rPr>
          <w:rFonts w:ascii="Aptos" w:hAnsi="Aptos"/>
          <w:b/>
          <w:bCs/>
          <w:color w:val="303030"/>
          <w:sz w:val="22"/>
          <w:szCs w:val="22"/>
        </w:rPr>
        <w:t>Leave-One-Out Cross-Validation (LOOCV)</w:t>
      </w:r>
      <w:r>
        <w:rPr>
          <w:rFonts w:ascii="Aptos" w:hAnsi="Aptos"/>
          <w:color w:val="303030"/>
          <w:sz w:val="22"/>
          <w:szCs w:val="22"/>
        </w:rPr>
        <w:t xml:space="preserve"> protocol under a strict </w:t>
      </w:r>
      <w:r>
        <w:rPr>
          <w:rFonts w:ascii="Aptos" w:hAnsi="Aptos"/>
          <w:b/>
          <w:bCs/>
          <w:color w:val="303030"/>
          <w:sz w:val="22"/>
          <w:szCs w:val="22"/>
        </w:rPr>
        <w:t>no-leakage</w:t>
      </w:r>
      <w:r>
        <w:rPr>
          <w:rFonts w:ascii="Aptos" w:hAnsi="Aptos"/>
          <w:color w:val="303030"/>
          <w:sz w:val="22"/>
          <w:szCs w:val="22"/>
        </w:rPr>
        <w:t xml:space="preserve"> regime (</w:t>
      </w:r>
      <w:r>
        <w:rPr>
          <w:rFonts w:ascii="Aptos" w:hAnsi="Aptos"/>
          <w:b/>
          <w:bCs/>
          <w:color w:val="303030"/>
          <w:sz w:val="22"/>
          <w:szCs w:val="22"/>
        </w:rPr>
        <w:t>PEERFIX2 protocol</w:t>
      </w:r>
      <w:r>
        <w:rPr>
          <w:rFonts w:ascii="Aptos" w:hAnsi="Aptos"/>
          <w:color w:val="303030"/>
          <w:sz w:val="22"/>
          <w:szCs w:val="22"/>
        </w:rPr>
        <w:t>).</w:t>
      </w:r>
    </w:p>
    <w:p w:rsidR="00BA18FE" w:rsidRPr="00BA18FE" w:rsidRDefault="00BA18FE" w:rsidP="00BA18FE">
      <w:pPr>
        <w:spacing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>Our findings reveal a fundamental tension: the generator that leads in predictive utility (</w:t>
      </w:r>
      <w:r>
        <w:rPr>
          <w:rFonts w:ascii="Aptos" w:hAnsi="Aptos"/>
          <w:b/>
          <w:bCs/>
          <w:color w:val="303030"/>
          <w:sz w:val="22"/>
          <w:szCs w:val="22"/>
        </w:rPr>
        <w:t>CTGAN</w:t>
      </w:r>
      <w:r>
        <w:rPr>
          <w:rFonts w:ascii="Aptos" w:hAnsi="Aptos"/>
          <w:color w:val="303030"/>
          <w:sz w:val="22"/>
          <w:szCs w:val="22"/>
        </w:rPr>
        <w:t xml:space="preserve">) is the weakest in preserving the scientific truth, while the generator that best preserves factorial structures (</w:t>
      </w:r>
      <w:r>
        <w:rPr>
          <w:rFonts w:ascii="Aptos" w:hAnsi="Aptos"/>
          <w:b/>
          <w:bCs/>
          <w:color w:val="303030"/>
          <w:sz w:val="22"/>
          <w:szCs w:val="22"/>
        </w:rPr>
        <w:t>TVAE</w:t>
      </w:r>
      <w:r>
        <w:rPr>
          <w:rFonts w:ascii="Aptos" w:hAnsi="Aptos"/>
          <w:color w:val="303030"/>
          <w:sz w:val="22"/>
          <w:szCs w:val="22"/>
        </w:rPr>
        <w:t xml:space="preserve">) shows limited predictive gain. This dissociation between distributional fidelity and scientific validity is a central contribution of our work, providing a necessary framework for the safe integration of Generative AI into biochemical engineering workflows.</w:t>
      </w:r>
    </w:p>
    <w:p w:rsidR="00BA18FE" w:rsidRPr="00BA18FE" w:rsidRDefault="00BA18FE" w:rsidP="00BA18FE">
      <w:pPr>
        <w:spacing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We confirm that this work is original and has not been published or submitted elsewhere. We also include a transparent declaration regarding the use of AI tools in our methodology and code development.</w:t>
      </w:r>
    </w:p>
    <w:p w:rsidR="00BA18FE" w:rsidRPr="00BA18FE" w:rsidRDefault="00BA18FE" w:rsidP="00BA18FE">
      <w:pPr>
        <w:spacing w:after="100" w:line="276" w:lineRule="auto"/>
        <w:jc w:val="both"/>
        <w:rPr>
          <w:rFonts w:ascii="Aptos" w:eastAsia="Calibri" w:hAnsi="Aptos" w:cs="Calibri"/>
          <w:sz w:val="22"/>
          <w:szCs w:val="22"/>
        </w:rPr>
      </w:pPr>
    </w:p>
    <w:p w:rsidR="00537D86" w:rsidRPr="00200E0D" w:rsidRDefault="004C36A3" w:rsidP="00200E0D">
      <w:pPr>
        <w:spacing w:after="1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We suggest the following as potential reviewers with relevant expertise in synthetic tabular data and/or bioprocess optimisation:</w:t>
      </w:r>
    </w:p>
    <w:p w:rsidR="00537D86" w:rsidRPr="00200E0D" w:rsidRDefault="004C36A3" w:rsidP="00200E0D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i/>
          <w:iCs/>
        </w:rPr>
        <w:t>[NOME] — [instituição] — [e-mail] — (especialista em geração de dados sintéticos tabulares)</w:t>
      </w:r>
    </w:p>
    <w:p w:rsidR="00537D86" w:rsidRPr="00200E0D" w:rsidRDefault="004C36A3" w:rsidP="00200E0D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i/>
          <w:iCs/>
        </w:rPr>
        <w:t>[NOME] — [instituição] — [e-mail] — (especialista em biossurfactantes/bioprocessos)</w:t>
      </w:r>
    </w:p>
    <w:p w:rsidR="00537D86" w:rsidRPr="00200E0D" w:rsidRDefault="004C36A3" w:rsidP="00200E0D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i/>
          <w:iCs/>
        </w:rPr>
        <w:t>[NOME] — [instituição] — [e-mail] — (especialista em planejamento experimental/DOE)</w:t>
      </w:r>
    </w:p>
    <w:p w:rsidR="00537D86" w:rsidRPr="00200E0D" w:rsidRDefault="004C36A3" w:rsidP="00200E0D">
      <w:pPr>
        <w:spacing w:before="200"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Thank you for considering our manuscript. We look forward to your response.</w:t>
      </w:r>
    </w:p>
    <w:p w:rsidR="00537D86" w:rsidRDefault="004C36A3" w:rsidP="00200E0D">
      <w:pPr>
        <w:spacing w:before="200" w:after="400" w:line="276" w:lineRule="auto"/>
        <w:jc w:val="both"/>
        <w:rPr>
          <w:rFonts w:ascii="Aptos" w:eastAsia="Calibri" w:hAnsi="Aptos" w:cs="Calibri"/>
          <w:sz w:val="22"/>
          <w:szCs w:val="22"/>
        </w:rPr>
      </w:pPr>
      <w:r>
        <w:rPr>
          <w:rFonts w:ascii="Aptos" w:eastAsia="Calibri" w:hAnsi="Aptos" w:cs="Calibri"/>
          <w:sz w:val="22"/>
          <w:szCs w:val="22"/>
        </w:rPr>
        <w:t xml:space="preserve">Sincerely, on behalf of all authors,</w:t>
      </w:r>
    </w:p>
    <w:p w:rsidR="00537D86" w:rsidRPr="00200E0D" w:rsidRDefault="004C36A3" w:rsidP="00200E0D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b/>
          <w:bCs/>
          <w:sz w:val="22"/>
          <w:szCs w:val="22"/>
        </w:rPr>
        <w:t>Fernando Antonio Marçal Garcia</w:t>
      </w:r>
    </w:p>
    <w:p w:rsidR="00537D86" w:rsidRDefault="004C36A3" w:rsidP="00200E0D">
      <w:pPr>
        <w:spacing w:after="200" w:line="276" w:lineRule="auto"/>
        <w:jc w:val="both"/>
        <w:rPr>
          <w:rFonts w:ascii="Aptos" w:eastAsia="Calibri" w:hAnsi="Aptos" w:cs="Calibri"/>
          <w:i/>
          <w:iCs/>
        </w:rPr>
      </w:pPr>
      <w:r>
        <w:rPr>
          <w:rFonts w:ascii="Aptos" w:eastAsia="Calibri" w:hAnsi="Aptos" w:cs="Calibri"/>
          <w:i/>
          <w:iCs/>
        </w:rPr>
        <w:t>Corresponding author</w:t>
      </w:r>
    </w:p>
    <w:sectPr w:rsidR="009C676C" w:rsidRPr="009C67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B15040"/>
    <w:multiLevelType w:val="hybridMultilevel"/>
    <w:tmpl w:val="E3E8D28C"/>
    <w:lvl w:ilvl="0" w:tplc="C874A350">
      <w:start w:val="1"/>
      <w:numFmt w:val="bullet"/>
      <w:lvlText w:val="●"/>
      <w:lvlJc w:val="left"/>
      <w:pPr>
        <w:ind w:left="720" w:hanging="360"/>
      </w:pPr>
    </w:lvl>
    <w:lvl w:ilvl="1" w:tplc="A2AC2C82">
      <w:start w:val="1"/>
      <w:numFmt w:val="bullet"/>
      <w:lvlText w:val="○"/>
      <w:lvlJc w:val="left"/>
      <w:pPr>
        <w:ind w:left="1440" w:hanging="360"/>
      </w:pPr>
    </w:lvl>
    <w:lvl w:ilvl="2" w:tplc="EB2474FC">
      <w:start w:val="1"/>
      <w:numFmt w:val="bullet"/>
      <w:lvlText w:val="■"/>
      <w:lvlJc w:val="left"/>
      <w:pPr>
        <w:ind w:left="2160" w:hanging="360"/>
      </w:pPr>
    </w:lvl>
    <w:lvl w:ilvl="3" w:tplc="5920A1E8">
      <w:start w:val="1"/>
      <w:numFmt w:val="bullet"/>
      <w:lvlText w:val="●"/>
      <w:lvlJc w:val="left"/>
      <w:pPr>
        <w:ind w:left="2880" w:hanging="360"/>
      </w:pPr>
    </w:lvl>
    <w:lvl w:ilvl="4" w:tplc="E4423D88">
      <w:start w:val="1"/>
      <w:numFmt w:val="bullet"/>
      <w:lvlText w:val="○"/>
      <w:lvlJc w:val="left"/>
      <w:pPr>
        <w:ind w:left="3600" w:hanging="360"/>
      </w:pPr>
    </w:lvl>
    <w:lvl w:ilvl="5" w:tplc="EEE675E2">
      <w:start w:val="1"/>
      <w:numFmt w:val="bullet"/>
      <w:lvlText w:val="■"/>
      <w:lvlJc w:val="left"/>
      <w:pPr>
        <w:ind w:left="4320" w:hanging="360"/>
      </w:pPr>
    </w:lvl>
    <w:lvl w:ilvl="6" w:tplc="D2CA4BE8">
      <w:start w:val="1"/>
      <w:numFmt w:val="bullet"/>
      <w:lvlText w:val="●"/>
      <w:lvlJc w:val="left"/>
      <w:pPr>
        <w:ind w:left="5040" w:hanging="360"/>
      </w:pPr>
    </w:lvl>
    <w:lvl w:ilvl="7" w:tplc="8B4C859E">
      <w:start w:val="1"/>
      <w:numFmt w:val="bullet"/>
      <w:lvlText w:val="●"/>
      <w:lvlJc w:val="left"/>
      <w:pPr>
        <w:ind w:left="5760" w:hanging="360"/>
      </w:pPr>
    </w:lvl>
    <w:lvl w:ilvl="8" w:tplc="9C3882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D86"/>
    <w:rsid w:val="00200E0D"/>
    <w:rsid w:val="002A743C"/>
    <w:rsid w:val="004C36A3"/>
    <w:rsid w:val="004C7516"/>
    <w:rsid w:val="00537D86"/>
    <w:rsid w:val="009C676C"/>
    <w:rsid w:val="00BA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B5E3BF7-BB76-4287-BC97-66566197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ng-star-inserted">
    <w:name w:val="ng-star-inserted"/>
    <w:basedOn w:val="Fontepargpadro"/>
    <w:rsid w:val="009C676C"/>
  </w:style>
  <w:style w:type="character" w:customStyle="1" w:styleId="mord">
    <w:name w:val="mord"/>
    <w:basedOn w:val="Fontepargpadro"/>
    <w:rsid w:val="009C676C"/>
  </w:style>
  <w:style w:type="character" w:customStyle="1" w:styleId="mrel">
    <w:name w:val="mrel"/>
    <w:basedOn w:val="Fontepargpadro"/>
    <w:rsid w:val="009C6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8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424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TJPE</Company>
  <LinksUpToDate>false</LinksUpToDate>
  <CharactersWithSpaces>2711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ANTONIO MARCAL GARCIA</cp:lastModifiedBy>
  <cp:revision>3</cp:revision>
  <dcterms:created xsi:type="dcterms:W3CDTF">2026-07-13T01:09:00Z</dcterms:created>
  <dcterms:modified xsi:type="dcterms:W3CDTF">2026-07-13T01:13:00Z</dcterms:modified>
</cp:coreProperties>
</file>