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4B6" w:rsidRPr="0083120A" w:rsidRDefault="00ED475A" w:rsidP="0083120A">
      <w:pPr>
        <w:pStyle w:val="Ttulo1"/>
        <w:spacing w:before="300" w:after="150" w:line="276" w:lineRule="auto"/>
        <w:jc w:val="both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Highlights</w:t>
      </w:r>
    </w:p>
    <w:p w:rsidR="00A104B6" w:rsidRPr="0083120A" w:rsidRDefault="00ED475A" w:rsidP="0083120A">
      <w:pPr>
        <w:spacing w:after="300" w:line="276" w:lineRule="auto"/>
        <w:jc w:val="both"/>
        <w:rPr>
          <w:rFonts w:ascii="Aptos" w:hAnsi="Aptos"/>
          <w:sz w:val="22"/>
          <w:szCs w:val="22"/>
        </w:rPr>
      </w:pPr>
      <w:r>
        <w:rPr>
          <w:rFonts w:ascii="Aptos" w:eastAsia="Calibri" w:hAnsi="Aptos" w:cs="Calibri"/>
          <w:i/>
          <w:iCs/>
          <w:sz w:val="22"/>
          <w:szCs w:val="22"/>
        </w:rPr>
        <w:t>Synthetic Expansion of Bench-Scale Experimental Da</w:t>
      </w:r>
      <w:bookmarkStart w:id="0" w:name="_GoBack"/>
      <w:bookmarkEnd w:id="0"/>
      <w:r>
        <w:rPr>
          <w:rFonts w:ascii="Aptos" w:eastAsia="Calibri" w:hAnsi="Aptos" w:cs="Calibri"/>
          <w:i/>
          <w:iCs/>
          <w:sz w:val="22"/>
          <w:szCs w:val="22"/>
        </w:rPr>
        <w:t>ta on Biosurfactant Production Using Tabular Generative Models: Trade-offs Between Fidelity, Utility, and Domain-Grounded Validation</w:t>
      </w:r>
    </w:p>
    <w:p w:rsidR="0083120A" w:rsidRPr="0083120A" w:rsidRDefault="0083120A" w:rsidP="0083120A">
      <w:pPr>
        <w:spacing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i/>
          <w:iCs/>
          <w:color w:val="303030"/>
          <w:sz w:val="22"/>
          <w:szCs w:val="22"/>
        </w:rPr>
        <w:t>(Respeitando o limite rigoroso de 85 caracteres por bala da Elsevier)</w:t>
      </w:r>
    </w:p>
    <w:p w:rsidR="0083120A" w:rsidRPr="0083120A" w:rsidRDefault="0083120A" w:rsidP="0083120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>Four tabular generators are compared for expanding small-scale (</w:t>
      </w:r>
      <w:r>
        <w:rPr>
          <w:rFonts w:ascii="Aptos" w:hAnsi="Aptos"/>
          <w:i/>
          <w:iCs/>
          <w:color w:val="303030"/>
          <w:sz w:val="22"/>
          <w:szCs w:val="22"/>
        </w:rPr>
        <w:t>n</w:t>
      </w:r>
      <w:r>
        <w:rPr>
          <w:rFonts w:ascii="Aptos" w:hAnsi="Aptos"/>
          <w:color w:val="303030"/>
          <w:sz w:val="22"/>
          <w:szCs w:val="22"/>
        </w:rPr>
        <w:t>=20) bioprocess data</w:t>
      </w:r>
    </w:p>
    <w:p w:rsidR="0083120A" w:rsidRPr="0083120A" w:rsidRDefault="0083120A" w:rsidP="0083120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>Introduces the Domain-Grounded Concordance Index (ICD) for scientific validation</w:t>
      </w:r>
    </w:p>
    <w:p w:rsidR="0083120A" w:rsidRPr="0083120A" w:rsidRDefault="0083120A" w:rsidP="0083120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CTGAN leads in predictive utility but fails to preserve factorial structure</w:t>
      </w:r>
    </w:p>
    <w:p w:rsidR="0083120A" w:rsidRPr="0083120A" w:rsidRDefault="0083120A" w:rsidP="0083120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TVAE maintains scientific concordance (ICD) despite negative predictive utility</w:t>
      </w:r>
    </w:p>
    <w:p w:rsidR="0083120A" w:rsidRPr="0083120A" w:rsidRDefault="0083120A" w:rsidP="0083120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Statistical fidelity and scientific validity are shown to be dissociated properties</w:t>
      </w:r>
    </w:p>
    <w:p w:rsidR="00A104B6" w:rsidRPr="009F6C96" w:rsidRDefault="00A104B6" w:rsidP="009F6C96">
      <w:pPr>
        <w:spacing w:after="200" w:line="276" w:lineRule="auto"/>
        <w:jc w:val="both"/>
        <w:rPr>
          <w:rFonts w:ascii="Aptos" w:hAnsi="Aptos"/>
        </w:rPr>
      </w:pPr>
    </w:p>
    <w:p w:rsidR="00A104B6" w:rsidRPr="009F6C96" w:rsidRDefault="00ED475A" w:rsidP="009F6C96">
      <w:pPr>
        <w:spacing w:after="200" w:line="276" w:lineRule="auto"/>
        <w:jc w:val="both"/>
        <w:rPr>
          <w:rFonts w:ascii="Aptos" w:eastAsia="Calibri" w:hAnsi="Aptos" w:cs="Calibri"/>
          <w:i/>
          <w:iCs/>
          <w:sz w:val="18"/>
          <w:szCs w:val="18"/>
        </w:rPr>
      </w:pPr>
      <w:r>
        <w:rPr>
          <w:rFonts w:ascii="Aptos" w:eastAsia="Calibri" w:hAnsi="Aptos" w:cs="Calibri"/>
          <w:i/>
          <w:iCs/>
          <w:sz w:val="18"/>
          <w:szCs w:val="18"/>
        </w:rPr>
        <w:t xml:space="preserve">(Character counts: 85, 80, 75, 79, 83 — Elsevier limit is 85 characters per bullet, 3–5 bullets.)</w:t>
      </w:r>
    </w:p>
    <w:sectPr w:rsidR="00A104B6" w:rsidRPr="009F6C9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164E5A"/>
    <w:multiLevelType w:val="multilevel"/>
    <w:tmpl w:val="4C16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420DF"/>
    <w:multiLevelType w:val="hybridMultilevel"/>
    <w:tmpl w:val="821E3B5C"/>
    <w:lvl w:ilvl="0" w:tplc="C8004F02">
      <w:start w:val="1"/>
      <w:numFmt w:val="bullet"/>
      <w:lvlText w:val="●"/>
      <w:lvlJc w:val="left"/>
      <w:pPr>
        <w:ind w:left="720" w:hanging="360"/>
      </w:pPr>
    </w:lvl>
    <w:lvl w:ilvl="1" w:tplc="65AAA9EC">
      <w:start w:val="1"/>
      <w:numFmt w:val="bullet"/>
      <w:lvlText w:val="○"/>
      <w:lvlJc w:val="left"/>
      <w:pPr>
        <w:ind w:left="1440" w:hanging="360"/>
      </w:pPr>
    </w:lvl>
    <w:lvl w:ilvl="2" w:tplc="381E546C">
      <w:start w:val="1"/>
      <w:numFmt w:val="bullet"/>
      <w:lvlText w:val="■"/>
      <w:lvlJc w:val="left"/>
      <w:pPr>
        <w:ind w:left="2160" w:hanging="360"/>
      </w:pPr>
    </w:lvl>
    <w:lvl w:ilvl="3" w:tplc="4E86038A">
      <w:start w:val="1"/>
      <w:numFmt w:val="bullet"/>
      <w:lvlText w:val="●"/>
      <w:lvlJc w:val="left"/>
      <w:pPr>
        <w:ind w:left="2880" w:hanging="360"/>
      </w:pPr>
    </w:lvl>
    <w:lvl w:ilvl="4" w:tplc="423084D2">
      <w:start w:val="1"/>
      <w:numFmt w:val="bullet"/>
      <w:lvlText w:val="○"/>
      <w:lvlJc w:val="left"/>
      <w:pPr>
        <w:ind w:left="3600" w:hanging="360"/>
      </w:pPr>
    </w:lvl>
    <w:lvl w:ilvl="5" w:tplc="D8722E4A">
      <w:start w:val="1"/>
      <w:numFmt w:val="bullet"/>
      <w:lvlText w:val="■"/>
      <w:lvlJc w:val="left"/>
      <w:pPr>
        <w:ind w:left="4320" w:hanging="360"/>
      </w:pPr>
    </w:lvl>
    <w:lvl w:ilvl="6" w:tplc="404E4774">
      <w:start w:val="1"/>
      <w:numFmt w:val="bullet"/>
      <w:lvlText w:val="●"/>
      <w:lvlJc w:val="left"/>
      <w:pPr>
        <w:ind w:left="5040" w:hanging="360"/>
      </w:pPr>
    </w:lvl>
    <w:lvl w:ilvl="7" w:tplc="B27A6D66">
      <w:start w:val="1"/>
      <w:numFmt w:val="bullet"/>
      <w:lvlText w:val="●"/>
      <w:lvlJc w:val="left"/>
      <w:pPr>
        <w:ind w:left="5760" w:hanging="360"/>
      </w:pPr>
    </w:lvl>
    <w:lvl w:ilvl="8" w:tplc="7954E7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E11B70"/>
    <w:multiLevelType w:val="multilevel"/>
    <w:tmpl w:val="953A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C7822"/>
    <w:multiLevelType w:val="multilevel"/>
    <w:tmpl w:val="F8B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4B6"/>
    <w:rsid w:val="003B7C8D"/>
    <w:rsid w:val="0083120A"/>
    <w:rsid w:val="009F6C96"/>
    <w:rsid w:val="00A104B6"/>
    <w:rsid w:val="00ED475A"/>
    <w:rsid w:val="00FF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A43048-BCB0-44B0-A084-2E025F641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ng-star-inserted">
    <w:name w:val="ng-star-inserted"/>
    <w:basedOn w:val="Fontepargpadro"/>
    <w:rsid w:val="009F6C96"/>
  </w:style>
  <w:style w:type="character" w:customStyle="1" w:styleId="mord">
    <w:name w:val="mord"/>
    <w:basedOn w:val="Fontepargpadro"/>
    <w:rsid w:val="009F6C96"/>
  </w:style>
  <w:style w:type="character" w:customStyle="1" w:styleId="mrel">
    <w:name w:val="mrel"/>
    <w:basedOn w:val="Fontepargpadro"/>
    <w:rsid w:val="009F6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6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TJPE</Company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ANTONIO MARCAL GARCIA</cp:lastModifiedBy>
  <cp:revision>3</cp:revision>
  <dcterms:created xsi:type="dcterms:W3CDTF">2026-07-13T01:16:00Z</dcterms:created>
  <dcterms:modified xsi:type="dcterms:W3CDTF">2026-07-13T01:16:00Z</dcterms:modified>
</cp:coreProperties>
</file>