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2FE1" w:rsidRDefault="00EA2FE1"/>
    <w:p w:rsidR="00EA2FE1" w:rsidRPr="009267ED" w:rsidRDefault="00685BE1" w:rsidP="009267ED">
      <w:pPr>
        <w:spacing w:after="300" w:line="276" w:lineRule="auto"/>
        <w:jc w:val="center"/>
        <w:rPr>
          <w:rFonts w:ascii="Aptos" w:hAnsi="Aptos"/>
        </w:rPr>
      </w:pPr>
      <w:r>
        <w:rPr>
          <w:rFonts w:ascii="Aptos" w:eastAsia="Calibri" w:hAnsi="Aptos" w:cs="Calibri"/>
          <w:b/>
          <w:bCs/>
          <w:sz w:val="30"/>
          <w:szCs w:val="30"/>
        </w:rPr>
        <w:t>Expansão sintética de dados experimentais em escala de bancada sobre a produção de biossurfactantes usando modelos generativos tabulares: equilíbrio entre fidelidade, utilidade e validação fundamentada no domínio.</w:t>
      </w:r>
    </w:p>
    <w:p w:rsidR="00EA2FE1" w:rsidRPr="009267ED" w:rsidRDefault="00685BE1" w:rsidP="009267ED">
      <w:pPr>
        <w:spacing w:after="60" w:line="276" w:lineRule="auto"/>
        <w:jc w:val="center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>Fernando Antonio Marçal Garcia¹*</w:t>
      </w:r>
    </w:p>
    <w:p w:rsidR="00EA2FE1" w:rsidRPr="004A2251" w:rsidRDefault="00685BE1" w:rsidP="009267ED">
      <w:pPr>
        <w:spacing w:after="60" w:line="276" w:lineRule="auto"/>
        <w:jc w:val="center"/>
        <w:rPr>
          <w:rFonts w:ascii="Aptos" w:hAnsi="Aptos"/>
          <w:color w:val="000000" w:themeColor="text1"/>
        </w:rPr>
      </w:pPr>
      <w:r>
        <w:rPr>
          <w:rFonts w:ascii="Aptos" w:eastAsia="Calibri" w:hAnsi="Aptos" w:cs="Calibri"/>
          <w:color w:val="000000" w:themeColor="text1"/>
          <w:sz w:val="22"/>
          <w:szCs w:val="22"/>
        </w:rPr>
        <w:t>Fabiana América Silva Dantas de Souza²</w:t>
      </w:r>
    </w:p>
    <w:p w:rsidR="00EA2FE1" w:rsidRPr="004A2251" w:rsidRDefault="00685BE1" w:rsidP="009267ED">
      <w:pPr>
        <w:spacing w:after="60" w:line="276" w:lineRule="auto"/>
        <w:jc w:val="center"/>
        <w:rPr>
          <w:rFonts w:ascii="Aptos" w:hAnsi="Aptos"/>
          <w:color w:val="000000" w:themeColor="text1"/>
        </w:rPr>
      </w:pPr>
      <w:r>
        <w:rPr>
          <w:rFonts w:ascii="Aptos" w:eastAsia="Calibri" w:hAnsi="Aptos" w:cs="Calibri"/>
          <w:color w:val="000000" w:themeColor="text1"/>
          <w:sz w:val="22"/>
          <w:szCs w:val="22"/>
        </w:rPr>
        <w:t>Galba Maria Campos-Takaki³</w:t>
      </w:r>
    </w:p>
    <w:p w:rsidR="00EA2FE1" w:rsidRPr="004A2251" w:rsidRDefault="00685BE1" w:rsidP="009267ED">
      <w:pPr>
        <w:spacing w:after="200" w:line="276" w:lineRule="auto"/>
        <w:jc w:val="center"/>
        <w:rPr>
          <w:rFonts w:ascii="Aptos" w:hAnsi="Aptos"/>
          <w:color w:val="000000" w:themeColor="text1"/>
        </w:rPr>
      </w:pPr>
      <w:r>
        <w:rPr>
          <w:rFonts w:ascii="Aptos" w:eastAsia="Calibri" w:hAnsi="Aptos" w:cs="Calibri"/>
          <w:color w:val="000000" w:themeColor="text1"/>
          <w:sz w:val="22"/>
          <w:szCs w:val="22"/>
        </w:rPr>
        <w:t>Clarissa Daisy da Costa Albuquerque¹</w:t>
      </w:r>
    </w:p>
    <w:p w:rsidR="00257232" w:rsidRPr="004A2251" w:rsidRDefault="00685BE1" w:rsidP="00257232">
      <w:pPr>
        <w:spacing w:after="40" w:line="276" w:lineRule="auto"/>
        <w:jc w:val="center"/>
        <w:rPr>
          <w:rFonts w:ascii="Aptos" w:hAnsi="Aptos"/>
          <w:color w:val="000000" w:themeColor="text1"/>
        </w:rPr>
      </w:pPr>
      <w:r>
        <w:rPr>
          <w:rFonts w:ascii="Aptos" w:eastAsia="Calibri" w:hAnsi="Aptos" w:cs="Calibri"/>
          <w:i/>
          <w:iCs/>
          <w:color w:val="000000" w:themeColor="text1"/>
          <w:sz w:val="18"/>
          <w:szCs w:val="18"/>
        </w:rPr>
        <w:t xml:space="preserve">¹ Departamento de Sistemas de Informação, Centro Universitário Maurício de Nassau - Uninassau, Olinda, PE, Brasil, </w:t>
      </w:r>
    </w:p>
    <w:p w:rsidR="00EA2FE1" w:rsidRPr="004A2251" w:rsidRDefault="00685BE1" w:rsidP="009267ED">
      <w:pPr>
        <w:spacing w:after="40" w:line="276" w:lineRule="auto"/>
        <w:jc w:val="center"/>
        <w:rPr>
          <w:rFonts w:ascii="Aptos" w:hAnsi="Aptos"/>
          <w:color w:val="000000" w:themeColor="text1"/>
        </w:rPr>
      </w:pPr>
      <w:r>
        <w:rPr>
          <w:rFonts w:ascii="Aptos" w:eastAsia="Calibri" w:hAnsi="Aptos" w:cs="Calibri"/>
          <w:i/>
          <w:iCs/>
          <w:color w:val="000000" w:themeColor="text1"/>
          <w:sz w:val="18"/>
          <w:szCs w:val="18"/>
        </w:rPr>
        <w:t xml:space="preserve">² Departamento de Biociência Animal, Universidade Federal Rural de Pernambuco, Recife, PE, Brasil, fabiana.americasouza@yahoo.com.br</w:t>
      </w:r>
    </w:p>
    <w:p w:rsidR="00EA2FE1" w:rsidRPr="004A2251" w:rsidRDefault="00685BE1" w:rsidP="009267ED">
      <w:pPr>
        <w:spacing w:after="40" w:line="276" w:lineRule="auto"/>
        <w:jc w:val="center"/>
        <w:rPr>
          <w:rFonts w:ascii="Aptos" w:eastAsia="Calibri" w:hAnsi="Aptos" w:cs="Calibri"/>
          <w:i/>
          <w:iCs/>
          <w:color w:val="000000" w:themeColor="text1"/>
          <w:sz w:val="18"/>
          <w:szCs w:val="18"/>
        </w:rPr>
      </w:pPr>
      <w:r>
        <w:rPr>
          <w:rFonts w:ascii="Aptos" w:eastAsia="Calibri" w:hAnsi="Aptos" w:cs="Calibri"/>
          <w:i/>
          <w:iCs/>
          <w:color w:val="000000" w:themeColor="text1"/>
          <w:sz w:val="18"/>
          <w:szCs w:val="18"/>
        </w:rPr>
        <w:t xml:space="preserve">³ Núcleo de Pesquisa em Ciências Ambientais, Universidade Católica de Pernambuco, Recife, PE, Brasil, </w:t>
      </w:r>
      <w:hyperlink r:id="rId5" w:history="1">
        <w:r>
          <w:rPr>
            <w:rStyle w:val="Hyperlink"/>
            <w:rFonts w:ascii="Aptos" w:eastAsia="Calibri" w:hAnsi="Aptos" w:cs="Calibri"/>
            <w:i/>
            <w:iCs/>
            <w:color w:val="000000" w:themeColor="text1"/>
            <w:sz w:val="18"/>
            <w:szCs w:val="18"/>
            <w:u w:val="none"/>
          </w:rPr>
          <w:t>galba.takaki@unicap.br</w:t>
        </w:r>
      </w:hyperlink>
    </w:p>
    <w:p w:rsidR="00257232" w:rsidRPr="004A2251" w:rsidRDefault="00257232" w:rsidP="009267ED">
      <w:pPr>
        <w:spacing w:after="40" w:line="276" w:lineRule="auto"/>
        <w:jc w:val="center"/>
        <w:rPr>
          <w:rFonts w:ascii="Aptos" w:eastAsia="Calibri" w:hAnsi="Aptos" w:cs="Calibri"/>
          <w:i/>
          <w:iCs/>
          <w:color w:val="000000" w:themeColor="text1"/>
          <w:sz w:val="18"/>
          <w:szCs w:val="18"/>
        </w:rPr>
      </w:pPr>
      <w:r>
        <w:rPr>
          <w:rFonts w:ascii="Aptos" w:eastAsia="Calibri" w:hAnsi="Aptos" w:cs="Calibri"/>
          <w:i/>
          <w:iCs/>
          <w:color w:val="000000" w:themeColor="text1"/>
          <w:sz w:val="16"/>
          <w:szCs w:val="16"/>
          <w:vertAlign w:val="superscript"/>
        </w:rPr>
        <w:t>4</w:t>
      </w:r>
      <w:r>
        <w:rPr>
          <w:rFonts w:ascii="Aptos" w:eastAsia="Calibri" w:hAnsi="Aptos" w:cs="Calibri"/>
          <w:i/>
          <w:iCs/>
          <w:color w:val="000000" w:themeColor="text1"/>
          <w:sz w:val="18"/>
          <w:szCs w:val="18"/>
        </w:rPr>
        <w:t xml:space="preserve"> Núcleo de Pesquisa em Ciências Ambientais, Universidade Católica de Pernambuco, Recife, PE, Brasil, </w:t>
      </w:r>
      <w:hyperlink r:id="rId6" w:history="1">
        <w:r>
          <w:rPr>
            <w:rStyle w:val="Hyperlink"/>
            <w:rFonts w:ascii="Aptos" w:eastAsia="Calibri" w:hAnsi="Aptos" w:cs="Calibri"/>
            <w:i/>
            <w:iCs/>
            <w:color w:val="000000" w:themeColor="text1"/>
            <w:sz w:val="18"/>
            <w:szCs w:val="18"/>
            <w:u w:val="none"/>
          </w:rPr>
          <w:t>albqqs@gmail.com</w:t>
        </w:r>
      </w:hyperlink>
    </w:p>
    <w:p w:rsidR="00257232" w:rsidRPr="004A2251" w:rsidRDefault="00257232" w:rsidP="009267ED">
      <w:pPr>
        <w:spacing w:after="40" w:line="276" w:lineRule="auto"/>
        <w:jc w:val="center"/>
        <w:rPr>
          <w:rFonts w:ascii="Aptos" w:hAnsi="Aptos"/>
          <w:color w:val="000000" w:themeColor="text1"/>
        </w:rPr>
      </w:pPr>
    </w:p>
    <w:p w:rsidR="00EA2FE1" w:rsidRPr="004A2251" w:rsidRDefault="00685BE1" w:rsidP="009267ED">
      <w:pPr>
        <w:spacing w:after="300" w:line="276" w:lineRule="auto"/>
        <w:jc w:val="center"/>
        <w:rPr>
          <w:rFonts w:ascii="Aptos" w:hAnsi="Aptos"/>
          <w:color w:val="000000" w:themeColor="text1"/>
        </w:rPr>
      </w:pPr>
      <w:r>
        <w:rPr>
          <w:rFonts w:ascii="Aptos" w:eastAsia="Calibri" w:hAnsi="Aptos" w:cs="Calibri"/>
          <w:i/>
          <w:iCs/>
          <w:color w:val="000000" w:themeColor="text1"/>
          <w:sz w:val="18"/>
          <w:szCs w:val="18"/>
        </w:rPr>
        <w:t>*Autor correspondente: fernando.garcia@ufpe.br</w:t>
      </w:r>
    </w:p>
    <w:p w:rsidR="00EA2FE1" w:rsidRPr="009267ED" w:rsidRDefault="00685BE1" w:rsidP="009267ED">
      <w:pPr>
        <w:spacing w:after="400" w:line="276" w:lineRule="auto"/>
        <w:jc w:val="center"/>
        <w:rPr>
          <w:rFonts w:ascii="Aptos" w:hAnsi="Aptos"/>
        </w:rPr>
      </w:pPr>
      <w:r>
        <w:rPr>
          <w:rFonts w:ascii="Aptos" w:eastAsia="Calibri" w:hAnsi="Aptos" w:cs="Calibri"/>
          <w:i/>
          <w:iCs/>
          <w:sz w:val="22"/>
          <w:szCs w:val="22"/>
        </w:rPr>
        <w:t>Manuscrito a ser submetido ao periódico Biochemical Engineering Journal (Elsevier).</w:t>
      </w:r>
    </w:p>
    <w:p w:rsidR="00A46610" w:rsidRDefault="00A46610" w:rsidP="009267ED">
      <w:pPr>
        <w:pStyle w:val="Ttulo1"/>
        <w:spacing w:before="200" w:after="200" w:line="276" w:lineRule="auto"/>
        <w:rPr>
          <w:rFonts w:ascii="Aptos" w:eastAsia="Calibri" w:hAnsi="Aptos" w:cs="Calibri"/>
          <w:b/>
          <w:bCs/>
          <w:color w:val="000000" w:themeColor="text1"/>
        </w:rPr>
      </w:pPr>
    </w:p>
    <w:p w:rsidR="00EA2FE1" w:rsidRPr="00352BB0" w:rsidRDefault="00685BE1" w:rsidP="009267ED">
      <w:pPr>
        <w:pStyle w:val="Ttulo1"/>
        <w:spacing w:before="200" w:after="200" w:line="276" w:lineRule="auto"/>
        <w:rPr>
          <w:rFonts w:ascii="Aptos" w:hAnsi="Aptos"/>
          <w:color w:val="000000" w:themeColor="text1"/>
        </w:rPr>
      </w:pPr>
      <w:r>
        <w:rPr>
          <w:rFonts w:ascii="Aptos" w:eastAsia="Calibri" w:hAnsi="Aptos" w:cs="Calibri"/>
          <w:b/>
          <w:bCs/>
          <w:color w:val="000000" w:themeColor="text1"/>
        </w:rPr>
        <w:t>Resumo</w:t>
      </w:r>
    </w:p>
    <w:p w:rsidR="00726942" w:rsidRPr="00726942" w:rsidRDefault="00685BE1" w:rsidP="00726942">
      <w:pPr>
        <w:spacing w:after="200" w:line="276" w:lineRule="auto"/>
        <w:jc w:val="both"/>
        <w:rPr>
          <w:rFonts w:ascii="Aptos" w:eastAsia="Calibri" w:hAnsi="Aptos" w:cs="Calibri"/>
        </w:rPr>
      </w:pPr>
      <w:r>
        <w:rPr>
          <w:rFonts w:ascii="Aptos" w:eastAsia="Calibri" w:hAnsi="Aptos" w:cs="Calibri"/>
          <w:color w:val="000000" w:themeColor="text1"/>
        </w:rPr>
        <w:t xml:space="preserve">A otimização de bioprocessos em escala laboratorial frequentemente depende de experimentos planejados com amostras muito pequenas devido a restrições de custo e tempo. Conjuntos de dados fatoriais oferecem alta validade interna e interpretabilidade mecanística, mas são estatisticamente frágeis para modelagem preditiva, quantificação de incertezas e análise de sensibilidade. Testamos se a expansão de dados sintéticos tabulares pode complementar um pequeno conjunto de dados em escala laboratorial sobre a produção de bioemulsificante/biossurfactante por Candida lipolytica UCP 988 — usando a tensão superficial (mN/m) como resposta primária — </w:t>
      </w:r>
      <w:r>
        <w:rPr>
          <w:rStyle w:val="ng-star-inserted"/>
          <w:rFonts w:ascii="Aptos" w:hAnsi="Aptos"/>
          <w:color w:val="303030"/>
          <w:shd w:val="clear" w:color="auto" w:fill="FFFFFF"/>
        </w:rPr>
        <w:t xml:space="preserve">em escala laboratorial (</w:t>
      </w:r>
      <w:r>
        <w:rPr>
          <w:rStyle w:val="mord"/>
          <w:rFonts w:ascii="Aptos" w:hAnsi="Aptos"/>
          <w:i/>
          <w:iCs/>
          <w:color w:val="303030"/>
          <w:shd w:val="clear" w:color="auto" w:fill="FFFFFF"/>
        </w:rPr>
        <w:t>n</w:t>
      </w:r>
      <w:r>
        <w:rPr>
          <w:rStyle w:val="mrel"/>
          <w:rFonts w:ascii="Aptos" w:hAnsi="Aptos"/>
          <w:color w:val="303030"/>
          <w:shd w:val="clear" w:color="auto" w:fill="FFFFFF"/>
        </w:rPr>
        <w:t>=</w:t>
      </w:r>
      <w:r>
        <w:rPr>
          <w:rStyle w:val="mord"/>
          <w:rFonts w:ascii="Aptos" w:hAnsi="Aptos"/>
          <w:color w:val="303030"/>
          <w:shd w:val="clear" w:color="auto" w:fill="FFFFFF"/>
        </w:rPr>
        <w:t>20</w:t>
      </w:r>
      <w:r>
        <w:rPr>
          <w:rStyle w:val="ng-star-inserted"/>
          <w:rFonts w:ascii="Aptos" w:hAnsi="Aptos"/>
          <w:color w:val="303030"/>
          <w:shd w:val="clear" w:color="auto" w:fill="FFFFFF"/>
        </w:rPr>
        <w:t xml:space="preserve">) enfrenta a fragilidade estatística para modelagem preditiva. Investigamos a expansão sintética de dados de </w:t>
      </w:r>
      <w:r>
        <w:rPr>
          <w:rFonts w:ascii="Aptos" w:hAnsi="Aptos"/>
          <w:i/>
          <w:iCs/>
          <w:color w:val="303030"/>
          <w:shd w:val="clear" w:color="auto" w:fill="FFFFFF"/>
        </w:rPr>
        <w:t>Candida lipolytica</w:t>
      </w:r>
      <w:r>
        <w:rPr>
          <w:rStyle w:val="ng-star-inserted"/>
          <w:rFonts w:ascii="Aptos" w:hAnsi="Aptos"/>
          <w:color w:val="303030"/>
          <w:shd w:val="clear" w:color="auto" w:fill="FFFFFF"/>
        </w:rPr>
        <w:t xml:space="preserve"> UCP 988 usando quatro geradores: </w:t>
      </w:r>
      <w:r>
        <w:rPr>
          <w:rFonts w:ascii="Aptos" w:hAnsi="Aptos"/>
          <w:b/>
          <w:bCs/>
          <w:color w:val="303030"/>
          <w:shd w:val="clear" w:color="auto" w:fill="FFFFFF"/>
        </w:rPr>
        <w:t>Gaussian Copula, CTGAN, TVAE e TabDDPM</w:t>
      </w:r>
      <w:r>
        <w:rPr>
          <w:rStyle w:val="ng-star-inserted"/>
          <w:rFonts w:ascii="Aptos" w:hAnsi="Aptos"/>
          <w:color w:val="303030"/>
          <w:shd w:val="clear" w:color="auto" w:fill="FFFFFF"/>
        </w:rPr>
        <w:t xml:space="preserve">. Implementamos o protocolo </w:t>
      </w:r>
      <w:r>
        <w:rPr>
          <w:rFonts w:ascii="Aptos" w:hAnsi="Aptos"/>
          <w:b/>
          <w:bCs/>
          <w:color w:val="303030"/>
          <w:shd w:val="clear" w:color="auto" w:fill="FFFFFF"/>
        </w:rPr>
        <w:t>PEERFIX2</w:t>
      </w:r>
      <w:r>
        <w:rPr>
          <w:rStyle w:val="ng-star-inserted"/>
          <w:rFonts w:ascii="Aptos" w:hAnsi="Aptos"/>
          <w:color w:val="303030"/>
          <w:shd w:val="clear" w:color="auto" w:fill="FFFFFF"/>
        </w:rPr>
        <w:t xml:space="preserve">, utilizando </w:t>
      </w:r>
      <w:r>
        <w:rPr>
          <w:rFonts w:ascii="Aptos" w:hAnsi="Aptos"/>
          <w:b/>
          <w:bCs/>
          <w:color w:val="303030"/>
          <w:shd w:val="clear" w:color="auto" w:fill="FFFFFF"/>
        </w:rPr>
        <w:t>LOOCV</w:t>
      </w:r>
      <w:r>
        <w:rPr>
          <w:rStyle w:val="ng-star-inserted"/>
          <w:rFonts w:ascii="Aptos" w:hAnsi="Aptos"/>
          <w:color w:val="303030"/>
          <w:shd w:val="clear" w:color="auto" w:fill="FFFFFF"/>
        </w:rPr>
        <w:t xml:space="preserve"> estrito para garantir a ausência de vazamento de informações (</w:t>
      </w:r>
      <w:r>
        <w:rPr>
          <w:rFonts w:ascii="Aptos" w:hAnsi="Aptos"/>
          <w:i/>
          <w:iCs/>
          <w:color w:val="303030"/>
          <w:shd w:val="clear" w:color="auto" w:fill="FFFFFF"/>
        </w:rPr>
        <w:t>no-leakage</w:t>
      </w:r>
      <w:r>
        <w:rPr>
          <w:rStyle w:val="ng-star-inserted"/>
          <w:rFonts w:ascii="Aptos" w:hAnsi="Aptos"/>
          <w:color w:val="303030"/>
          <w:shd w:val="clear" w:color="auto" w:fill="FFFFFF"/>
        </w:rPr>
        <w:t>) na avaliação de utilidade (</w:t>
      </w:r>
      <w:r>
        <w:rPr>
          <w:rFonts w:ascii="Aptos" w:hAnsi="Aptos"/>
          <w:b/>
          <w:bCs/>
          <w:color w:val="303030"/>
          <w:shd w:val="clear" w:color="auto" w:fill="FFFFFF"/>
        </w:rPr>
        <w:t>TSTR</w:t>
      </w:r>
      <w:r>
        <w:rPr>
          <w:rStyle w:val="ng-star-inserted"/>
          <w:rFonts w:ascii="Aptos" w:hAnsi="Aptos"/>
          <w:color w:val="303030"/>
          <w:shd w:val="clear" w:color="auto" w:fill="FFFFFF"/>
        </w:rPr>
        <w:t xml:space="preserve">). Introduzimos o </w:t>
      </w:r>
      <w:r>
        <w:rPr>
          <w:rFonts w:ascii="Aptos" w:hAnsi="Aptos"/>
          <w:b/>
          <w:bCs/>
          <w:color w:val="303030"/>
          <w:shd w:val="clear" w:color="auto" w:fill="FFFFFF"/>
        </w:rPr>
        <w:t>Índice de Concordância Fundamentado no Domínio (ICD)</w:t>
      </w:r>
      <w:r>
        <w:rPr>
          <w:rStyle w:val="ng-star-inserted"/>
          <w:rFonts w:ascii="Aptos" w:hAnsi="Aptos"/>
          <w:color w:val="303030"/>
          <w:shd w:val="clear" w:color="auto" w:fill="FFFFFF"/>
        </w:rPr>
        <w:t xml:space="preserve">, agregado com </w:t>
      </w:r>
      <w:r>
        <w:rPr>
          <w:rFonts w:ascii="Aptos" w:hAnsi="Aptos"/>
          <w:b/>
          <w:bCs/>
          <w:color w:val="303030"/>
          <w:shd w:val="clear" w:color="auto" w:fill="FFFFFF"/>
        </w:rPr>
        <w:t>IC de 95%</w:t>
      </w:r>
      <w:r>
        <w:rPr>
          <w:rStyle w:val="ng-star-inserted"/>
          <w:rFonts w:ascii="Aptos" w:hAnsi="Aptos"/>
          <w:color w:val="303030"/>
          <w:shd w:val="clear" w:color="auto" w:fill="FFFFFF"/>
        </w:rPr>
        <w:t xml:space="preserve">, para validar a preservação dos efeitos fatoriais reais. Os resultados revelam uma tensão fundamental: o </w:t>
      </w:r>
      <w:r>
        <w:rPr>
          <w:rFonts w:ascii="Aptos" w:hAnsi="Aptos"/>
          <w:b/>
          <w:bCs/>
          <w:color w:val="303030"/>
          <w:shd w:val="clear" w:color="auto" w:fill="FFFFFF"/>
        </w:rPr>
        <w:t>CTGAN</w:t>
      </w:r>
      <w:r>
        <w:rPr>
          <w:rStyle w:val="ng-star-inserted"/>
          <w:rFonts w:ascii="Aptos" w:hAnsi="Aptos"/>
          <w:color w:val="303030"/>
          <w:shd w:val="clear" w:color="auto" w:fill="FFFFFF"/>
        </w:rPr>
        <w:t xml:space="preserve"> apresentou a única utilidade positiva (pico de </w:t>
      </w:r>
      <w:r>
        <w:rPr>
          <w:rStyle w:val="mord"/>
          <w:rFonts w:ascii="Aptos" w:hAnsi="Aptos"/>
          <w:color w:val="303030"/>
          <w:shd w:val="clear" w:color="auto" w:fill="FFFFFF"/>
        </w:rPr>
        <w:t>0</w:t>
      </w:r>
      <w:r>
        <w:rPr>
          <w:rStyle w:val="mpunct"/>
          <w:rFonts w:ascii="Aptos" w:hAnsi="Aptos"/>
          <w:color w:val="303030"/>
          <w:shd w:val="clear" w:color="auto" w:fill="FFFFFF"/>
        </w:rPr>
        <w:t>,</w:t>
      </w:r>
      <w:r>
        <w:rPr>
          <w:rStyle w:val="mord"/>
          <w:rFonts w:ascii="Aptos" w:hAnsi="Aptos"/>
          <w:color w:val="303030"/>
          <w:shd w:val="clear" w:color="auto" w:fill="FFFFFF"/>
        </w:rPr>
        <w:t>16</w:t>
      </w:r>
      <w:r>
        <w:rPr>
          <w:rStyle w:val="ng-star-inserted"/>
          <w:rFonts w:ascii="Aptos" w:hAnsi="Aptos"/>
          <w:color w:val="303030"/>
          <w:shd w:val="clear" w:color="auto" w:fill="FFFFFF"/>
        </w:rPr>
        <w:t>), mas o pior desempenho no ICD (</w:t>
      </w:r>
      <w:r>
        <w:rPr>
          <w:rStyle w:val="mord"/>
          <w:rFonts w:ascii="Aptos" w:hAnsi="Aptos"/>
          <w:color w:val="303030"/>
          <w:shd w:val="clear" w:color="auto" w:fill="FFFFFF"/>
        </w:rPr>
        <w:t>0</w:t>
      </w:r>
      <w:r>
        <w:rPr>
          <w:rStyle w:val="mpunct"/>
          <w:rFonts w:ascii="Aptos" w:hAnsi="Aptos"/>
          <w:color w:val="303030"/>
          <w:shd w:val="clear" w:color="auto" w:fill="FFFFFF"/>
        </w:rPr>
        <w:t>,</w:t>
      </w:r>
      <w:r>
        <w:rPr>
          <w:rStyle w:val="mord"/>
          <w:rFonts w:ascii="Aptos" w:hAnsi="Aptos"/>
          <w:color w:val="303030"/>
          <w:shd w:val="clear" w:color="auto" w:fill="FFFFFF"/>
        </w:rPr>
        <w:t>16</w:t>
      </w:r>
      <w:r>
        <w:rPr>
          <w:rStyle w:val="ng-star-inserted"/>
          <w:rFonts w:ascii="Aptos" w:hAnsi="Aptos"/>
          <w:color w:val="303030"/>
          <w:shd w:val="clear" w:color="auto" w:fill="FFFFFF"/>
        </w:rPr>
        <w:t xml:space="preserve">); inversamente, o </w:t>
      </w:r>
      <w:r>
        <w:rPr>
          <w:rFonts w:ascii="Aptos" w:hAnsi="Aptos"/>
          <w:b/>
          <w:bCs/>
          <w:color w:val="303030"/>
          <w:shd w:val="clear" w:color="auto" w:fill="FFFFFF"/>
        </w:rPr>
        <w:t>TVAE</w:t>
      </w:r>
      <w:r>
        <w:rPr>
          <w:rStyle w:val="ng-star-inserted"/>
          <w:rFonts w:ascii="Aptos" w:hAnsi="Aptos"/>
          <w:color w:val="303030"/>
          <w:shd w:val="clear" w:color="auto" w:fill="FFFFFF"/>
        </w:rPr>
        <w:t xml:space="preserve"> liderou a concordância científica (</w:t>
      </w:r>
      <w:r>
        <w:rPr>
          <w:rStyle w:val="mord"/>
          <w:rFonts w:ascii="Aptos" w:hAnsi="Aptos"/>
          <w:i/>
          <w:iCs/>
          <w:color w:val="303030"/>
          <w:shd w:val="clear" w:color="auto" w:fill="FFFFFF"/>
        </w:rPr>
        <w:t>ICD</w:t>
      </w:r>
      <w:r>
        <w:rPr>
          <w:rStyle w:val="mrel"/>
          <w:rFonts w:ascii="Aptos" w:hAnsi="Aptos"/>
          <w:color w:val="303030"/>
          <w:shd w:val="clear" w:color="auto" w:fill="FFFFFF"/>
        </w:rPr>
        <w:t>=</w:t>
      </w:r>
      <w:r>
        <w:rPr>
          <w:rStyle w:val="mord"/>
          <w:rFonts w:ascii="Aptos" w:hAnsi="Aptos"/>
          <w:color w:val="303030"/>
          <w:shd w:val="clear" w:color="auto" w:fill="FFFFFF"/>
        </w:rPr>
        <w:t>0</w:t>
      </w:r>
      <w:r>
        <w:rPr>
          <w:rStyle w:val="mpunct"/>
          <w:rFonts w:ascii="Aptos" w:hAnsi="Aptos"/>
          <w:color w:val="303030"/>
          <w:shd w:val="clear" w:color="auto" w:fill="FFFFFF"/>
        </w:rPr>
        <w:t>,</w:t>
      </w:r>
      <w:r>
        <w:rPr>
          <w:rStyle w:val="mord"/>
          <w:rFonts w:ascii="Aptos" w:hAnsi="Aptos"/>
          <w:color w:val="303030"/>
          <w:shd w:val="clear" w:color="auto" w:fill="FFFFFF"/>
        </w:rPr>
        <w:t>54</w:t>
      </w:r>
      <w:r>
        <w:rPr>
          <w:rStyle w:val="ng-star-inserted"/>
          <w:rFonts w:ascii="Aptos" w:hAnsi="Aptos"/>
          <w:color w:val="303030"/>
          <w:shd w:val="clear" w:color="auto" w:fill="FFFFFF"/>
        </w:rPr>
        <w:t>), mas com utilidade negativa. Concluímos que a fidelidade estatística e a integridade científica são propriedades dissociadas, exigindo protocolos de validação específicos para regimes de amostras pequenas.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b/>
          <w:i/>
          <w:iCs/>
        </w:rPr>
        <w:t>Palavras-chave:</w:t>
      </w:r>
      <w:r>
        <w:rPr>
          <w:rFonts w:ascii="Aptos" w:eastAsia="Calibri" w:hAnsi="Aptos" w:cs="Calibri"/>
          <w:i/>
          <w:iCs/>
        </w:rPr>
        <w:t xml:space="preserve"> Bioemulsificante; Planejamento fatorial; Modelos de difusão; Treinamento em dados sintéticos seguido de teste em dados reais (TSTR); Validação baseada no domínio; Dados sintéticos de pequena amostra; Candida lipolytica</w:t>
      </w:r>
      <w:r>
        <w:rPr>
          <w:rFonts w:ascii="Aptos" w:eastAsia="Calibri" w:hAnsi="Aptos" w:cs="Calibri"/>
          <w:i/>
          <w:iCs/>
          <w:sz w:val="22"/>
          <w:szCs w:val="22"/>
        </w:rPr>
        <w:t>.</w:t>
      </w:r>
    </w:p>
    <w:p w:rsidR="00352BB0" w:rsidRDefault="00352BB0" w:rsidP="009267ED">
      <w:pPr>
        <w:spacing w:line="276" w:lineRule="auto"/>
        <w:rPr>
          <w:rFonts w:ascii="Aptos" w:hAnsi="Aptos"/>
        </w:rPr>
      </w:pPr>
    </w:p>
    <w:p w:rsidR="00EA2FE1" w:rsidRPr="00352BB0" w:rsidRDefault="00685BE1" w:rsidP="009267ED">
      <w:pPr>
        <w:pStyle w:val="Ttulo1"/>
        <w:spacing w:before="400" w:after="200" w:line="276" w:lineRule="auto"/>
        <w:rPr>
          <w:rFonts w:ascii="Aptos" w:hAnsi="Aptos"/>
          <w:color w:val="000000" w:themeColor="text1"/>
        </w:rPr>
      </w:pPr>
      <w:r>
        <w:rPr>
          <w:rFonts w:ascii="Aptos" w:eastAsia="Calibri" w:hAnsi="Aptos" w:cs="Calibri"/>
          <w:b/>
          <w:bCs/>
          <w:color w:val="000000" w:themeColor="text1"/>
        </w:rPr>
        <w:lastRenderedPageBreak/>
        <w:t>1. Introdução</w:t>
      </w:r>
    </w:p>
    <w:p w:rsidR="006F7F9B" w:rsidRPr="006F7F9B" w:rsidRDefault="006F7F9B" w:rsidP="006F7F9B">
      <w:pPr>
        <w:spacing w:line="276" w:lineRule="auto"/>
        <w:jc w:val="both"/>
        <w:rPr>
          <w:rFonts w:ascii="Aptos" w:hAnsi="Aptos"/>
          <w:color w:val="000000" w:themeColor="text1"/>
          <w:sz w:val="18"/>
          <w:szCs w:val="18"/>
        </w:rPr>
      </w:pPr>
      <w:r>
        <w:rPr>
          <w:rFonts w:ascii="Aptos" w:hAnsi="Aptos"/>
          <w:color w:val="000000" w:themeColor="text1"/>
          <w:sz w:val="18"/>
          <w:szCs w:val="18"/>
        </w:rPr>
        <w:t xml:space="preserve">Os biossurfactantes e bioemulsificantes são biomoléculas anfifílicas com alta capacidade de reduzir a tensão interfacial e estabilizar emulsões, o que viabiliza aplicações críticas em remediação ambiental, recuperação avançada de petróleo e formulações industriais. Entre os produtores promissores, a levedura </w:t>
      </w:r>
      <w:r>
        <w:rPr>
          <w:rFonts w:ascii="Aptos" w:hAnsi="Aptos"/>
          <w:b/>
          <w:bCs/>
          <w:i/>
          <w:iCs/>
          <w:color w:val="000000" w:themeColor="text1"/>
          <w:sz w:val="18"/>
          <w:szCs w:val="18"/>
        </w:rPr>
        <w:t>Candida lipolytica</w:t>
      </w:r>
      <w:r>
        <w:rPr>
          <w:rFonts w:ascii="Aptos" w:hAnsi="Aptos"/>
          <w:b/>
          <w:bCs/>
          <w:color w:val="000000" w:themeColor="text1"/>
          <w:sz w:val="18"/>
          <w:szCs w:val="18"/>
        </w:rPr>
        <w:t xml:space="preserve"> UCP 988</w:t>
      </w:r>
      <w:r>
        <w:rPr>
          <w:rFonts w:ascii="Aptos" w:hAnsi="Aptos"/>
          <w:color w:val="000000" w:themeColor="text1"/>
          <w:sz w:val="18"/>
          <w:szCs w:val="18"/>
        </w:rPr>
        <w:t xml:space="preserve"> destaca-se pela robustez em metabolizar diversas fontes de carbono e tolerar estresses de processo, sendo amplamente caracterizada na biodegradação de óleo diesel em água do mar. Embora a </w:t>
      </w:r>
      <w:r>
        <w:rPr>
          <w:rFonts w:ascii="Aptos" w:hAnsi="Aptos"/>
          <w:b/>
          <w:bCs/>
          <w:color w:val="000000" w:themeColor="text1"/>
          <w:sz w:val="18"/>
          <w:szCs w:val="18"/>
        </w:rPr>
        <w:t>experimentação em escala de bancada</w:t>
      </w:r>
      <w:r>
        <w:rPr>
          <w:rFonts w:ascii="Aptos" w:hAnsi="Aptos"/>
          <w:color w:val="000000" w:themeColor="text1"/>
          <w:sz w:val="18"/>
          <w:szCs w:val="18"/>
        </w:rPr>
        <w:t xml:space="preserve"> continue sendo o pilar fundamental para a otimização de meios e triagem de cepas, o número de ensaios experimentais é rotineiramente limitado por restrições de tempo, custo e capacidade analítica.</w:t>
      </w:r>
    </w:p>
    <w:p w:rsidR="006F7F9B" w:rsidRPr="006F7F9B" w:rsidRDefault="006F7F9B" w:rsidP="006F7F9B">
      <w:pPr>
        <w:spacing w:line="276" w:lineRule="auto"/>
        <w:jc w:val="both"/>
        <w:rPr>
          <w:rFonts w:ascii="Aptos" w:hAnsi="Aptos"/>
          <w:color w:val="000000" w:themeColor="text1"/>
          <w:sz w:val="18"/>
          <w:szCs w:val="18"/>
        </w:rPr>
      </w:pPr>
      <w:r>
        <w:rPr>
          <w:rFonts w:ascii="Aptos" w:hAnsi="Aptos"/>
          <w:color w:val="000000" w:themeColor="text1"/>
          <w:sz w:val="18"/>
          <w:szCs w:val="18"/>
        </w:rPr>
        <w:t>O Planejamento de Experimentos (</w:t>
      </w:r>
      <w:r>
        <w:rPr>
          <w:rFonts w:ascii="Aptos" w:hAnsi="Aptos"/>
          <w:b/>
          <w:bCs/>
          <w:color w:val="000000" w:themeColor="text1"/>
          <w:sz w:val="18"/>
          <w:szCs w:val="18"/>
        </w:rPr>
        <w:t>DOE</w:t>
      </w:r>
      <w:r>
        <w:rPr>
          <w:rFonts w:ascii="Aptos" w:hAnsi="Aptos"/>
          <w:color w:val="000000" w:themeColor="text1"/>
          <w:sz w:val="18"/>
          <w:szCs w:val="18"/>
        </w:rPr>
        <w:t>) mitiga essas limitações ao maximizar a informação extraída por corrida através de combinações controladas de fatores. Contudo, conjuntos de dados fatoriais pequenos (</w:t>
      </w:r>
      <w:r>
        <w:rPr>
          <w:rFonts w:ascii="Aptos" w:hAnsi="Aptos"/>
          <w:i/>
          <w:iCs/>
          <w:color w:val="000000" w:themeColor="text1"/>
          <w:sz w:val="18"/>
          <w:szCs w:val="18"/>
        </w:rPr>
        <w:t>n</w:t>
      </w:r>
      <w:r>
        <w:rPr>
          <w:rFonts w:ascii="Aptos" w:hAnsi="Aptos"/>
          <w:color w:val="000000" w:themeColor="text1"/>
          <w:sz w:val="18"/>
          <w:szCs w:val="18"/>
        </w:rPr>
        <w:t xml:space="preserve">≈20) são </w:t>
      </w:r>
      <w:r>
        <w:rPr>
          <w:rFonts w:ascii="Aptos" w:hAnsi="Aptos"/>
          <w:b/>
          <w:bCs/>
          <w:color w:val="000000" w:themeColor="text1"/>
          <w:sz w:val="18"/>
          <w:szCs w:val="18"/>
        </w:rPr>
        <w:t>estatisticamente frágeis</w:t>
      </w:r>
      <w:r>
        <w:rPr>
          <w:rFonts w:ascii="Aptos" w:hAnsi="Aptos"/>
          <w:color w:val="000000" w:themeColor="text1"/>
          <w:sz w:val="18"/>
          <w:szCs w:val="18"/>
        </w:rPr>
        <w:t xml:space="preserve"> para suportar modelagem preditiva moderna, quantificação de incertezas e análises de sensibilidade robustas. Recentemente, a geração de dados sintéticos tabulares surgiu como uma estratégia para complementar esses conjuntos reduzidos, abrangendo desde modelos de cópulas até abordagens de aprendizado profundo, como redes adversárias generativas (</w:t>
      </w:r>
      <w:r>
        <w:rPr>
          <w:rFonts w:ascii="Aptos" w:hAnsi="Aptos"/>
          <w:b/>
          <w:bCs/>
          <w:color w:val="000000" w:themeColor="text1"/>
          <w:sz w:val="18"/>
          <w:szCs w:val="18"/>
        </w:rPr>
        <w:t>CTGAN</w:t>
      </w:r>
      <w:r>
        <w:rPr>
          <w:rFonts w:ascii="Aptos" w:hAnsi="Aptos"/>
          <w:color w:val="000000" w:themeColor="text1"/>
          <w:sz w:val="18"/>
          <w:szCs w:val="18"/>
        </w:rPr>
        <w:t>), autoencoders variacionais (</w:t>
      </w:r>
      <w:r>
        <w:rPr>
          <w:rFonts w:ascii="Aptos" w:hAnsi="Aptos"/>
          <w:b/>
          <w:bCs/>
          <w:color w:val="000000" w:themeColor="text1"/>
          <w:sz w:val="18"/>
          <w:szCs w:val="18"/>
        </w:rPr>
        <w:t>TVAE</w:t>
      </w:r>
      <w:r>
        <w:rPr>
          <w:rFonts w:ascii="Aptos" w:hAnsi="Aptos"/>
          <w:color w:val="000000" w:themeColor="text1"/>
          <w:sz w:val="18"/>
          <w:szCs w:val="18"/>
        </w:rPr>
        <w:t>) e modelos de difusão (</w:t>
      </w:r>
      <w:r>
        <w:rPr>
          <w:rFonts w:ascii="Aptos" w:hAnsi="Aptos"/>
          <w:b/>
          <w:bCs/>
          <w:color w:val="000000" w:themeColor="text1"/>
          <w:sz w:val="18"/>
          <w:szCs w:val="18"/>
        </w:rPr>
        <w:t>TabDDPM</w:t>
      </w:r>
      <w:r>
        <w:rPr>
          <w:rFonts w:ascii="Aptos" w:hAnsi="Aptos"/>
          <w:color w:val="000000" w:themeColor="text1"/>
          <w:sz w:val="18"/>
          <w:szCs w:val="18"/>
        </w:rPr>
        <w:t>).</w:t>
      </w:r>
    </w:p>
    <w:p w:rsidR="006F7F9B" w:rsidRPr="006F7F9B" w:rsidRDefault="006F7F9B" w:rsidP="006F7F9B">
      <w:pPr>
        <w:spacing w:line="276" w:lineRule="auto"/>
        <w:jc w:val="both"/>
        <w:rPr>
          <w:rFonts w:ascii="Aptos" w:hAnsi="Aptos"/>
          <w:color w:val="000000" w:themeColor="text1"/>
          <w:sz w:val="18"/>
          <w:szCs w:val="18"/>
        </w:rPr>
      </w:pPr>
      <w:r>
        <w:rPr>
          <w:rFonts w:ascii="Aptos" w:hAnsi="Aptos"/>
          <w:color w:val="000000" w:themeColor="text1"/>
          <w:sz w:val="18"/>
          <w:szCs w:val="18"/>
        </w:rPr>
        <w:t>Apesar dos avanços, o comportamento desses geradores em regimes de amostras extremamente baixas permanece incerto, oscilando entre o subajuste (</w:t>
      </w:r>
      <w:r>
        <w:rPr>
          <w:rFonts w:ascii="Aptos" w:hAnsi="Aptos"/>
          <w:i/>
          <w:iCs/>
          <w:color w:val="000000" w:themeColor="text1"/>
          <w:sz w:val="18"/>
          <w:szCs w:val="18"/>
        </w:rPr>
        <w:t>underfitting</w:t>
      </w:r>
      <w:r>
        <w:rPr>
          <w:rFonts w:ascii="Aptos" w:hAnsi="Aptos"/>
          <w:color w:val="000000" w:themeColor="text1"/>
          <w:sz w:val="18"/>
          <w:szCs w:val="18"/>
        </w:rPr>
        <w:t>) e o risco de exposição de dados reais por proximidade (</w:t>
      </w:r>
      <w:r>
        <w:rPr>
          <w:rFonts w:ascii="Aptos" w:hAnsi="Aptos"/>
          <w:i/>
          <w:iCs/>
          <w:color w:val="000000" w:themeColor="text1"/>
          <w:sz w:val="18"/>
          <w:szCs w:val="18"/>
        </w:rPr>
        <w:t>disclosure risk</w:t>
      </w:r>
      <w:r>
        <w:rPr>
          <w:rFonts w:ascii="Aptos" w:hAnsi="Aptos"/>
          <w:color w:val="000000" w:themeColor="text1"/>
          <w:sz w:val="18"/>
          <w:szCs w:val="18"/>
        </w:rPr>
        <w:t xml:space="preserve">). Uma lacuna crítica na literatura é o fato de que a </w:t>
      </w:r>
      <w:r>
        <w:rPr>
          <w:rFonts w:ascii="Aptos" w:hAnsi="Aptos"/>
          <w:b/>
          <w:bCs/>
          <w:color w:val="000000" w:themeColor="text1"/>
          <w:sz w:val="18"/>
          <w:szCs w:val="18"/>
        </w:rPr>
        <w:t>semelhança estatística não garante a fidelidade científica</w:t>
      </w:r>
      <w:r>
        <w:rPr>
          <w:rFonts w:ascii="Aptos" w:hAnsi="Aptos"/>
          <w:color w:val="000000" w:themeColor="text1"/>
          <w:sz w:val="18"/>
          <w:szCs w:val="18"/>
        </w:rPr>
        <w:t>. Um gerador de IA pode reproduzir uma distribuição de probabilidade plausível, mas distorcer as interações fatoriais e os efeitos científicos que justificaram o desenho experimental original. Embora estudos recentes tenham explorado modelos de fundação para predições em dados pequenos, há uma carência de protocolos que validem se a expansão sintética preserva as conclusões mecânicas do experimento de bancada de forma auditável por revisores não especialistas.</w:t>
      </w:r>
    </w:p>
    <w:p w:rsidR="006F7F9B" w:rsidRPr="006F7F9B" w:rsidRDefault="006F7F9B" w:rsidP="006F7F9B">
      <w:pPr>
        <w:spacing w:line="276" w:lineRule="auto"/>
        <w:jc w:val="both"/>
        <w:rPr>
          <w:rFonts w:ascii="Aptos" w:hAnsi="Aptos"/>
          <w:color w:val="000000" w:themeColor="text1"/>
          <w:sz w:val="18"/>
          <w:szCs w:val="18"/>
        </w:rPr>
      </w:pPr>
      <w:r>
        <w:rPr>
          <w:rFonts w:ascii="Aptos" w:hAnsi="Aptos"/>
          <w:color w:val="000000" w:themeColor="text1"/>
          <w:sz w:val="18"/>
          <w:szCs w:val="18"/>
        </w:rPr>
        <w:t xml:space="preserve">Este manuscrito busca preencher essa lacuna ao avaliar se a expansão sintética de um conjunto de dados de </w:t>
      </w:r>
      <w:r>
        <w:rPr>
          <w:rFonts w:ascii="Aptos" w:hAnsi="Aptos"/>
          <w:i/>
          <w:iCs/>
          <w:color w:val="000000" w:themeColor="text1"/>
          <w:sz w:val="18"/>
          <w:szCs w:val="18"/>
        </w:rPr>
        <w:t>Candida lipolytica</w:t>
      </w:r>
      <w:r>
        <w:rPr>
          <w:rFonts w:ascii="Aptos" w:hAnsi="Aptos"/>
          <w:color w:val="000000" w:themeColor="text1"/>
          <w:sz w:val="18"/>
          <w:szCs w:val="18"/>
        </w:rPr>
        <w:t xml:space="preserve"> (</w:t>
      </w:r>
      <w:r>
        <w:rPr>
          <w:rFonts w:ascii="Aptos" w:hAnsi="Aptos"/>
          <w:i/>
          <w:iCs/>
          <w:color w:val="000000" w:themeColor="text1"/>
          <w:sz w:val="18"/>
          <w:szCs w:val="18"/>
        </w:rPr>
        <w:t>n</w:t>
      </w:r>
      <w:r>
        <w:rPr>
          <w:rFonts w:ascii="Aptos" w:hAnsi="Aptos"/>
          <w:color w:val="000000" w:themeColor="text1"/>
          <w:sz w:val="18"/>
          <w:szCs w:val="18"/>
        </w:rPr>
        <w:t xml:space="preserve">=20) pode sustentar análises preditivas mais robustas sem comprometer a integridade dos efeitos fatoriais validados. A principal contribuição é a introdução do </w:t>
      </w:r>
      <w:r>
        <w:rPr>
          <w:rFonts w:ascii="Aptos" w:hAnsi="Aptos"/>
          <w:b/>
          <w:bCs/>
          <w:color w:val="000000" w:themeColor="text1"/>
          <w:sz w:val="18"/>
          <w:szCs w:val="18"/>
        </w:rPr>
        <w:t>Índice de Concordância Baseado no Domínio (ICD)</w:t>
      </w:r>
      <w:r>
        <w:rPr>
          <w:rFonts w:ascii="Aptos" w:hAnsi="Aptos"/>
          <w:color w:val="000000" w:themeColor="text1"/>
          <w:sz w:val="18"/>
          <w:szCs w:val="18"/>
        </w:rPr>
        <w:t>, um protocolo de validação que ancora a credibilidade dos dados sintéticos na preservação do sinal, magnitude e detectabilidade dos efeitos biológicos reais, oferecendo um fluxo de trabalho seguro para a integração de IA em bioprocessos de bancada.</w:t>
      </w:r>
    </w:p>
    <w:p w:rsidR="006F7F9B" w:rsidRPr="006F7F9B" w:rsidRDefault="006F7F9B" w:rsidP="00352BB0">
      <w:pPr>
        <w:spacing w:after="200" w:line="276" w:lineRule="auto"/>
        <w:jc w:val="both"/>
        <w:rPr>
          <w:rFonts w:ascii="Aptos" w:hAnsi="Aptos"/>
          <w:color w:val="000000" w:themeColor="text1"/>
          <w:sz w:val="22"/>
          <w:szCs w:val="22"/>
        </w:rPr>
      </w:pPr>
    </w:p>
    <w:p w:rsidR="00EA2FE1" w:rsidRPr="00352BB0" w:rsidRDefault="00685BE1" w:rsidP="009267ED">
      <w:pPr>
        <w:pStyle w:val="Ttulo2"/>
        <w:spacing w:before="400" w:after="200" w:line="276" w:lineRule="auto"/>
        <w:rPr>
          <w:rFonts w:ascii="Aptos" w:hAnsi="Aptos"/>
          <w:color w:val="000000" w:themeColor="text1"/>
        </w:rPr>
      </w:pPr>
      <w:r>
        <w:rPr>
          <w:rFonts w:ascii="Aptos" w:eastAsia="Calibri" w:hAnsi="Aptos" w:cs="Calibri"/>
          <w:b/>
          <w:bCs/>
          <w:color w:val="000000" w:themeColor="text1"/>
        </w:rPr>
        <w:t>1.1 Objetivos da Pesquisa</w:t>
      </w:r>
    </w:p>
    <w:p w:rsidR="00EA2FE1" w:rsidRPr="00C05C75" w:rsidRDefault="00685BE1" w:rsidP="00352BB0">
      <w:pPr>
        <w:spacing w:after="20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</w:rPr>
        <w:t xml:space="preserve">Avaliamos se a expansão sintética de um conjunto de dados fatoriais em escala laboratorial sobre a produção de bioemulsificante/biossurfactante por Candida lipolytica UCP 988 pode (i) </w:t>
      </w:r>
      <w:r>
        <w:rPr>
          <w:rStyle w:val="ng-star-inserted"/>
          <w:rFonts w:ascii="Aptos" w:hAnsi="Aptos"/>
          <w:color w:val="303030"/>
          <w:shd w:val="clear" w:color="auto" w:fill="FFFFFF"/>
        </w:rPr>
        <w:t xml:space="preserve">Suportar modelos preditivos que o conjunto original não sustenta de forma robusta, sob um protocolo rigoroso de </w:t>
      </w:r>
      <w:r>
        <w:rPr>
          <w:rFonts w:ascii="Aptos" w:hAnsi="Aptos"/>
          <w:b/>
          <w:bCs/>
          <w:color w:val="303030"/>
          <w:shd w:val="clear" w:color="auto" w:fill="FFFFFF"/>
        </w:rPr>
        <w:t>validação cruzada sem vazamento;</w:t>
      </w:r>
      <w:r>
        <w:rPr>
          <w:rFonts w:ascii="Aptos" w:eastAsia="Calibri" w:hAnsi="Aptos" w:cs="Calibri"/>
        </w:rPr>
        <w:t xml:space="preserve"> (ii) </w:t>
      </w:r>
      <w:r>
        <w:rPr>
          <w:rStyle w:val="ng-star-inserted"/>
          <w:rFonts w:ascii="Aptos" w:hAnsi="Aptos"/>
          <w:color w:val="303030"/>
          <w:shd w:val="clear" w:color="auto" w:fill="FFFFFF"/>
        </w:rPr>
        <w:t xml:space="preserve">Preservar a </w:t>
      </w:r>
      <w:r>
        <w:rPr>
          <w:rFonts w:ascii="Aptos" w:hAnsi="Aptos"/>
          <w:b/>
          <w:bCs/>
          <w:color w:val="303030"/>
          <w:shd w:val="clear" w:color="auto" w:fill="FFFFFF"/>
        </w:rPr>
        <w:t>verdade fundamental científica</w:t>
      </w:r>
      <w:r>
        <w:rPr>
          <w:rStyle w:val="ng-star-inserted"/>
          <w:rFonts w:ascii="Aptos" w:hAnsi="Aptos"/>
          <w:color w:val="303030"/>
          <w:shd w:val="clear" w:color="auto" w:fill="FFFFFF"/>
        </w:rPr>
        <w:t xml:space="preserve"> (efeitos de fosfato de potássio e interação ureia × sulfato de amônio) estabelecida pela análise experimental independente; (iii) Propor um fluxo de trabalho auditável que quantifique o risco de proximidade (</w:t>
      </w:r>
      <w:r>
        <w:rPr>
          <w:rFonts w:ascii="Aptos" w:hAnsi="Aptos"/>
          <w:b/>
          <w:bCs/>
          <w:color w:val="303030"/>
          <w:shd w:val="clear" w:color="auto" w:fill="FFFFFF"/>
        </w:rPr>
        <w:t>DCR</w:t>
      </w:r>
      <w:r>
        <w:rPr>
          <w:rStyle w:val="ng-star-inserted"/>
          <w:rFonts w:ascii="Aptos" w:hAnsi="Aptos"/>
          <w:color w:val="303030"/>
          <w:shd w:val="clear" w:color="auto" w:fill="FFFFFF"/>
        </w:rPr>
        <w:t>) e a sensibilidade das métricas às escolhas de implementação</w:t>
      </w:r>
      <w:r>
        <w:rPr>
          <w:rFonts w:ascii="Aptos" w:eastAsia="Calibri" w:hAnsi="Aptos" w:cs="Calibri"/>
        </w:rPr>
        <w:t>.</w:t>
      </w:r>
    </w:p>
    <w:p w:rsidR="00EA2FE1" w:rsidRPr="00352BB0" w:rsidRDefault="00685BE1" w:rsidP="009267ED">
      <w:pPr>
        <w:pStyle w:val="Ttulo2"/>
        <w:spacing w:before="400" w:after="200" w:line="276" w:lineRule="auto"/>
        <w:rPr>
          <w:rFonts w:ascii="Aptos" w:hAnsi="Aptos"/>
          <w:color w:val="000000" w:themeColor="text1"/>
        </w:rPr>
      </w:pPr>
      <w:r>
        <w:rPr>
          <w:rFonts w:ascii="Aptos" w:eastAsia="Calibri" w:hAnsi="Aptos" w:cs="Calibri"/>
          <w:b/>
          <w:bCs/>
          <w:color w:val="000000" w:themeColor="text1"/>
        </w:rPr>
        <w:t>1.2 Contribuições</w:t>
      </w:r>
    </w:p>
    <w:p w:rsidR="00EA2FE1" w:rsidRPr="001E62FC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  <w:color w:val="FF0000"/>
          <w:sz w:val="18"/>
          <w:szCs w:val="18"/>
        </w:rPr>
      </w:pPr>
      <w:r>
        <w:rPr>
          <w:rFonts w:ascii="Aptos" w:eastAsia="Calibri" w:hAnsi="Aptos" w:cs="Calibri"/>
          <w:color w:val="FF0000"/>
          <w:sz w:val="18"/>
          <w:szCs w:val="18"/>
        </w:rPr>
        <w:t>Um método reproduzível de avaliação de fidelidade-utilidade-risco, adaptado a experimentos reais em escala laboratorial com um número extremamente pequeno de amostras (n=20).</w:t>
      </w:r>
    </w:p>
    <w:p w:rsidR="00EA2FE1" w:rsidRPr="001E62FC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  <w:color w:val="FF0000"/>
          <w:sz w:val="18"/>
          <w:szCs w:val="18"/>
        </w:rPr>
      </w:pPr>
      <w:r>
        <w:rPr>
          <w:rFonts w:ascii="Aptos" w:eastAsia="Calibri" w:hAnsi="Aptos" w:cs="Calibri"/>
          <w:color w:val="FF0000"/>
          <w:sz w:val="18"/>
          <w:szCs w:val="18"/>
        </w:rPr>
        <w:t>Uma comparação empírica de quatro geradores modernos de dados sintéticos tabulares sob um regime de planejamento de experimentos (DOE) relevante para a otimização de bioprocessos, incluindo uma análise de sensibilidade explícita sob pequena perturbação aditiva.</w:t>
      </w:r>
    </w:p>
    <w:p w:rsidR="00EA2FE1" w:rsidRPr="001E62FC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  <w:color w:val="FF0000"/>
          <w:sz w:val="18"/>
          <w:szCs w:val="18"/>
        </w:rPr>
      </w:pPr>
      <w:r>
        <w:rPr>
          <w:rFonts w:ascii="Aptos" w:eastAsia="Calibri" w:hAnsi="Aptos" w:cs="Calibri"/>
          <w:color w:val="FF0000"/>
          <w:sz w:val="18"/>
          <w:szCs w:val="18"/>
        </w:rPr>
        <w:t>Um Índice de Concordância Fundamentado no Domínio (ICD, na sigla em inglês) que valida dados sintéticos em relação a efeitos fatoriais já estabelecidos por análises experimentais independentes (sinal, magnitude e detectabilidade estatística de cada efeito conhecido), em vez de se basear apenas em métricas genéricas de fidelidade distribucional.</w:t>
      </w:r>
    </w:p>
    <w:p w:rsidR="00EA2FE1" w:rsidRPr="001E62FC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  <w:color w:val="FF0000"/>
          <w:sz w:val="18"/>
          <w:szCs w:val="18"/>
        </w:rPr>
      </w:pPr>
      <w:r>
        <w:rPr>
          <w:rFonts w:ascii="Aptos" w:eastAsia="Calibri" w:hAnsi="Aptos" w:cs="Calibri"/>
          <w:color w:val="FF0000"/>
          <w:sz w:val="18"/>
          <w:szCs w:val="18"/>
        </w:rPr>
        <w:t>Orientações práticas para usar a expansão sintética como um complemento — e não um substituto — ao planejamento de experimentos em escala de bancada, incluindo considerações de pós-processamento com foco na mitigação de riscos.</w:t>
      </w:r>
    </w:p>
    <w:p w:rsidR="00EA2FE1" w:rsidRPr="001E62FC" w:rsidRDefault="00685BE1" w:rsidP="00352BB0">
      <w:pPr>
        <w:spacing w:after="200" w:line="276" w:lineRule="auto"/>
        <w:jc w:val="both"/>
        <w:rPr>
          <w:rFonts w:ascii="Aptos" w:hAnsi="Aptos"/>
          <w:color w:val="FF0000"/>
          <w:sz w:val="18"/>
          <w:szCs w:val="18"/>
        </w:rPr>
      </w:pPr>
      <w:r>
        <w:rPr>
          <w:rFonts w:ascii="Aptos" w:eastAsia="Calibri" w:hAnsi="Aptos" w:cs="Calibri"/>
          <w:color w:val="FF0000"/>
          <w:sz w:val="18"/>
          <w:szCs w:val="18"/>
        </w:rPr>
        <w:lastRenderedPageBreak/>
        <w:t xml:space="preserve">Observamos ao longo do texto que métricas de proximidade, como o DCR, são diagnósticos convenientes, mas não substituem avaliações de privacidade baseadas em ataques (por exemplo, inferência de associação; Shokri et al., 2017; Yao et al., 2025); uma análise dedicada à inferência de associação é identificada como trabalho futuro na Seção 4.3, em vez de ser relatada aqui.</w:t>
      </w:r>
    </w:p>
    <w:p w:rsidR="00352BB0" w:rsidRDefault="00352BB0" w:rsidP="009267ED">
      <w:pPr>
        <w:spacing w:line="276" w:lineRule="auto"/>
        <w:rPr>
          <w:rFonts w:ascii="Aptos" w:hAnsi="Aptos"/>
        </w:rPr>
      </w:pPr>
    </w:p>
    <w:p w:rsidR="00EA2FE1" w:rsidRPr="00352BB0" w:rsidRDefault="00685BE1" w:rsidP="009267ED">
      <w:pPr>
        <w:pStyle w:val="Ttulo1"/>
        <w:spacing w:before="400" w:after="200" w:line="276" w:lineRule="auto"/>
        <w:rPr>
          <w:rFonts w:ascii="Aptos" w:hAnsi="Aptos"/>
          <w:color w:val="000000" w:themeColor="text1"/>
        </w:rPr>
      </w:pPr>
      <w:r>
        <w:rPr>
          <w:rFonts w:ascii="Aptos" w:eastAsia="Calibri" w:hAnsi="Aptos" w:cs="Calibri"/>
          <w:b/>
          <w:bCs/>
          <w:color w:val="000000" w:themeColor="text1"/>
        </w:rPr>
        <w:t>2. Materiais e Métodos</w:t>
      </w:r>
    </w:p>
    <w:p w:rsidR="00EA2FE1" w:rsidRPr="00352BB0" w:rsidRDefault="00685BE1" w:rsidP="009267ED">
      <w:pPr>
        <w:pStyle w:val="Ttulo2"/>
        <w:spacing w:before="400" w:after="200" w:line="276" w:lineRule="auto"/>
        <w:rPr>
          <w:rFonts w:ascii="Aptos" w:hAnsi="Aptos"/>
          <w:color w:val="000000" w:themeColor="text1"/>
        </w:rPr>
      </w:pPr>
      <w:r>
        <w:rPr>
          <w:rFonts w:ascii="Aptos" w:eastAsia="Calibri" w:hAnsi="Aptos" w:cs="Calibri"/>
          <w:b/>
          <w:bCs/>
          <w:color w:val="000000" w:themeColor="text1"/>
        </w:rPr>
        <w:t>2.1 Conjunto de dados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>O conjunto de dados real é um projeto fatorial completo 2⁴ com réplicas no ponto central (n=20 execuções), que estuda os efeitos da composição de nutrientes e da salinidade no desempenho de bioemulsificantes/biossurfactantes por Candida lipolytica UCP 988 (cepa do banco de culturas UNICAP), fermentada a 28 °C, 150 rpm, durante 168 h em meio à base de água do mar com 5% de óleo diesel (v/v).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>Variáveis de entrada (fatores):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>Concentração de água do mar: 0%, 50%, 100% (v/v)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>Ureia: 0%, 0,25%, 0,5% (p/v)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>Sulfato de amônio: 0,2%, 0,4%, 0,6% (p/v)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>Fosfato monobásico de potássio (KH₂PO₄): 0,5%, 1,0%, 1,5% (p/v)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>Variáveis de resposta: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>Primário: tensão superficial, 42,22–53,57 mN/m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 xml:space="preserve">Secundária: atividade emulsificante para água em óleo de milho (5,37–6,00 UAE), água em hexadecano (0–4,69 UAE), água em óleo diesel (0–3,82 UAE)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 xml:space="preserve">A análise experimental original (Souza, 2015) apresenta duas análises fatoriais separadas para este delineamento experimental — uma para atividade emulsificante (AEM) e outra para tensão superficial (TS) — e seus efeitos significativos não coincidem. Para AEM, ureia e sulfato de amônio apresentam efeitos principais positivos significativos, água do mar e fosfato de potássio apresentam efeitos principais negativos significativos, e três interações de dois fatores (sulfato de amônio × fosfato de potássio, água do mar × sulfato de amônio, ureia × fosfato de potássio) são significativas e positivas. Para TS — a variável resposta efetivamente modelada neste estudo — a análise original apresenta uma estrutura consideravelmente mais esparsa: apenas o efeito principal do fosfato de potássio é estatisticamente significativo (pequeno efeito negativo sobre TS); a interação ureia × sulfato de amônio apresenta um efeito negativo de magnitude comparável, que a análise original caracteriza como não atingindo significância estatística; nenhum outro efeito principal, interação ou termo de curvatura é significativo para TS. Essa distinção é importante porque um exercício de validação de dados sintéticos deve estar ancorado nos efeitos estabelecidos para a variável que ele realmente modela (TS), e não na estrutura de efeitos mais bem populada, porém distinta, do AEM. Reajustamos independentemente o </w:t>
        <w:lastRenderedPageBreak/>
        <w:t>modelo fatorial codificado (Seção 2.7) aos dados reais de TS e confirmamos esse padrão: o fosfato de potássio (coeficiente ≈ −1,92, p ≈ 0,030) é o único efeito significativo inequívoco, com a interação ureia × sulfato de amônio (coeficiente ≈ −1,89, p ≈ 0,032) como um efeito secundário limítrofe. Esses dois termos — e não os quatro originalmente listados para emulsificação em uma versão anterior deste manuscrito — constituem a verdade fundamental externa usada pelo Índice de Concordância Fundamentado no Domínio, descrito na Seção 2.7.</w:t>
      </w:r>
    </w:p>
    <w:p w:rsidR="00EA2FE1" w:rsidRPr="00352BB0" w:rsidRDefault="00685BE1" w:rsidP="009267ED">
      <w:pPr>
        <w:pStyle w:val="Ttulo2"/>
        <w:spacing w:before="400" w:after="200" w:line="276" w:lineRule="auto"/>
        <w:rPr>
          <w:rFonts w:ascii="Aptos" w:hAnsi="Aptos"/>
          <w:color w:val="000000" w:themeColor="text1"/>
        </w:rPr>
      </w:pPr>
      <w:r>
        <w:rPr>
          <w:rFonts w:ascii="Aptos" w:eastAsia="Calibri" w:hAnsi="Aptos" w:cs="Calibri"/>
          <w:b/>
          <w:bCs/>
          <w:color w:val="000000" w:themeColor="text1"/>
        </w:rPr>
        <w:t>2.2 Ambiente Computacional e Reprodutibilidade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>O pipeline foi implementado em Python 3.11, utilizando SDV (GaussianCopula/CTGAN/TVAE), PyTorch (TabDDPM) e scikit-learn (regressão linear, floresta aleatória, MLP, gradient boosting) como dependências principais, com Matplotlib/Seaborn para visualização. A reprodutibilidade depende de uma semente aleatória fixa (123, registrada em experiment_config.json). O código e os dados serão disponibilizados após a aceitação do estudo.</w:t>
      </w:r>
    </w:p>
    <w:p w:rsidR="00EA2FE1" w:rsidRPr="00352BB0" w:rsidRDefault="00685BE1" w:rsidP="009267ED">
      <w:pPr>
        <w:pStyle w:val="Ttulo2"/>
        <w:spacing w:before="400" w:after="200" w:line="276" w:lineRule="auto"/>
        <w:rPr>
          <w:rFonts w:ascii="Aptos" w:hAnsi="Aptos"/>
          <w:color w:val="000000" w:themeColor="text1"/>
        </w:rPr>
      </w:pPr>
      <w:r>
        <w:rPr>
          <w:rFonts w:ascii="Aptos" w:eastAsia="Calibri" w:hAnsi="Aptos" w:cs="Calibri"/>
          <w:b/>
          <w:bCs/>
          <w:color w:val="000000" w:themeColor="text1"/>
        </w:rPr>
        <w:t>2.3 Pipeline de Geração de Dados Sintéticos</w:t>
      </w:r>
    </w:p>
    <w:p w:rsidR="00C05C75" w:rsidRPr="00C05C75" w:rsidRDefault="00C05C75" w:rsidP="00352BB0">
      <w:pPr>
        <w:spacing w:after="200" w:line="276" w:lineRule="auto"/>
        <w:jc w:val="both"/>
        <w:rPr>
          <w:rFonts w:ascii="Aptos" w:eastAsia="Calibri" w:hAnsi="Aptos" w:cs="Calibri"/>
          <w:sz w:val="22"/>
          <w:szCs w:val="22"/>
        </w:rPr>
      </w:pPr>
      <w:r>
        <w:rPr>
          <w:rStyle w:val="ng-star-inserted"/>
          <w:rFonts w:ascii="Aptos" w:hAnsi="Aptos"/>
          <w:color w:val="303030"/>
          <w:sz w:val="22"/>
          <w:szCs w:val="22"/>
          <w:shd w:val="clear" w:color="auto" w:fill="FFFFFF"/>
        </w:rPr>
        <w:t xml:space="preserve">O pipeline computacional final (</w:t>
      </w:r>
      <w:r>
        <w:rPr>
          <w:rFonts w:ascii="Aptos" w:hAnsi="Aptos"/>
          <w:b/>
          <w:bCs/>
          <w:color w:val="303030"/>
          <w:sz w:val="22"/>
          <w:szCs w:val="22"/>
          <w:shd w:val="clear" w:color="auto" w:fill="FFFFFF"/>
        </w:rPr>
        <w:t>PEERFIX2</w:t>
      </w:r>
      <w:r>
        <w:rPr>
          <w:rStyle w:val="ng-star-inserted"/>
          <w:rFonts w:ascii="Aptos" w:hAnsi="Aptos"/>
          <w:color w:val="303030"/>
          <w:sz w:val="22"/>
          <w:szCs w:val="22"/>
          <w:shd w:val="clear" w:color="auto" w:fill="FFFFFF"/>
        </w:rPr>
        <w:t xml:space="preserve">) foi executado em 60 iterações totais, integrando o cenário de linha de base e de sensibilidade (1% de ruído). Para mitigar a volatilidade em </w:t>
      </w:r>
      <w:r>
        <w:rPr>
          <w:rStyle w:val="mord"/>
          <w:rFonts w:ascii="Aptos" w:hAnsi="Aptos"/>
          <w:i/>
          <w:iCs/>
          <w:color w:val="303030"/>
          <w:sz w:val="22"/>
          <w:szCs w:val="22"/>
          <w:shd w:val="clear" w:color="auto" w:fill="FFFFFF"/>
        </w:rPr>
        <w:t>n</w:t>
      </w:r>
      <w:r>
        <w:rPr>
          <w:rStyle w:val="mrel"/>
          <w:rFonts w:ascii="Aptos" w:hAnsi="Aptos"/>
          <w:color w:val="303030"/>
          <w:sz w:val="22"/>
          <w:szCs w:val="22"/>
          <w:shd w:val="clear" w:color="auto" w:fill="FFFFFF"/>
        </w:rPr>
        <w:t>=</w:t>
      </w:r>
      <w:r>
        <w:rPr>
          <w:rStyle w:val="mord"/>
          <w:rFonts w:ascii="Aptos" w:hAnsi="Aptos"/>
          <w:color w:val="303030"/>
          <w:sz w:val="22"/>
          <w:szCs w:val="22"/>
          <w:shd w:val="clear" w:color="auto" w:fill="FFFFFF"/>
        </w:rPr>
        <w:t>20</w:t>
      </w:r>
      <w:r>
        <w:rPr>
          <w:rStyle w:val="ng-star-inserted"/>
          <w:rFonts w:ascii="Aptos" w:hAnsi="Aptos"/>
          <w:color w:val="303030"/>
          <w:sz w:val="22"/>
          <w:szCs w:val="22"/>
          <w:shd w:val="clear" w:color="auto" w:fill="FFFFFF"/>
        </w:rPr>
        <w:t xml:space="preserve">, adotamos o </w:t>
      </w:r>
      <w:r>
        <w:rPr>
          <w:rFonts w:ascii="Aptos" w:hAnsi="Aptos"/>
          <w:b/>
          <w:bCs/>
          <w:color w:val="303030"/>
          <w:sz w:val="22"/>
          <w:szCs w:val="22"/>
          <w:shd w:val="clear" w:color="auto" w:fill="FFFFFF"/>
        </w:rPr>
        <w:t>LOOCV</w:t>
      </w:r>
      <w:r>
        <w:rPr>
          <w:rStyle w:val="ng-star-inserted"/>
          <w:rFonts w:ascii="Aptos" w:hAnsi="Aptos"/>
          <w:color w:val="303030"/>
          <w:sz w:val="22"/>
          <w:szCs w:val="22"/>
          <w:shd w:val="clear" w:color="auto" w:fill="FFFFFF"/>
        </w:rPr>
        <w:t xml:space="preserve"> no bloco </w:t>
      </w:r>
      <w:r>
        <w:rPr>
          <w:rFonts w:ascii="Aptos" w:hAnsi="Aptos"/>
          <w:i/>
          <w:iCs/>
          <w:color w:val="303030"/>
          <w:sz w:val="22"/>
          <w:szCs w:val="22"/>
          <w:shd w:val="clear" w:color="auto" w:fill="FFFFFF"/>
        </w:rPr>
        <w:t>fold-refit</w:t>
      </w:r>
      <w:r>
        <w:rPr>
          <w:rStyle w:val="ng-star-inserted"/>
          <w:rFonts w:ascii="Aptos" w:hAnsi="Aptos"/>
          <w:color w:val="303030"/>
          <w:sz w:val="22"/>
          <w:szCs w:val="22"/>
          <w:shd w:val="clear" w:color="auto" w:fill="FFFFFF"/>
        </w:rPr>
        <w:t xml:space="preserve">: cada gerador foi treinado apenas em 19 pontos reais, gerando expansões de </w:t>
      </w:r>
      <w:r>
        <w:rPr>
          <w:rStyle w:val="mord"/>
          <w:rFonts w:ascii="Aptos" w:hAnsi="Aptos"/>
          <w:i/>
          <w:iCs/>
          <w:color w:val="303030"/>
          <w:sz w:val="22"/>
          <w:szCs w:val="22"/>
          <w:shd w:val="clear" w:color="auto" w:fill="FFFFFF"/>
        </w:rPr>
        <w:t>n</w:t>
      </w:r>
      <w:r>
        <w:rPr>
          <w:rStyle w:val="mrel"/>
          <w:rFonts w:ascii="Aptos" w:hAnsi="Aptos"/>
          <w:color w:val="303030"/>
          <w:sz w:val="22"/>
          <w:szCs w:val="22"/>
          <w:shd w:val="clear" w:color="auto" w:fill="FFFFFF"/>
        </w:rPr>
        <w:t>=</w:t>
      </w:r>
      <w:r>
        <w:rPr>
          <w:rStyle w:val="mord"/>
          <w:rFonts w:ascii="Aptos" w:hAnsi="Aptos"/>
          <w:color w:val="303030"/>
          <w:sz w:val="22"/>
          <w:szCs w:val="22"/>
          <w:shd w:val="clear" w:color="auto" w:fill="FFFFFF"/>
        </w:rPr>
        <w:t>140</w:t>
      </w:r>
      <w:r>
        <w:rPr>
          <w:rStyle w:val="ng-star-inserted"/>
          <w:rFonts w:ascii="Aptos" w:hAnsi="Aptos"/>
          <w:color w:val="303030"/>
          <w:sz w:val="22"/>
          <w:szCs w:val="22"/>
          <w:shd w:val="clear" w:color="auto" w:fill="FFFFFF"/>
        </w:rPr>
        <w:t xml:space="preserve"> para prever o único ponto mantido fora do treino. A utilidade foi medida pelo </w:t>
      </w:r>
      <w:r>
        <w:rPr>
          <w:rStyle w:val="mord"/>
          <w:rFonts w:ascii="Aptos" w:hAnsi="Aptos"/>
          <w:color w:val="303030"/>
          <w:sz w:val="22"/>
          <w:szCs w:val="22"/>
          <w:shd w:val="clear" w:color="auto" w:fill="FFFFFF"/>
        </w:rPr>
        <w:t>Δ</w:t>
      </w:r>
      <w:r>
        <w:rPr>
          <w:rStyle w:val="ng-star-inserted"/>
          <w:rFonts w:ascii="Aptos" w:hAnsi="Aptos"/>
          <w:color w:val="303030"/>
          <w:sz w:val="22"/>
          <w:szCs w:val="22"/>
          <w:shd w:val="clear" w:color="auto" w:fill="FFFFFF"/>
        </w:rPr>
        <w:t xml:space="preserve"> (</w:t>
      </w:r>
      <w:r>
        <w:rPr>
          <w:rStyle w:val="mord"/>
          <w:rFonts w:ascii="Aptos" w:hAnsi="Aptos"/>
          <w:i/>
          <w:iCs/>
          <w:color w:val="303030"/>
          <w:sz w:val="22"/>
          <w:szCs w:val="22"/>
          <w:shd w:val="clear" w:color="auto" w:fill="FFFFFF"/>
        </w:rPr>
        <w:t>TSTR</w:t>
      </w:r>
      <w:r>
        <w:rPr>
          <w:rStyle w:val="mbin"/>
          <w:rFonts w:ascii="Aptos" w:hAnsi="Aptos"/>
          <w:color w:val="303030"/>
          <w:sz w:val="22"/>
          <w:szCs w:val="22"/>
          <w:shd w:val="clear" w:color="auto" w:fill="FFFFFF"/>
        </w:rPr>
        <w:t>−</w:t>
      </w:r>
      <w:r>
        <w:rPr>
          <w:rStyle w:val="mord"/>
          <w:rFonts w:ascii="Aptos" w:hAnsi="Aptos"/>
          <w:i/>
          <w:iCs/>
          <w:color w:val="303030"/>
          <w:sz w:val="22"/>
          <w:szCs w:val="22"/>
          <w:shd w:val="clear" w:color="auto" w:fill="FFFFFF"/>
        </w:rPr>
        <w:t>TRTR</w:t>
      </w:r>
      <w:r>
        <w:rPr>
          <w:rStyle w:val="ng-star-inserted"/>
          <w:rFonts w:ascii="Aptos" w:hAnsi="Aptos"/>
          <w:color w:val="303030"/>
          <w:sz w:val="22"/>
          <w:szCs w:val="22"/>
          <w:shd w:val="clear" w:color="auto" w:fill="FFFFFF"/>
        </w:rPr>
        <w:t xml:space="preserve">), agregando as predições </w:t>
      </w:r>
      <w:r>
        <w:rPr>
          <w:rFonts w:ascii="Aptos" w:hAnsi="Aptos"/>
          <w:i/>
          <w:iCs/>
          <w:color w:val="303030"/>
          <w:sz w:val="22"/>
          <w:szCs w:val="22"/>
          <w:shd w:val="clear" w:color="auto" w:fill="FFFFFF"/>
        </w:rPr>
        <w:t>out-of-fold</w:t>
      </w:r>
      <w:r>
        <w:rPr>
          <w:rStyle w:val="ng-star-inserted"/>
          <w:rFonts w:ascii="Aptos" w:hAnsi="Aptos"/>
          <w:color w:val="303030"/>
          <w:sz w:val="22"/>
          <w:szCs w:val="22"/>
          <w:shd w:val="clear" w:color="auto" w:fill="FFFFFF"/>
        </w:rPr>
        <w:t xml:space="preserve"> antes do cálculo do </w:t>
      </w:r>
      <w:r>
        <w:rPr>
          <w:rStyle w:val="mord"/>
          <w:rFonts w:ascii="Aptos" w:hAnsi="Aptos"/>
          <w:i/>
          <w:iCs/>
          <w:color w:val="303030"/>
          <w:sz w:val="22"/>
          <w:szCs w:val="22"/>
          <w:shd w:val="clear" w:color="auto" w:fill="FFFFFF"/>
        </w:rPr>
        <w:t>R</w:t>
      </w:r>
      <w:r>
        <w:rPr>
          <w:rStyle w:val="mord"/>
          <w:rFonts w:ascii="Aptos" w:hAnsi="Aptos"/>
          <w:color w:val="303030"/>
          <w:sz w:val="22"/>
          <w:szCs w:val="22"/>
          <w:shd w:val="clear" w:color="auto" w:fill="FFFFFF"/>
        </w:rPr>
        <w:t>2</w:t>
      </w:r>
      <w:r>
        <w:rPr>
          <w:rStyle w:val="ng-star-inserted"/>
          <w:rFonts w:ascii="Aptos" w:hAnsi="Aptos"/>
          <w:color w:val="303030"/>
          <w:sz w:val="22"/>
          <w:szCs w:val="22"/>
          <w:shd w:val="clear" w:color="auto" w:fill="FFFFFF"/>
        </w:rPr>
        <w:t xml:space="preserve">. O </w:t>
      </w:r>
      <w:r>
        <w:rPr>
          <w:rFonts w:ascii="Aptos" w:hAnsi="Aptos"/>
          <w:b/>
          <w:bCs/>
          <w:color w:val="303030"/>
          <w:sz w:val="22"/>
          <w:szCs w:val="22"/>
          <w:shd w:val="clear" w:color="auto" w:fill="FFFFFF"/>
        </w:rPr>
        <w:t>ICD</w:t>
      </w:r>
      <w:r>
        <w:rPr>
          <w:rStyle w:val="ng-star-inserted"/>
          <w:rFonts w:ascii="Aptos" w:hAnsi="Aptos"/>
          <w:color w:val="303030"/>
          <w:sz w:val="22"/>
          <w:szCs w:val="22"/>
          <w:shd w:val="clear" w:color="auto" w:fill="FFFFFF"/>
        </w:rPr>
        <w:t xml:space="preserve"> foi computado para cada realização e reportado como </w:t>
      </w:r>
      <w:r>
        <w:rPr>
          <w:rFonts w:ascii="Aptos" w:hAnsi="Aptos"/>
          <w:b/>
          <w:bCs/>
          <w:color w:val="303030"/>
          <w:sz w:val="22"/>
          <w:szCs w:val="22"/>
          <w:shd w:val="clear" w:color="auto" w:fill="FFFFFF"/>
        </w:rPr>
        <w:t xml:space="preserve">média </w:t>
      </w:r>
      <w:r>
        <w:rPr>
          <w:rStyle w:val="mord"/>
          <w:rFonts w:ascii="Aptos" w:hAnsi="Aptos"/>
          <w:color w:val="303030"/>
          <w:sz w:val="22"/>
          <w:szCs w:val="22"/>
          <w:shd w:val="clear" w:color="auto" w:fill="FFFFFF"/>
        </w:rPr>
        <w:t>±</w:t>
      </w:r>
      <w:r>
        <w:rPr>
          <w:rFonts w:ascii="Aptos" w:hAnsi="Aptos"/>
          <w:b/>
          <w:bCs/>
          <w:color w:val="303030"/>
          <w:sz w:val="22"/>
          <w:szCs w:val="22"/>
          <w:shd w:val="clear" w:color="auto" w:fill="FFFFFF"/>
        </w:rPr>
        <w:t xml:space="preserve"> IC de 95%</w:t>
      </w:r>
      <w:r>
        <w:rPr>
          <w:rStyle w:val="ng-star-inserted"/>
          <w:rFonts w:ascii="Aptos" w:hAnsi="Aptos"/>
          <w:color w:val="303030"/>
          <w:sz w:val="22"/>
          <w:szCs w:val="22"/>
          <w:shd w:val="clear" w:color="auto" w:fill="FFFFFF"/>
        </w:rPr>
        <w:t>, avaliando concordância de sinal, magnitude e detectabilidade estatística. A seleção do "melhor modelo" por TSTR_médio exclui naturalmente execuções de MLP com desempenho degradado (incluindo falhas de convergência), sem exigir um filtro de convergência explícito.</w:t>
      </w:r>
    </w:p>
    <w:p w:rsidR="00C05C75" w:rsidRDefault="00C05C75" w:rsidP="00352BB0">
      <w:pPr>
        <w:spacing w:after="200" w:line="276" w:lineRule="auto"/>
        <w:jc w:val="both"/>
        <w:rPr>
          <w:rFonts w:ascii="Aptos" w:eastAsia="Calibri" w:hAnsi="Aptos" w:cs="Calibri"/>
          <w:sz w:val="22"/>
          <w:szCs w:val="22"/>
        </w:rPr>
      </w:pP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>Foram comparados quatro geradores, cujos resultados estão resumidos na Tabela 1.</w:t>
      </w:r>
    </w:p>
    <w:tbl>
      <w:tblPr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8"/>
        <w:gridCol w:w="1214"/>
        <w:gridCol w:w="3121"/>
        <w:gridCol w:w="2773"/>
      </w:tblGrid>
      <w:tr w:rsidR="00C05C75" w:rsidRPr="00C05C75" w:rsidTr="00352BB0">
        <w:trPr>
          <w:tblHeader/>
        </w:trPr>
        <w:tc>
          <w:tcPr>
            <w:tcW w:w="1058" w:type="pct"/>
            <w:shd w:val="clear" w:color="auto" w:fill="BFBFBF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C05C75" w:rsidRDefault="00685BE1" w:rsidP="00352BB0">
            <w:pPr>
              <w:spacing w:line="276" w:lineRule="auto"/>
              <w:jc w:val="center"/>
              <w:rPr>
                <w:rFonts w:ascii="Aptos" w:hAnsi="Aptos"/>
                <w:color w:val="FF0000"/>
              </w:rPr>
            </w:pPr>
            <w:r>
              <w:rPr>
                <w:rFonts w:ascii="Aptos" w:eastAsia="Calibri" w:hAnsi="Aptos" w:cs="Calibri"/>
                <w:b/>
                <w:bCs/>
                <w:color w:val="FF0000"/>
              </w:rPr>
              <w:t>Gerador</w:t>
            </w:r>
          </w:p>
        </w:tc>
        <w:tc>
          <w:tcPr>
            <w:tcW w:w="673" w:type="pct"/>
            <w:shd w:val="clear" w:color="auto" w:fill="BFBFBF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C05C75" w:rsidRDefault="00685BE1" w:rsidP="00352BB0">
            <w:pPr>
              <w:spacing w:line="276" w:lineRule="auto"/>
              <w:jc w:val="center"/>
              <w:rPr>
                <w:rFonts w:ascii="Aptos" w:hAnsi="Aptos"/>
                <w:color w:val="FF0000"/>
              </w:rPr>
            </w:pPr>
            <w:r>
              <w:rPr>
                <w:rFonts w:ascii="Aptos" w:eastAsia="Calibri" w:hAnsi="Aptos" w:cs="Calibri"/>
                <w:b/>
                <w:bCs/>
                <w:color w:val="FF0000"/>
              </w:rPr>
              <w:t>Família</w:t>
            </w:r>
          </w:p>
        </w:tc>
        <w:tc>
          <w:tcPr>
            <w:tcW w:w="1731" w:type="pct"/>
            <w:shd w:val="clear" w:color="auto" w:fill="BFBFBF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C05C75" w:rsidRDefault="00685BE1" w:rsidP="00352BB0">
            <w:pPr>
              <w:spacing w:line="276" w:lineRule="auto"/>
              <w:jc w:val="center"/>
              <w:rPr>
                <w:rFonts w:ascii="Aptos" w:hAnsi="Aptos"/>
                <w:color w:val="FF0000"/>
              </w:rPr>
            </w:pPr>
            <w:r>
              <w:rPr>
                <w:rFonts w:ascii="Aptos" w:eastAsia="Calibri" w:hAnsi="Aptos" w:cs="Calibri"/>
                <w:b/>
                <w:bCs/>
                <w:color w:val="FF0000"/>
              </w:rPr>
              <w:t>Hiperparâmetros principais</w:t>
            </w:r>
          </w:p>
        </w:tc>
        <w:tc>
          <w:tcPr>
            <w:tcW w:w="1538" w:type="pct"/>
            <w:shd w:val="clear" w:color="auto" w:fill="BFBFBF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C05C75" w:rsidRDefault="00685BE1" w:rsidP="00352BB0">
            <w:pPr>
              <w:spacing w:line="276" w:lineRule="auto"/>
              <w:jc w:val="center"/>
              <w:rPr>
                <w:rFonts w:ascii="Aptos" w:hAnsi="Aptos"/>
                <w:color w:val="FF0000"/>
              </w:rPr>
            </w:pPr>
            <w:r>
              <w:rPr>
                <w:rFonts w:ascii="Aptos" w:eastAsia="Calibri" w:hAnsi="Aptos" w:cs="Calibri"/>
                <w:b/>
                <w:bCs/>
                <w:color w:val="FF0000"/>
              </w:rPr>
              <w:t>Notas</w:t>
            </w:r>
          </w:p>
        </w:tc>
      </w:tr>
      <w:tr w:rsidR="00C05C75" w:rsidRPr="00C05C75" w:rsidTr="00352BB0">
        <w:tc>
          <w:tcPr>
            <w:tcW w:w="105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C05C75" w:rsidRDefault="00685BE1" w:rsidP="009267ED">
            <w:pPr>
              <w:spacing w:line="276" w:lineRule="auto"/>
              <w:rPr>
                <w:rFonts w:ascii="Aptos" w:hAnsi="Aptos"/>
                <w:color w:val="FF0000"/>
              </w:rPr>
            </w:pPr>
            <w:r>
              <w:rPr>
                <w:rFonts w:ascii="Aptos" w:eastAsia="Calibri" w:hAnsi="Aptos" w:cs="Calibri"/>
                <w:color w:val="FF0000"/>
              </w:rPr>
              <w:t>Cópula Gaussiana</w:t>
            </w:r>
          </w:p>
        </w:tc>
        <w:tc>
          <w:tcPr>
            <w:tcW w:w="67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C05C75" w:rsidRDefault="00685BE1" w:rsidP="009267ED">
            <w:pPr>
              <w:spacing w:line="276" w:lineRule="auto"/>
              <w:rPr>
                <w:rFonts w:ascii="Aptos" w:hAnsi="Aptos"/>
                <w:color w:val="FF0000"/>
              </w:rPr>
            </w:pPr>
            <w:r>
              <w:rPr>
                <w:rFonts w:ascii="Aptos" w:eastAsia="Calibri" w:hAnsi="Aptos" w:cs="Calibri"/>
                <w:color w:val="FF0000"/>
              </w:rPr>
              <w:t>Estatísticas</w:t>
            </w:r>
          </w:p>
        </w:tc>
        <w:tc>
          <w:tcPr>
            <w:tcW w:w="173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C05C75" w:rsidRDefault="00685BE1" w:rsidP="00352BB0">
            <w:pPr>
              <w:spacing w:line="276" w:lineRule="auto"/>
              <w:jc w:val="both"/>
              <w:rPr>
                <w:rFonts w:ascii="Aptos" w:hAnsi="Aptos"/>
                <w:color w:val="FF0000"/>
              </w:rPr>
            </w:pPr>
            <w:r>
              <w:rPr>
                <w:rFonts w:ascii="Aptos" w:eastAsia="Calibri" w:hAnsi="Aptos" w:cs="Calibri"/>
                <w:color w:val="FF0000"/>
              </w:rPr>
              <w:t>SDV padrão + metadados</w:t>
            </w:r>
          </w:p>
        </w:tc>
        <w:tc>
          <w:tcPr>
            <w:tcW w:w="153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C05C75" w:rsidRDefault="00685BE1" w:rsidP="00352BB0">
            <w:pPr>
              <w:spacing w:line="276" w:lineRule="auto"/>
              <w:jc w:val="both"/>
              <w:rPr>
                <w:rFonts w:ascii="Aptos" w:hAnsi="Aptos"/>
                <w:color w:val="FF0000"/>
              </w:rPr>
            </w:pPr>
            <w:r>
              <w:rPr>
                <w:rFonts w:ascii="Aptos" w:eastAsia="Calibri" w:hAnsi="Aptos" w:cs="Calibri"/>
                <w:color w:val="FF0000"/>
              </w:rPr>
              <w:t>Linha de base</w:t>
            </w:r>
          </w:p>
        </w:tc>
      </w:tr>
      <w:tr w:rsidR="00C05C75" w:rsidRPr="00C05C75" w:rsidTr="00352BB0">
        <w:tc>
          <w:tcPr>
            <w:tcW w:w="105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C05C75" w:rsidRDefault="00685BE1" w:rsidP="009267ED">
            <w:pPr>
              <w:spacing w:line="276" w:lineRule="auto"/>
              <w:rPr>
                <w:rFonts w:ascii="Aptos" w:hAnsi="Aptos"/>
                <w:color w:val="FF0000"/>
              </w:rPr>
            </w:pPr>
            <w:r>
              <w:rPr>
                <w:rFonts w:ascii="Aptos" w:eastAsia="Calibri" w:hAnsi="Aptos" w:cs="Calibri"/>
                <w:color w:val="FF0000"/>
              </w:rPr>
              <w:t>CTGAN</w:t>
            </w:r>
          </w:p>
        </w:tc>
        <w:tc>
          <w:tcPr>
            <w:tcW w:w="67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C05C75" w:rsidRDefault="00685BE1" w:rsidP="009267ED">
            <w:pPr>
              <w:spacing w:line="276" w:lineRule="auto"/>
              <w:rPr>
                <w:rFonts w:ascii="Aptos" w:hAnsi="Aptos"/>
                <w:color w:val="FF0000"/>
              </w:rPr>
            </w:pPr>
            <w:r>
              <w:rPr>
                <w:rFonts w:ascii="Aptos" w:eastAsia="Calibri" w:hAnsi="Aptos" w:cs="Calibri"/>
                <w:color w:val="FF0000"/>
              </w:rPr>
              <w:t>GAN</w:t>
            </w:r>
          </w:p>
        </w:tc>
        <w:tc>
          <w:tcPr>
            <w:tcW w:w="173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C05C75" w:rsidRDefault="00685BE1" w:rsidP="00352BB0">
            <w:pPr>
              <w:spacing w:line="276" w:lineRule="auto"/>
              <w:jc w:val="both"/>
              <w:rPr>
                <w:rFonts w:ascii="Aptos" w:hAnsi="Aptos"/>
                <w:color w:val="FF0000"/>
              </w:rPr>
            </w:pPr>
            <w:r>
              <w:rPr>
                <w:rFonts w:ascii="Aptos" w:eastAsia="Calibri" w:hAnsi="Aptos" w:cs="Calibri"/>
                <w:color w:val="FF0000"/>
              </w:rPr>
              <w:t xml:space="preserve">épocas = 300</w:t>
            </w:r>
          </w:p>
        </w:tc>
        <w:tc>
          <w:tcPr>
            <w:tcW w:w="153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C05C75" w:rsidRDefault="00685BE1" w:rsidP="00352BB0">
            <w:pPr>
              <w:spacing w:line="276" w:lineRule="auto"/>
              <w:jc w:val="both"/>
              <w:rPr>
                <w:rFonts w:ascii="Aptos" w:hAnsi="Aptos"/>
                <w:color w:val="FF0000"/>
              </w:rPr>
            </w:pPr>
            <w:r>
              <w:rPr>
                <w:rFonts w:ascii="Aptos" w:eastAsia="Calibri" w:hAnsi="Aptos" w:cs="Calibri"/>
                <w:color w:val="FF0000"/>
              </w:rPr>
              <w:t>GAN condicional para dados tabulares (Xu et al., 2019)</w:t>
            </w:r>
          </w:p>
        </w:tc>
      </w:tr>
      <w:tr w:rsidR="00C05C75" w:rsidRPr="00C05C75" w:rsidTr="00352BB0">
        <w:tc>
          <w:tcPr>
            <w:tcW w:w="105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C05C75" w:rsidRDefault="00685BE1" w:rsidP="009267ED">
            <w:pPr>
              <w:spacing w:line="276" w:lineRule="auto"/>
              <w:rPr>
                <w:rFonts w:ascii="Aptos" w:hAnsi="Aptos"/>
                <w:color w:val="FF0000"/>
              </w:rPr>
            </w:pPr>
            <w:r>
              <w:rPr>
                <w:rFonts w:ascii="Aptos" w:eastAsia="Calibri" w:hAnsi="Aptos" w:cs="Calibri"/>
                <w:color w:val="FF0000"/>
              </w:rPr>
              <w:t>TVAE</w:t>
            </w:r>
          </w:p>
        </w:tc>
        <w:tc>
          <w:tcPr>
            <w:tcW w:w="67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C05C75" w:rsidRDefault="00685BE1" w:rsidP="009267ED">
            <w:pPr>
              <w:spacing w:line="276" w:lineRule="auto"/>
              <w:rPr>
                <w:rFonts w:ascii="Aptos" w:hAnsi="Aptos"/>
                <w:color w:val="FF0000"/>
              </w:rPr>
            </w:pPr>
            <w:r>
              <w:rPr>
                <w:rFonts w:ascii="Aptos" w:eastAsia="Calibri" w:hAnsi="Aptos" w:cs="Calibri"/>
                <w:color w:val="FF0000"/>
              </w:rPr>
              <w:t>VAE</w:t>
            </w:r>
          </w:p>
        </w:tc>
        <w:tc>
          <w:tcPr>
            <w:tcW w:w="173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C05C75" w:rsidRDefault="00685BE1" w:rsidP="00352BB0">
            <w:pPr>
              <w:spacing w:line="276" w:lineRule="auto"/>
              <w:jc w:val="both"/>
              <w:rPr>
                <w:rFonts w:ascii="Aptos" w:hAnsi="Aptos"/>
                <w:color w:val="FF0000"/>
              </w:rPr>
            </w:pPr>
            <w:r>
              <w:rPr>
                <w:rFonts w:ascii="Aptos" w:eastAsia="Calibri" w:hAnsi="Aptos" w:cs="Calibri"/>
                <w:color w:val="FF0000"/>
              </w:rPr>
              <w:t xml:space="preserve">épocas = 300</w:t>
            </w:r>
          </w:p>
        </w:tc>
        <w:tc>
          <w:tcPr>
            <w:tcW w:w="153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C05C75" w:rsidRDefault="00685BE1" w:rsidP="00352BB0">
            <w:pPr>
              <w:spacing w:line="276" w:lineRule="auto"/>
              <w:jc w:val="both"/>
              <w:rPr>
                <w:rFonts w:ascii="Aptos" w:hAnsi="Aptos"/>
                <w:color w:val="FF0000"/>
              </w:rPr>
            </w:pPr>
            <w:r>
              <w:rPr>
                <w:rFonts w:ascii="Aptos" w:eastAsia="Calibri" w:hAnsi="Aptos" w:cs="Calibri"/>
                <w:color w:val="FF0000"/>
              </w:rPr>
              <w:t xml:space="preserve">VAE tabular baseado em ELBO (Patki et al., 2016)</w:t>
            </w:r>
          </w:p>
        </w:tc>
      </w:tr>
      <w:tr w:rsidR="00C05C75" w:rsidRPr="00C05C75" w:rsidTr="00352BB0">
        <w:tc>
          <w:tcPr>
            <w:tcW w:w="105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C05C75" w:rsidRDefault="00685BE1" w:rsidP="009267ED">
            <w:pPr>
              <w:spacing w:line="276" w:lineRule="auto"/>
              <w:rPr>
                <w:rFonts w:ascii="Aptos" w:hAnsi="Aptos"/>
                <w:color w:val="FF0000"/>
              </w:rPr>
            </w:pPr>
            <w:r>
              <w:rPr>
                <w:rFonts w:ascii="Aptos" w:eastAsia="Calibri" w:hAnsi="Aptos" w:cs="Calibri"/>
                <w:color w:val="FF0000"/>
              </w:rPr>
              <w:t>TabDDPM</w:t>
            </w:r>
          </w:p>
        </w:tc>
        <w:tc>
          <w:tcPr>
            <w:tcW w:w="67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C05C75" w:rsidRDefault="00685BE1" w:rsidP="009267ED">
            <w:pPr>
              <w:spacing w:line="276" w:lineRule="auto"/>
              <w:rPr>
                <w:rFonts w:ascii="Aptos" w:hAnsi="Aptos"/>
                <w:color w:val="FF0000"/>
              </w:rPr>
            </w:pPr>
            <w:r>
              <w:rPr>
                <w:rFonts w:ascii="Aptos" w:eastAsia="Calibri" w:hAnsi="Aptos" w:cs="Calibri"/>
                <w:color w:val="FF0000"/>
              </w:rPr>
              <w:t>Difusão</w:t>
            </w:r>
          </w:p>
        </w:tc>
        <w:tc>
          <w:tcPr>
            <w:tcW w:w="173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C05C75" w:rsidRDefault="00685BE1" w:rsidP="00352BB0">
            <w:pPr>
              <w:spacing w:line="276" w:lineRule="auto"/>
              <w:jc w:val="both"/>
              <w:rPr>
                <w:rFonts w:ascii="Aptos" w:hAnsi="Aptos"/>
                <w:color w:val="FF0000"/>
              </w:rPr>
            </w:pPr>
            <w:r>
              <w:rPr>
                <w:rFonts w:ascii="Aptos" w:eastAsia="Calibri" w:hAnsi="Aptos" w:cs="Calibri"/>
                <w:color w:val="FF0000"/>
              </w:rPr>
              <w:t>épocas≈150, passos de tempo≈100, taxa de aprendizado≈5e-4, decaimento de peso≈0,01, dropout≈0,15, recorte gradual≈0,5</w:t>
            </w:r>
          </w:p>
        </w:tc>
        <w:tc>
          <w:tcPr>
            <w:tcW w:w="153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C05C75" w:rsidRDefault="00685BE1" w:rsidP="00352BB0">
            <w:pPr>
              <w:spacing w:line="276" w:lineRule="auto"/>
              <w:jc w:val="both"/>
              <w:rPr>
                <w:rFonts w:ascii="Aptos" w:hAnsi="Aptos"/>
                <w:color w:val="FF0000"/>
              </w:rPr>
            </w:pPr>
            <w:r>
              <w:rPr>
                <w:rFonts w:ascii="Aptos" w:eastAsia="Calibri" w:hAnsi="Aptos" w:cs="Calibri"/>
                <w:color w:val="FF0000"/>
              </w:rPr>
              <w:t xml:space="preserve">Configurações estabilizadas para n≈20 (Kotelnikov et al., 2023)</w:t>
            </w:r>
          </w:p>
        </w:tc>
      </w:tr>
    </w:tbl>
    <w:p w:rsidR="00EA2FE1" w:rsidRPr="009267ED" w:rsidRDefault="00685BE1" w:rsidP="009267ED">
      <w:pPr>
        <w:spacing w:after="200" w:line="276" w:lineRule="auto"/>
        <w:rPr>
          <w:rFonts w:ascii="Aptos" w:hAnsi="Aptos"/>
        </w:rPr>
      </w:pPr>
      <w:r>
        <w:rPr>
          <w:rFonts w:ascii="Aptos" w:eastAsia="Calibri" w:hAnsi="Aptos" w:cs="Calibri"/>
          <w:b/>
          <w:i/>
          <w:iCs/>
        </w:rPr>
        <w:t>Tabela 1.</w:t>
      </w:r>
      <w:r>
        <w:rPr>
          <w:rFonts w:ascii="Aptos" w:eastAsia="Calibri" w:hAnsi="Aptos" w:cs="Calibri"/>
          <w:i/>
          <w:iCs/>
        </w:rPr>
        <w:t xml:space="preserve"> Principais geradores e hiperparâmetros.</w:t>
      </w:r>
    </w:p>
    <w:p w:rsidR="00EA2FE1" w:rsidRPr="00352BB0" w:rsidRDefault="00685BE1" w:rsidP="009267ED">
      <w:pPr>
        <w:pStyle w:val="Ttulo2"/>
        <w:spacing w:before="400" w:after="200" w:line="276" w:lineRule="auto"/>
        <w:rPr>
          <w:rFonts w:ascii="Aptos" w:hAnsi="Aptos"/>
          <w:color w:val="000000" w:themeColor="text1"/>
        </w:rPr>
      </w:pPr>
      <w:r>
        <w:rPr>
          <w:rFonts w:ascii="Aptos" w:eastAsia="Calibri" w:hAnsi="Aptos" w:cs="Calibri"/>
          <w:b/>
          <w:bCs/>
          <w:color w:val="000000" w:themeColor="text1"/>
        </w:rPr>
        <w:t>2.4 Linha de base vs. Sensibilidade (Modelo de Ruído)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 xml:space="preserve">Linha de base (0%): nenhuma perturbação adicional além do recorte/ajuste para preservar a estrutura fatorial. Sensibilidade (1%): adiciona um pequeno ruído (σ = 0,01 × intervalo de características) às </w:t>
        <w:lastRenderedPageBreak/>
        <w:t>variáveis contínuas após a síntese, para testar a estabilidade das classificações dos geradores e seu efeito na fidelidade e no risco. Os níveis fatoriais discretos são preservados por meio do ajuste em ambas as configurações.</w:t>
      </w:r>
    </w:p>
    <w:p w:rsidR="00352BB0" w:rsidRDefault="00352BB0" w:rsidP="009267ED">
      <w:pPr>
        <w:pStyle w:val="Ttulo2"/>
        <w:spacing w:before="400" w:after="200" w:line="276" w:lineRule="auto"/>
        <w:rPr>
          <w:rFonts w:ascii="Aptos" w:eastAsia="Calibri" w:hAnsi="Aptos" w:cs="Calibri"/>
          <w:b/>
          <w:bCs/>
        </w:rPr>
      </w:pPr>
    </w:p>
    <w:p w:rsidR="00EA2FE1" w:rsidRPr="00352BB0" w:rsidRDefault="00685BE1" w:rsidP="009267ED">
      <w:pPr>
        <w:pStyle w:val="Ttulo2"/>
        <w:spacing w:before="400" w:after="200" w:line="276" w:lineRule="auto"/>
        <w:rPr>
          <w:rFonts w:ascii="Aptos" w:hAnsi="Aptos"/>
          <w:color w:val="000000" w:themeColor="text1"/>
        </w:rPr>
      </w:pPr>
      <w:r>
        <w:rPr>
          <w:rFonts w:ascii="Aptos" w:eastAsia="Calibri" w:hAnsi="Aptos" w:cs="Calibri"/>
          <w:b/>
          <w:bCs/>
          <w:color w:val="000000" w:themeColor="text1"/>
        </w:rPr>
        <w:t xml:space="preserve">2.5 Modelagem a </w:t>
      </w:r>
      <w:r>
        <w:rPr>
          <w:rFonts w:ascii="Aptos" w:eastAsia="Calibri" w:hAnsi="Aptos" w:cs="Calibri"/>
          <w:b/>
          <w:bCs/>
          <w:color w:val="FF0000"/>
        </w:rPr>
        <w:t>Jusante</w:t>
      </w:r>
      <w:r>
        <w:rPr>
          <w:rFonts w:ascii="Aptos" w:eastAsia="Calibri" w:hAnsi="Aptos" w:cs="Calibri"/>
          <w:b/>
          <w:bCs/>
          <w:color w:val="000000" w:themeColor="text1"/>
        </w:rPr>
        <w:t xml:space="preserve"> e Avaliação de Utilidades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 xml:space="preserve">A tarefa subsequente consiste na regressão da tensão superficial (mNm) utilizando regressão linear, floresta aleatória (100 estimadores), um regressor MLP (100 camadas ocultas e 50 regressores) e gradient boosting (XGBoost, 100 estimadores). Para cada gerador e execução, geramos n_synth = 140 amostras sintéticas e, para cada modelo subsequente, calculamos TSTR (treinamento em amostras sintéticas, pontuação no conjunto de dados reais reservado) e TRTR (treinamento em amostras reais, pontuação no mesmo conjunto de dados reservado), reportando a diferença entre os modelos Δ = TSTR(m*) − TRTR(m*), onde m* é o modelo que maximiza TSTR para aquele gerador. Isso evita a inflação de Δ quando TRTR é instável em um modelo diferente, o que é comum em n≈20.</w:t>
      </w:r>
    </w:p>
    <w:p w:rsidR="00EA2FE1" w:rsidRPr="00352BB0" w:rsidRDefault="00685BE1" w:rsidP="009267ED">
      <w:pPr>
        <w:pStyle w:val="Ttulo2"/>
        <w:spacing w:before="400" w:after="200" w:line="276" w:lineRule="auto"/>
        <w:rPr>
          <w:rFonts w:ascii="Aptos" w:hAnsi="Aptos"/>
          <w:color w:val="000000" w:themeColor="text1"/>
        </w:rPr>
      </w:pPr>
      <w:r>
        <w:rPr>
          <w:rFonts w:ascii="Aptos" w:eastAsia="Calibri" w:hAnsi="Aptos" w:cs="Calibri"/>
          <w:b/>
          <w:bCs/>
          <w:color w:val="000000" w:themeColor="text1"/>
        </w:rPr>
        <w:t>2.6 Métricas de Fidelidade, Estrutura e Risco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>(a) Fidelidade univariada: estatística de Kolmogorov-Smirnov por variável e média (KS_mean_stat); distância de Wasserstein (média sobre variáveis numéricas).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 xml:space="preserve">(b) Preservação da estrutura multivariada: correlação de correlações (correlação de Pearson entre matrizes de correlação reais e sintéticas); diferença da norma de Frobenius entre matrizes de correlação.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 xml:space="preserve">(c) Utilidade: Distribuições de pontuação TSTR por gerador × modelo; Δ com intervalos de confiança de 95% (t de Student, df = 9); correção da taxa de descoberta falsa em comparações múltiplas (Benjamini &amp; Hochberg, 1995).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>(d) Risco de proximidade/divulgação: Distância ao registro mais próximo (DCR) — ECDF e fração abaixo do limite τ=0,1, distância euclidiana padronizada no espaço de características. Conforme enfatizado por Yao et al. (2025), o DCR é um diagnóstico de proximidade, não uma garantia de privacidade certificada, e é relatado aqui estritamente nessa capacidade.</w:t>
      </w:r>
    </w:p>
    <w:p w:rsidR="00EA2FE1" w:rsidRPr="00352BB0" w:rsidRDefault="00685BE1" w:rsidP="009267ED">
      <w:pPr>
        <w:pStyle w:val="Ttulo2"/>
        <w:spacing w:before="400" w:after="200" w:line="276" w:lineRule="auto"/>
        <w:rPr>
          <w:rFonts w:ascii="Aptos" w:hAnsi="Aptos"/>
          <w:color w:val="000000" w:themeColor="text1"/>
        </w:rPr>
      </w:pPr>
      <w:r>
        <w:rPr>
          <w:rFonts w:ascii="Aptos" w:eastAsia="Calibri" w:hAnsi="Aptos" w:cs="Calibri"/>
          <w:b/>
          <w:bCs/>
          <w:color w:val="000000" w:themeColor="text1"/>
        </w:rPr>
        <w:t>2.7 Índice de Concordância Fundamentado no Domínio (ICD)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 xml:space="preserve">Métricas genéricas de fidelidade (KS, Wasserstein, correlação de correlações) respondem se um conjunto de dados sintéticos se assemelha estatisticamente ao conjunto de dados real. Elas não respondem se o conjunto de dados sintéticos preserva os efeitos principais específicos e as interações de duas vias que uma análise fatorial independente do mesmo experimento já validou como reais </w:t>
        <w:lastRenderedPageBreak/>
        <w:t>(p&lt;0,05). O Índice de Concordância Fundamentado no Domínio (ICD) é introduzido para preencher essa lacuna.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>Para cada gerador, reajustamos o mesmo modelo fatorial codificado (níveis codificados como −1/0/+1, correspondendo à convenção clássica de planejamento de experimentos (DOE) usada na análise do efeito Pareto) que fundamenta as conclusões experimentais originais, uma vez no conjunto de dados reais e uma vez em cada conjunto de dados sintéticos, usando os limiares de nível do conjunto de dados reais para codificar ambos. Para cada efeito e na lista de efeitos validados independentemente para TS (os dois efeitos listados na Seção 2.1: o efeito principal do fosfato de potássio e, como um termo limítrofe secundário, a interação ureia × sulfato de amônio), calculamos três critérios binários comparando o coeficiente dos dados sintéticos com o coeficiente dos dados reais: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>Concordância de sinais (S): o coeficiente sintético tem o mesmo sinal que o coeficiente real?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>Concordância de magnitude (M): o coeficiente sintético se encontra dentro de uma faixa de tolerância adaptativa em torno do coeficiente real — ±0,5 para efeitos fracos (|coef|&lt;0,30), ±0,3 para efeitos moderados (0,30–0,60), ±0,2 para efeitos fortes (≥0,60) — refletindo que a variabilidade de amostragem de uma estimativa de efeito diminui à medida que sua magnitude real aumenta?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>Detectabilidade (D): o efeito ainda é estatisticamente significativo (p&lt;0,05) no modelo ajustado aos dados sintéticos?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>Um termo de penalização contabiliza estruturas espúrias: a fração de termos que não fazem parte da lista de efeitos validados independentemente, mas que se tornam estatisticamente significativos apenas no modelo de dados sintéticos, indicando que o gerador introduziu uma estrutura não suportada pelo experimento real. A pontuação composta para o gerador g é: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i/>
          <w:iCs/>
          <w:sz w:val="22"/>
          <w:szCs w:val="22"/>
        </w:rPr>
        <w:t xml:space="preserve">ICD_g = média(S, M, D) − λ · taxa_de_termo_espúrio, com λ = 0,10 neste estudo.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>Os três critérios são binários e calculados diretamente a partir de quantidades já produzidas pelo pipeline (coeficientes de regressão e valores p dos fatores codificados), de modo que a CID pode ser auditada por um revisor em relação aos coeficientes fatoriais relatados, sem a necessidade de executar novamente os modelos generativos. A implementação, juntamente com um exemplo ilustrativo prático, é fornecida como um módulo independente e documentado (icd_domain_concordance.py, Material Suplementar S1).</w:t>
      </w:r>
    </w:p>
    <w:p w:rsidR="00EA2FE1" w:rsidRPr="009267ED" w:rsidRDefault="00685BE1" w:rsidP="009267ED">
      <w:pPr>
        <w:spacing w:before="200" w:after="100" w:line="276" w:lineRule="auto"/>
        <w:jc w:val="center"/>
        <w:rPr>
          <w:rFonts w:ascii="Aptos" w:hAnsi="Aptos"/>
        </w:rPr>
      </w:pPr>
      <w:r>
        <w:rPr>
          <w:rFonts w:ascii="Aptos" w:hAnsi="Aptos"/>
          <w:noProof/>
        </w:rPr>
        <w:lastRenderedPageBreak/>
        <w:drawing>
          <wp:inline distT="0" distB="0" distL="0" distR="0">
            <wp:extent cx="4572000" cy="25050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FE1" w:rsidRPr="009267ED" w:rsidRDefault="00685BE1" w:rsidP="009267ED">
      <w:pPr>
        <w:spacing w:after="300" w:line="276" w:lineRule="auto"/>
        <w:jc w:val="center"/>
        <w:rPr>
          <w:rFonts w:ascii="Aptos" w:hAnsi="Aptos"/>
        </w:rPr>
      </w:pPr>
      <w:r>
        <w:rPr>
          <w:rFonts w:ascii="Aptos" w:eastAsia="Calibri" w:hAnsi="Aptos" w:cs="Calibri"/>
          <w:b/>
          <w:i/>
          <w:iCs/>
          <w:sz w:val="21"/>
          <w:szCs w:val="21"/>
        </w:rPr>
        <w:t>Figura 1.</w:t>
      </w:r>
      <w:r>
        <w:rPr>
          <w:rFonts w:ascii="Aptos" w:eastAsia="Calibri" w:hAnsi="Aptos" w:cs="Calibri"/>
          <w:i/>
          <w:iCs/>
          <w:sz w:val="21"/>
          <w:szCs w:val="21"/>
        </w:rPr>
        <w:t xml:space="preserve"> Visão geral conceitual do protocolo de validação fidelidade-utilidade-risco-CDI descrito nas Seções 2.6–2.7.</w:t>
      </w:r>
    </w:p>
    <w:p w:rsidR="00352BB0" w:rsidRDefault="00352BB0" w:rsidP="009267ED">
      <w:pPr>
        <w:spacing w:line="276" w:lineRule="auto"/>
        <w:rPr>
          <w:rFonts w:ascii="Aptos" w:hAnsi="Aptos"/>
        </w:rPr>
      </w:pPr>
    </w:p>
    <w:p w:rsidR="00EA2FE1" w:rsidRPr="00352BB0" w:rsidRDefault="00685BE1" w:rsidP="009267ED">
      <w:pPr>
        <w:pStyle w:val="Ttulo1"/>
        <w:spacing w:before="400" w:after="200" w:line="276" w:lineRule="auto"/>
        <w:rPr>
          <w:rFonts w:ascii="Aptos" w:hAnsi="Aptos"/>
          <w:color w:val="000000" w:themeColor="text1"/>
        </w:rPr>
      </w:pPr>
      <w:r>
        <w:rPr>
          <w:rFonts w:ascii="Aptos" w:eastAsia="Calibri" w:hAnsi="Aptos" w:cs="Calibri"/>
          <w:b/>
          <w:bCs/>
          <w:color w:val="000000" w:themeColor="text1"/>
        </w:rPr>
        <w:lastRenderedPageBreak/>
        <w:t>3. Resultados e Discussão</w:t>
      </w:r>
    </w:p>
    <w:p w:rsidR="00026DBA" w:rsidRDefault="00685BE1" w:rsidP="00026DBA">
      <w:pPr>
        <w:spacing w:after="200" w:line="276" w:lineRule="auto"/>
        <w:jc w:val="both"/>
        <w:rPr>
          <w:rFonts w:ascii="Aptos" w:eastAsia="Calibri" w:hAnsi="Aptos" w:cs="Calibri"/>
          <w:sz w:val="22"/>
          <w:szCs w:val="22"/>
        </w:rPr>
      </w:pPr>
      <w:r>
        <w:rPr>
          <w:rFonts w:ascii="Aptos" w:eastAsia="Calibri" w:hAnsi="Aptos" w:cs="Calibri"/>
          <w:sz w:val="22"/>
          <w:szCs w:val="22"/>
        </w:rPr>
        <w:t>Esta seção integra (i) o experimento fatorial original em escala de bancada sobre a produção de bioemulsificante/biossurfactante por Candida lipolytica UCP 988 em meios à base de água do mar e (ii) a expansão de dados sintéticos e os resultados da avaliação (linha de base: 0% de ruído; sensibilidade: 1% de ruído aditivo).</w:t>
      </w:r>
    </w:p>
    <w:p w:rsidR="00026DBA" w:rsidRDefault="00685BE1" w:rsidP="00026DBA">
      <w:pPr>
        <w:spacing w:after="200" w:line="276" w:lineRule="auto"/>
        <w:jc w:val="both"/>
        <w:rPr>
          <w:rStyle w:val="ng-star-inserted"/>
          <w:rFonts w:ascii="Aptos" w:hAnsi="Aptos"/>
          <w:color w:val="303030"/>
          <w:sz w:val="22"/>
          <w:szCs w:val="22"/>
          <w:shd w:val="clear" w:color="auto" w:fill="FFFFFF"/>
        </w:rPr>
      </w:pPr>
      <w:r>
        <w:rPr>
          <w:rFonts w:ascii="Aptos" w:eastAsia="Calibri" w:hAnsi="Aptos" w:cs="Calibri"/>
          <w:sz w:val="22"/>
          <w:szCs w:val="22"/>
        </w:rPr>
        <w:t>O conjunto de dados reais subjacente é um planejamento fatorial completo 2⁴ com réplicas no ponto central (n=20 ensaios) que estuda os efeitos da composição de nutrientes e da salinidade no desempenho de bioemulsificantes/biossurfactantes, incluindo tensão superficial e atividade emulsificante. A motivação experimental é típica da otimização de bioprocessos em estágio inicial: número limitado de ensaios devido a restrições de custo e tempo, mas com alta validade interna proveniente da experimentação planejada. A tensão superficial (mN/m) foi utilizada como variável alvo para a modelagem subsequente, por ser um indicador direto da atividade do biossurfactante.</w:t>
      </w:r>
      <w:r>
        <w:rPr>
          <w:rStyle w:val="ng-star-inserted"/>
          <w:rFonts w:ascii="Aptos" w:hAnsi="Aptos"/>
          <w:color w:val="303030"/>
          <w:sz w:val="22"/>
          <w:szCs w:val="22"/>
          <w:shd w:val="clear" w:color="auto" w:fill="FFFFFF"/>
        </w:rPr>
        <w:t xml:space="preserve"> </w:t>
      </w:r>
    </w:p>
    <w:p w:rsidR="00EA2FE1" w:rsidRDefault="00685BE1" w:rsidP="00026DBA">
      <w:pPr>
        <w:pStyle w:val="Ttulo2"/>
        <w:spacing w:before="400" w:after="200" w:line="276" w:lineRule="auto"/>
        <w:rPr>
          <w:rFonts w:ascii="Aptos" w:eastAsia="Calibri" w:hAnsi="Aptos" w:cs="Calibri"/>
          <w:b/>
          <w:bCs/>
          <w:color w:val="000000" w:themeColor="text1"/>
        </w:rPr>
      </w:pPr>
      <w:r>
        <w:rPr>
          <w:rFonts w:ascii="Aptos" w:eastAsia="Calibri" w:hAnsi="Aptos" w:cs="Calibri"/>
          <w:b/>
          <w:bCs/>
          <w:color w:val="000000" w:themeColor="text1"/>
        </w:rPr>
        <w:t xml:space="preserve">3.1 Resultados Principais (0% de Ruído): Relações entre Utilidade, Fidelidade e Risco</w:t>
      </w:r>
    </w:p>
    <w:p w:rsidR="00026DBA" w:rsidRPr="00026DBA" w:rsidRDefault="00026DBA" w:rsidP="00026DBA">
      <w:pPr>
        <w:spacing w:after="200" w:line="276" w:lineRule="auto"/>
        <w:jc w:val="both"/>
        <w:rPr>
          <w:rFonts w:ascii="Aptos" w:hAnsi="Aptos"/>
          <w:color w:val="000000" w:themeColor="text1"/>
          <w:sz w:val="22"/>
          <w:szCs w:val="22"/>
        </w:rPr>
      </w:pPr>
      <w:r>
        <w:rPr>
          <w:rStyle w:val="ng-star-inserted"/>
          <w:rFonts w:ascii="Aptos" w:hAnsi="Aptos"/>
          <w:color w:val="303030"/>
          <w:sz w:val="22"/>
          <w:szCs w:val="22"/>
          <w:shd w:val="clear" w:color="auto" w:fill="FFFFFF"/>
        </w:rPr>
        <w:t xml:space="preserve">A implementação do protocolo estrito eliminou o vazamento que anteriormente inflava o desempenho do TVAE. O </w:t>
      </w:r>
      <w:r>
        <w:rPr>
          <w:rFonts w:ascii="Aptos" w:hAnsi="Aptos"/>
          <w:b/>
          <w:bCs/>
          <w:color w:val="303030"/>
          <w:sz w:val="22"/>
          <w:szCs w:val="22"/>
          <w:shd w:val="clear" w:color="auto" w:fill="FFFFFF"/>
        </w:rPr>
        <w:t>CTGAN</w:t>
      </w:r>
      <w:r>
        <w:rPr>
          <w:rStyle w:val="ng-star-inserted"/>
          <w:rFonts w:ascii="Aptos" w:hAnsi="Aptos"/>
          <w:color w:val="303030"/>
          <w:sz w:val="22"/>
          <w:szCs w:val="22"/>
          <w:shd w:val="clear" w:color="auto" w:fill="FFFFFF"/>
        </w:rPr>
        <w:t xml:space="preserve"> emergiu como o único gerador com sinal de utilidade positivo consistente (</w:t>
      </w:r>
      <w:r>
        <w:rPr>
          <w:rStyle w:val="mord"/>
          <w:rFonts w:ascii="Aptos" w:hAnsi="Aptos"/>
          <w:color w:val="303030"/>
          <w:sz w:val="22"/>
          <w:szCs w:val="22"/>
          <w:shd w:val="clear" w:color="auto" w:fill="FFFFFF"/>
        </w:rPr>
        <w:t>0</w:t>
      </w:r>
      <w:r>
        <w:rPr>
          <w:rStyle w:val="mpunct"/>
          <w:rFonts w:ascii="Aptos" w:hAnsi="Aptos"/>
          <w:color w:val="303030"/>
          <w:sz w:val="22"/>
          <w:szCs w:val="22"/>
          <w:shd w:val="clear" w:color="auto" w:fill="FFFFFF"/>
        </w:rPr>
        <w:t>,</w:t>
      </w:r>
      <w:r>
        <w:rPr>
          <w:rStyle w:val="mord"/>
          <w:rFonts w:ascii="Aptos" w:hAnsi="Aptos"/>
          <w:color w:val="303030"/>
          <w:sz w:val="22"/>
          <w:szCs w:val="22"/>
          <w:shd w:val="clear" w:color="auto" w:fill="FFFFFF"/>
        </w:rPr>
        <w:t>04</w:t>
      </w:r>
      <w:r>
        <w:rPr>
          <w:rStyle w:val="ng-star-inserted"/>
          <w:rFonts w:ascii="Aptos" w:hAnsi="Aptos"/>
          <w:color w:val="303030"/>
          <w:sz w:val="22"/>
          <w:szCs w:val="22"/>
          <w:shd w:val="clear" w:color="auto" w:fill="FFFFFF"/>
        </w:rPr>
        <w:t xml:space="preserve"> no baseline e </w:t>
      </w:r>
      <w:r>
        <w:rPr>
          <w:rStyle w:val="mord"/>
          <w:rFonts w:ascii="Aptos" w:hAnsi="Aptos"/>
          <w:color w:val="303030"/>
          <w:sz w:val="22"/>
          <w:szCs w:val="22"/>
          <w:shd w:val="clear" w:color="auto" w:fill="FFFFFF"/>
        </w:rPr>
        <w:t>0</w:t>
      </w:r>
      <w:r>
        <w:rPr>
          <w:rStyle w:val="mpunct"/>
          <w:rFonts w:ascii="Aptos" w:hAnsi="Aptos"/>
          <w:color w:val="303030"/>
          <w:sz w:val="22"/>
          <w:szCs w:val="22"/>
          <w:shd w:val="clear" w:color="auto" w:fill="FFFFFF"/>
        </w:rPr>
        <w:t>,</w:t>
      </w:r>
      <w:r>
        <w:rPr>
          <w:rStyle w:val="mord"/>
          <w:rFonts w:ascii="Aptos" w:hAnsi="Aptos"/>
          <w:color w:val="303030"/>
          <w:sz w:val="22"/>
          <w:szCs w:val="22"/>
          <w:shd w:val="clear" w:color="auto" w:fill="FFFFFF"/>
        </w:rPr>
        <w:t>16</w:t>
      </w:r>
      <w:r>
        <w:rPr>
          <w:rStyle w:val="ng-star-inserted"/>
          <w:rFonts w:ascii="Aptos" w:hAnsi="Aptos"/>
          <w:color w:val="303030"/>
          <w:sz w:val="22"/>
          <w:szCs w:val="22"/>
          <w:shd w:val="clear" w:color="auto" w:fill="FFFFFF"/>
        </w:rPr>
        <w:t xml:space="preserve"> na sensibilidade, via </w:t>
      </w:r>
      <w:r>
        <w:rPr>
          <w:rFonts w:ascii="Aptos" w:hAnsi="Aptos"/>
          <w:i/>
          <w:iCs/>
          <w:color w:val="303030"/>
          <w:sz w:val="22"/>
          <w:szCs w:val="22"/>
          <w:shd w:val="clear" w:color="auto" w:fill="FFFFFF"/>
        </w:rPr>
        <w:t>gradient boosting</w:t>
      </w:r>
      <w:r>
        <w:rPr>
          <w:rStyle w:val="ng-star-inserted"/>
          <w:rFonts w:ascii="Aptos" w:hAnsi="Aptos"/>
          <w:color w:val="303030"/>
          <w:sz w:val="22"/>
          <w:szCs w:val="22"/>
          <w:shd w:val="clear" w:color="auto" w:fill="FFFFFF"/>
        </w:rPr>
        <w:t>). Contudo, o CTGAN falhou na validação de domínio, apresentando o menor ICD (</w:t>
      </w:r>
      <w:r>
        <w:rPr>
          <w:rStyle w:val="mord"/>
          <w:rFonts w:ascii="Aptos" w:hAnsi="Aptos"/>
          <w:color w:val="303030"/>
          <w:sz w:val="22"/>
          <w:szCs w:val="22"/>
          <w:shd w:val="clear" w:color="auto" w:fill="FFFFFF"/>
        </w:rPr>
        <w:t>0</w:t>
      </w:r>
      <w:r>
        <w:rPr>
          <w:rStyle w:val="mpunct"/>
          <w:rFonts w:ascii="Aptos" w:hAnsi="Aptos"/>
          <w:color w:val="303030"/>
          <w:sz w:val="22"/>
          <w:szCs w:val="22"/>
          <w:shd w:val="clear" w:color="auto" w:fill="FFFFFF"/>
        </w:rPr>
        <w:t>,</w:t>
      </w:r>
      <w:r>
        <w:rPr>
          <w:rStyle w:val="mord"/>
          <w:rFonts w:ascii="Aptos" w:hAnsi="Aptos"/>
          <w:color w:val="303030"/>
          <w:sz w:val="22"/>
          <w:szCs w:val="22"/>
          <w:shd w:val="clear" w:color="auto" w:fill="FFFFFF"/>
        </w:rPr>
        <w:t>16</w:t>
      </w:r>
      <w:r>
        <w:rPr>
          <w:rStyle w:val="ng-star-inserted"/>
          <w:rFonts w:ascii="Aptos" w:hAnsi="Aptos"/>
          <w:color w:val="303030"/>
          <w:sz w:val="22"/>
          <w:szCs w:val="22"/>
          <w:shd w:val="clear" w:color="auto" w:fill="FFFFFF"/>
        </w:rPr>
        <w:t xml:space="preserve">). Em contrapartida, o </w:t>
      </w:r>
      <w:r>
        <w:rPr>
          <w:rFonts w:ascii="Aptos" w:hAnsi="Aptos"/>
          <w:b/>
          <w:bCs/>
          <w:color w:val="303030"/>
          <w:sz w:val="22"/>
          <w:szCs w:val="22"/>
          <w:shd w:val="clear" w:color="auto" w:fill="FFFFFF"/>
        </w:rPr>
        <w:t>TVAE</w:t>
      </w:r>
      <w:r>
        <w:rPr>
          <w:rStyle w:val="ng-star-inserted"/>
          <w:rFonts w:ascii="Aptos" w:hAnsi="Aptos"/>
          <w:color w:val="303030"/>
          <w:sz w:val="22"/>
          <w:szCs w:val="22"/>
          <w:shd w:val="clear" w:color="auto" w:fill="FFFFFF"/>
        </w:rPr>
        <w:t xml:space="preserve"> demonstrou a maior fidelidade científica, liderando o ICD em ambos os cenários (</w:t>
      </w:r>
      <w:r>
        <w:rPr>
          <w:rStyle w:val="mord"/>
          <w:rFonts w:ascii="Aptos" w:hAnsi="Aptos"/>
          <w:color w:val="303030"/>
          <w:sz w:val="22"/>
          <w:szCs w:val="22"/>
          <w:shd w:val="clear" w:color="auto" w:fill="FFFFFF"/>
        </w:rPr>
        <w:t>0</w:t>
      </w:r>
      <w:r>
        <w:rPr>
          <w:rStyle w:val="mpunct"/>
          <w:rFonts w:ascii="Aptos" w:hAnsi="Aptos"/>
          <w:color w:val="303030"/>
          <w:sz w:val="22"/>
          <w:szCs w:val="22"/>
          <w:shd w:val="clear" w:color="auto" w:fill="FFFFFF"/>
        </w:rPr>
        <w:t>,</w:t>
      </w:r>
      <w:r>
        <w:rPr>
          <w:rStyle w:val="mord"/>
          <w:rFonts w:ascii="Aptos" w:hAnsi="Aptos"/>
          <w:color w:val="303030"/>
          <w:sz w:val="22"/>
          <w:szCs w:val="22"/>
          <w:shd w:val="clear" w:color="auto" w:fill="FFFFFF"/>
        </w:rPr>
        <w:t>48</w:t>
      </w:r>
      <w:r>
        <w:rPr>
          <w:rStyle w:val="ng-star-inserted"/>
          <w:rFonts w:ascii="Aptos" w:hAnsi="Aptos"/>
          <w:color w:val="303030"/>
          <w:sz w:val="22"/>
          <w:szCs w:val="22"/>
          <w:shd w:val="clear" w:color="auto" w:fill="FFFFFF"/>
        </w:rPr>
        <w:t xml:space="preserve"> a </w:t>
      </w:r>
      <w:r>
        <w:rPr>
          <w:rStyle w:val="mord"/>
          <w:rFonts w:ascii="Aptos" w:hAnsi="Aptos"/>
          <w:color w:val="303030"/>
          <w:sz w:val="22"/>
          <w:szCs w:val="22"/>
          <w:shd w:val="clear" w:color="auto" w:fill="FFFFFF"/>
        </w:rPr>
        <w:t>0</w:t>
      </w:r>
      <w:r>
        <w:rPr>
          <w:rStyle w:val="mpunct"/>
          <w:rFonts w:ascii="Aptos" w:hAnsi="Aptos"/>
          <w:color w:val="303030"/>
          <w:sz w:val="22"/>
          <w:szCs w:val="22"/>
          <w:shd w:val="clear" w:color="auto" w:fill="FFFFFF"/>
        </w:rPr>
        <w:t>,</w:t>
      </w:r>
      <w:r>
        <w:rPr>
          <w:rStyle w:val="mord"/>
          <w:rFonts w:ascii="Aptos" w:hAnsi="Aptos"/>
          <w:color w:val="303030"/>
          <w:sz w:val="22"/>
          <w:szCs w:val="22"/>
          <w:shd w:val="clear" w:color="auto" w:fill="FFFFFF"/>
        </w:rPr>
        <w:t>54</w:t>
      </w:r>
      <w:r>
        <w:rPr>
          <w:rStyle w:val="ng-star-inserted"/>
          <w:rFonts w:ascii="Aptos" w:hAnsi="Aptos"/>
          <w:color w:val="303030"/>
          <w:sz w:val="22"/>
          <w:szCs w:val="22"/>
          <w:shd w:val="clear" w:color="auto" w:fill="FFFFFF"/>
        </w:rPr>
        <w:t>), apesar de apresentar utilidade negativa (</w:t>
      </w:r>
      <w:r>
        <w:rPr>
          <w:rStyle w:val="mord"/>
          <w:rFonts w:ascii="Aptos" w:hAnsi="Aptos"/>
          <w:color w:val="303030"/>
          <w:sz w:val="22"/>
          <w:szCs w:val="22"/>
          <w:shd w:val="clear" w:color="auto" w:fill="FFFFFF"/>
        </w:rPr>
        <w:t>−0</w:t>
      </w:r>
      <w:r>
        <w:rPr>
          <w:rStyle w:val="mpunct"/>
          <w:rFonts w:ascii="Aptos" w:hAnsi="Aptos"/>
          <w:color w:val="303030"/>
          <w:sz w:val="22"/>
          <w:szCs w:val="22"/>
          <w:shd w:val="clear" w:color="auto" w:fill="FFFFFF"/>
        </w:rPr>
        <w:t>,</w:t>
      </w:r>
      <w:r>
        <w:rPr>
          <w:rStyle w:val="mord"/>
          <w:rFonts w:ascii="Aptos" w:hAnsi="Aptos"/>
          <w:color w:val="303030"/>
          <w:sz w:val="22"/>
          <w:szCs w:val="22"/>
          <w:shd w:val="clear" w:color="auto" w:fill="FFFFFF"/>
        </w:rPr>
        <w:t>14</w:t>
      </w:r>
      <w:r>
        <w:rPr>
          <w:rStyle w:val="ng-star-inserted"/>
          <w:rFonts w:ascii="Aptos" w:hAnsi="Aptos"/>
          <w:color w:val="303030"/>
          <w:sz w:val="22"/>
          <w:szCs w:val="22"/>
          <w:shd w:val="clear" w:color="auto" w:fill="FFFFFF"/>
        </w:rPr>
        <w:t xml:space="preserve"> a </w:t>
      </w:r>
      <w:r>
        <w:rPr>
          <w:rStyle w:val="mord"/>
          <w:rFonts w:ascii="Aptos" w:hAnsi="Aptos"/>
          <w:color w:val="303030"/>
          <w:sz w:val="22"/>
          <w:szCs w:val="22"/>
          <w:shd w:val="clear" w:color="auto" w:fill="FFFFFF"/>
        </w:rPr>
        <w:t>−0</w:t>
      </w:r>
      <w:r>
        <w:rPr>
          <w:rStyle w:val="mpunct"/>
          <w:rFonts w:ascii="Aptos" w:hAnsi="Aptos"/>
          <w:color w:val="303030"/>
          <w:sz w:val="22"/>
          <w:szCs w:val="22"/>
          <w:shd w:val="clear" w:color="auto" w:fill="FFFFFF"/>
        </w:rPr>
        <w:t>,</w:t>
      </w:r>
      <w:r>
        <w:rPr>
          <w:rStyle w:val="mord"/>
          <w:rFonts w:ascii="Aptos" w:hAnsi="Aptos"/>
          <w:color w:val="303030"/>
          <w:sz w:val="22"/>
          <w:szCs w:val="22"/>
          <w:shd w:val="clear" w:color="auto" w:fill="FFFFFF"/>
        </w:rPr>
        <w:t>33</w:t>
      </w:r>
      <w:r>
        <w:rPr>
          <w:rStyle w:val="ng-star-inserted"/>
          <w:rFonts w:ascii="Aptos" w:hAnsi="Aptos"/>
          <w:color w:val="303030"/>
          <w:sz w:val="22"/>
          <w:szCs w:val="22"/>
          <w:shd w:val="clear" w:color="auto" w:fill="FFFFFF"/>
        </w:rPr>
        <w:t xml:space="preserve">). O </w:t>
      </w:r>
      <w:r>
        <w:rPr>
          <w:rFonts w:ascii="Aptos" w:hAnsi="Aptos"/>
          <w:b/>
          <w:bCs/>
          <w:color w:val="303030"/>
          <w:sz w:val="22"/>
          <w:szCs w:val="22"/>
          <w:shd w:val="clear" w:color="auto" w:fill="FFFFFF"/>
        </w:rPr>
        <w:t>TabDDPM</w:t>
      </w:r>
      <w:r>
        <w:rPr>
          <w:rStyle w:val="ng-star-inserted"/>
          <w:rFonts w:ascii="Aptos" w:hAnsi="Aptos"/>
          <w:color w:val="303030"/>
          <w:sz w:val="22"/>
          <w:szCs w:val="22"/>
          <w:shd w:val="clear" w:color="auto" w:fill="FFFFFF"/>
        </w:rPr>
        <w:t xml:space="preserve"> mostrou-se quase neutro em utilidade na sensibilidade (</w:t>
      </w:r>
      <w:r>
        <w:rPr>
          <w:rStyle w:val="mord"/>
          <w:rFonts w:ascii="Aptos" w:hAnsi="Aptos"/>
          <w:color w:val="303030"/>
          <w:sz w:val="22"/>
          <w:szCs w:val="22"/>
          <w:shd w:val="clear" w:color="auto" w:fill="FFFFFF"/>
        </w:rPr>
        <w:t>+0</w:t>
      </w:r>
      <w:r>
        <w:rPr>
          <w:rStyle w:val="mpunct"/>
          <w:rFonts w:ascii="Aptos" w:hAnsi="Aptos"/>
          <w:color w:val="303030"/>
          <w:sz w:val="22"/>
          <w:szCs w:val="22"/>
          <w:shd w:val="clear" w:color="auto" w:fill="FFFFFF"/>
        </w:rPr>
        <w:t>,</w:t>
      </w:r>
      <w:r>
        <w:rPr>
          <w:rStyle w:val="mord"/>
          <w:rFonts w:ascii="Aptos" w:hAnsi="Aptos"/>
          <w:color w:val="303030"/>
          <w:sz w:val="22"/>
          <w:szCs w:val="22"/>
          <w:shd w:val="clear" w:color="auto" w:fill="FFFFFF"/>
        </w:rPr>
        <w:t>09</w:t>
      </w:r>
      <w:r>
        <w:rPr>
          <w:rStyle w:val="ng-star-inserted"/>
          <w:rFonts w:ascii="Aptos" w:hAnsi="Aptos"/>
          <w:color w:val="303030"/>
          <w:sz w:val="22"/>
          <w:szCs w:val="22"/>
          <w:shd w:val="clear" w:color="auto" w:fill="FFFFFF"/>
        </w:rPr>
        <w:t>), com ICD intermediário (</w:t>
      </w:r>
      <w:r>
        <w:rPr>
          <w:rStyle w:val="mord"/>
          <w:rFonts w:ascii="Aptos" w:hAnsi="Aptos"/>
          <w:color w:val="303030"/>
          <w:sz w:val="22"/>
          <w:szCs w:val="22"/>
          <w:shd w:val="clear" w:color="auto" w:fill="FFFFFF"/>
        </w:rPr>
        <w:t>0</w:t>
      </w:r>
      <w:r>
        <w:rPr>
          <w:rStyle w:val="mpunct"/>
          <w:rFonts w:ascii="Aptos" w:hAnsi="Aptos"/>
          <w:color w:val="303030"/>
          <w:sz w:val="22"/>
          <w:szCs w:val="22"/>
          <w:shd w:val="clear" w:color="auto" w:fill="FFFFFF"/>
        </w:rPr>
        <w:t>,</w:t>
      </w:r>
      <w:r>
        <w:rPr>
          <w:rStyle w:val="mord"/>
          <w:rFonts w:ascii="Aptos" w:hAnsi="Aptos"/>
          <w:color w:val="303030"/>
          <w:sz w:val="22"/>
          <w:szCs w:val="22"/>
          <w:shd w:val="clear" w:color="auto" w:fill="FFFFFF"/>
        </w:rPr>
        <w:t>27</w:t>
      </w:r>
      <w:r>
        <w:rPr>
          <w:rStyle w:val="ng-star-inserted"/>
          <w:rFonts w:ascii="Aptos" w:hAnsi="Aptos"/>
          <w:color w:val="303030"/>
          <w:sz w:val="22"/>
          <w:szCs w:val="22"/>
          <w:shd w:val="clear" w:color="auto" w:fill="FFFFFF"/>
        </w:rPr>
        <w:t xml:space="preserve">). Esta </w:t>
      </w:r>
      <w:r>
        <w:rPr>
          <w:rFonts w:ascii="Aptos" w:hAnsi="Aptos"/>
          <w:b/>
          <w:bCs/>
          <w:color w:val="303030"/>
          <w:sz w:val="22"/>
          <w:szCs w:val="22"/>
          <w:shd w:val="clear" w:color="auto" w:fill="FFFFFF"/>
        </w:rPr>
        <w:t>dissociação nítida</w:t>
      </w:r>
      <w:r>
        <w:rPr>
          <w:rStyle w:val="ng-star-inserted"/>
          <w:rFonts w:ascii="Aptos" w:hAnsi="Aptos"/>
          <w:color w:val="303030"/>
          <w:sz w:val="22"/>
          <w:szCs w:val="22"/>
          <w:shd w:val="clear" w:color="auto" w:fill="FFFFFF"/>
        </w:rPr>
        <w:t xml:space="preserve"> entre utilidade preditiva e preservação fatorial é o achado central: o gerador que melhor preserva a estrutura mecânica (TVAE) não é necessariamente o mais eficaz para predição (CTGAN), reforçando que métricas genéricas de fidelidade não substituem a validação ancorada no domínio.</w:t>
      </w:r>
    </w:p>
    <w:p w:rsidR="001E62FC" w:rsidRPr="009267ED" w:rsidRDefault="001E62FC" w:rsidP="00352BB0">
      <w:pPr>
        <w:spacing w:after="200" w:line="276" w:lineRule="auto"/>
        <w:jc w:val="both"/>
        <w:rPr>
          <w:rFonts w:ascii="Aptos" w:hAnsi="Aptos"/>
        </w:rPr>
      </w:pPr>
    </w:p>
    <w:p w:rsidR="00EA2FE1" w:rsidRPr="009267ED" w:rsidRDefault="00685BE1" w:rsidP="009267ED">
      <w:pPr>
        <w:spacing w:before="200" w:after="100" w:line="276" w:lineRule="auto"/>
        <w:jc w:val="center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>
            <wp:extent cx="4953000" cy="32004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FE1" w:rsidRPr="009267ED" w:rsidRDefault="00685BE1" w:rsidP="009267ED">
      <w:pPr>
        <w:spacing w:after="300" w:line="276" w:lineRule="auto"/>
        <w:jc w:val="center"/>
        <w:rPr>
          <w:rFonts w:ascii="Aptos" w:hAnsi="Aptos"/>
        </w:rPr>
      </w:pPr>
      <w:r>
        <w:rPr>
          <w:rFonts w:ascii="Aptos" w:eastAsia="Calibri" w:hAnsi="Aptos" w:cs="Calibri"/>
          <w:b/>
          <w:i/>
          <w:iCs/>
          <w:sz w:val="21"/>
          <w:szCs w:val="21"/>
        </w:rPr>
        <w:t>Figura 2.</w:t>
      </w:r>
      <w:r>
        <w:rPr>
          <w:rFonts w:ascii="Aptos" w:eastAsia="Calibri" w:hAnsi="Aptos" w:cs="Calibri"/>
          <w:i/>
          <w:iCs/>
          <w:sz w:val="21"/>
          <w:szCs w:val="21"/>
        </w:rPr>
        <w:t xml:space="preserve"> Utilidade a jusante (TSTR_best) por gerador, cenário de referência versus cenário de sensibilidade ao ruído de 1% do DOE. Sob o protocolo LOOCV sem vazamento (PEERFIX2), o CTGAN é o único gerador com utilidade positiva em ambos os cenários; o TVAE, que havia liderado sob o protocolo anterior com vazamento, apresenta a pior utilidade neste protocolo.</w:t>
      </w:r>
    </w:p>
    <w:p w:rsidR="00EA2FE1" w:rsidRPr="009267ED" w:rsidRDefault="00685BE1" w:rsidP="009267ED">
      <w:pPr>
        <w:spacing w:before="200" w:after="100" w:line="276" w:lineRule="auto"/>
        <w:jc w:val="center"/>
        <w:rPr>
          <w:rFonts w:ascii="Aptos" w:hAnsi="Aptos"/>
        </w:rPr>
      </w:pPr>
      <w:r>
        <w:rPr>
          <w:rFonts w:ascii="Aptos" w:hAnsi="Aptos"/>
          <w:noProof/>
        </w:rPr>
        <w:lastRenderedPageBreak/>
        <w:drawing>
          <wp:inline distT="0" distB="0" distL="0" distR="0">
            <wp:extent cx="4953000" cy="31813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FE1" w:rsidRPr="009267ED" w:rsidRDefault="00685BE1" w:rsidP="009267ED">
      <w:pPr>
        <w:spacing w:after="300" w:line="276" w:lineRule="auto"/>
        <w:jc w:val="center"/>
        <w:rPr>
          <w:rFonts w:ascii="Aptos" w:hAnsi="Aptos"/>
        </w:rPr>
      </w:pPr>
      <w:r>
        <w:rPr>
          <w:rFonts w:ascii="Aptos" w:eastAsia="Calibri" w:hAnsi="Aptos" w:cs="Calibri"/>
          <w:b/>
          <w:i/>
          <w:iCs/>
          <w:sz w:val="21"/>
          <w:szCs w:val="21"/>
        </w:rPr>
        <w:t>Figura 3.</w:t>
      </w:r>
      <w:r>
        <w:rPr>
          <w:rFonts w:ascii="Aptos" w:eastAsia="Calibri" w:hAnsi="Aptos" w:cs="Calibri"/>
          <w:i/>
          <w:iCs/>
          <w:sz w:val="21"/>
          <w:szCs w:val="21"/>
        </w:rPr>
        <w:t xml:space="preserve"> Distribuição do TSTR ao longo das 10 execuções de avaliação interna, cenário base, para o modelo downstream de melhor desempenho de cada gerador. Os losangos marcam a média; os círculos marcam os valores discrepantes.</w:t>
      </w:r>
    </w:p>
    <w:p w:rsidR="00EA2FE1" w:rsidRPr="009267ED" w:rsidRDefault="00685BE1" w:rsidP="009267ED">
      <w:pPr>
        <w:spacing w:before="200" w:after="100" w:line="276" w:lineRule="auto"/>
        <w:jc w:val="center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>
            <wp:extent cx="5715000" cy="18859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FE1" w:rsidRPr="009267ED" w:rsidRDefault="00685BE1" w:rsidP="009267ED">
      <w:pPr>
        <w:spacing w:after="300" w:line="276" w:lineRule="auto"/>
        <w:jc w:val="center"/>
        <w:rPr>
          <w:rFonts w:ascii="Aptos" w:hAnsi="Aptos"/>
        </w:rPr>
      </w:pPr>
      <w:r>
        <w:rPr>
          <w:rFonts w:ascii="Aptos" w:eastAsia="Calibri" w:hAnsi="Aptos" w:cs="Calibri"/>
          <w:b/>
          <w:i/>
          <w:iCs/>
          <w:sz w:val="21"/>
          <w:szCs w:val="21"/>
        </w:rPr>
        <w:t>Figura 4.</w:t>
      </w:r>
      <w:r>
        <w:rPr>
          <w:rFonts w:ascii="Aptos" w:eastAsia="Calibri" w:hAnsi="Aptos" w:cs="Calibri"/>
          <w:i/>
          <w:iCs/>
          <w:sz w:val="21"/>
          <w:szCs w:val="21"/>
        </w:rPr>
        <w:t xml:space="preserve"> Matrizes de correlação de Pearson para o conjunto de dados reais (n=20) e os quatro conjuntos de dados sintéticos de referência (n=140 cada). TVAE e TabDDPM reproduzem visualmente a estrutura de correlação real mais de perto; CTGAN é o que mais se distancia.</w:t>
      </w:r>
    </w:p>
    <w:p w:rsidR="00EA2FE1" w:rsidRPr="00352BB0" w:rsidRDefault="00685BE1" w:rsidP="009267ED">
      <w:pPr>
        <w:pStyle w:val="Ttulo2"/>
        <w:spacing w:before="400" w:after="200" w:line="276" w:lineRule="auto"/>
        <w:rPr>
          <w:rFonts w:ascii="Aptos" w:hAnsi="Aptos"/>
          <w:color w:val="000000" w:themeColor="text1"/>
        </w:rPr>
      </w:pPr>
      <w:r>
        <w:rPr>
          <w:rFonts w:ascii="Aptos" w:eastAsia="Calibri" w:hAnsi="Aptos" w:cs="Calibri"/>
          <w:b/>
          <w:bCs/>
          <w:color w:val="000000" w:themeColor="text1"/>
        </w:rPr>
        <w:t>3.3 Sensibilidade (Ruído baseado em DOE de 1%): Estabilidade e Modos de Falha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>Com menos de 1% de ruído baseado em DOE, a utilidade do TVAE aumentou em vez de diminuir (TSTR_best = 0,617, melhor modelo = floresta aleatória), juntamente com maior preservação multivariada (corr_of_corr = 0,638) e maior risco de proximidade (fração DCR&lt;0,1 = 0,629). Os outros três geradores permaneceram negativos: Cópula Gaussiana (TSTR_best = −0,239), CTGAN (TSTR_best = −0,220, com corr_of_corr tornando-se negativo em −0,038) e TabDDPM (TSTR_best = −0,678, corr_of_corr = 0,220, Δ ≈ −0,011 — essencialmente nenhum ganho em relação ao treinamento apenas com dados reais).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lastRenderedPageBreak/>
        <w:t>Alertamos para que não se interprete em excesso a direção da mudança do TVAE entre as configurações (utilidade aumentando sob ruído) como uma descoberta mecanicista. A Seção 3.6 apresenta uma análise de isolamento dedicada, mostrando que o TSTR_best do TVAE, neste tamanho de amostra, varia substancialmente (valores entre 0,039 e 0,668 foram observados em mudanças, de outra forma pequenas, na regularização do modelo subsequente, na convenção do tamanho do conjunto de treinamento sintético e na semente aleatória, mantendo o gerador e os dados fixos; veja a Figura 9). Sob o protocolo com vazamento usado nesses testes de isolamento, o TVAE atingiu utilidade positiva ou próxima de zero na maioria das configurações testadas, enquanto Gaussian Copula, CTGAN e TabDDPM permaneceram negativos. No entanto, a Seção 3.4 mostra que essa vantagem do TVAE não sobrevive à remoção do vazamento: sob LOOCV estrito (protocolo final PEERFIX2), é o CTGAN que apresenta utilidade consistentemente positiva, enquanto o TVAE passa a ser o gerador com pior utilidade. Portanto, tratamos a magnitude exata de qualquer estimativa pontual de utilidade como provisória e dependente do protocolo, e adotamos o resultado sob LOOCV sem vazamento como a referência final deste manuscrito.</w:t>
      </w:r>
    </w:p>
    <w:p w:rsidR="00EA2FE1" w:rsidRPr="009267ED" w:rsidRDefault="00685BE1" w:rsidP="009267ED">
      <w:pPr>
        <w:spacing w:before="200" w:after="100" w:line="276" w:lineRule="auto"/>
        <w:jc w:val="center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>
            <wp:extent cx="4953000" cy="32004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FE1" w:rsidRPr="009267ED" w:rsidRDefault="00685BE1" w:rsidP="009267ED">
      <w:pPr>
        <w:spacing w:after="300" w:line="276" w:lineRule="auto"/>
        <w:jc w:val="center"/>
        <w:rPr>
          <w:rFonts w:ascii="Aptos" w:hAnsi="Aptos"/>
        </w:rPr>
      </w:pPr>
      <w:r>
        <w:rPr>
          <w:rFonts w:ascii="Aptos" w:eastAsia="Calibri" w:hAnsi="Aptos" w:cs="Calibri"/>
          <w:b/>
          <w:i/>
          <w:iCs/>
          <w:sz w:val="21"/>
          <w:szCs w:val="21"/>
        </w:rPr>
        <w:t>Figura 5.</w:t>
      </w:r>
      <w:r>
        <w:rPr>
          <w:rFonts w:ascii="Aptos" w:eastAsia="Calibri" w:hAnsi="Aptos" w:cs="Calibri"/>
          <w:i/>
          <w:iCs/>
          <w:sz w:val="21"/>
          <w:szCs w:val="21"/>
        </w:rPr>
        <w:t xml:space="preserve"> Risco de divulgação de proximidade (fração de amostras sintéticas com Distância ao Registro Mais Próximo &lt; 0,1) por gerador e cenário. O risco de proximidade do TVAE é o mais alto e aumenta ainda mais sob ruído de sensibilidade, juntamente com sua utilidade.</w:t>
      </w:r>
    </w:p>
    <w:p w:rsidR="00EA2FE1" w:rsidRPr="009267ED" w:rsidRDefault="00685BE1" w:rsidP="009267ED">
      <w:pPr>
        <w:spacing w:before="200" w:after="100" w:line="276" w:lineRule="auto"/>
        <w:jc w:val="center"/>
        <w:rPr>
          <w:rFonts w:ascii="Aptos" w:hAnsi="Aptos"/>
        </w:rPr>
      </w:pPr>
      <w:r>
        <w:rPr>
          <w:rFonts w:ascii="Aptos" w:hAnsi="Aptos"/>
          <w:noProof/>
        </w:rPr>
        <w:lastRenderedPageBreak/>
        <w:drawing>
          <wp:inline distT="0" distB="0" distL="0" distR="0">
            <wp:extent cx="4953000" cy="34290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FE1" w:rsidRPr="009267ED" w:rsidRDefault="00685BE1" w:rsidP="009267ED">
      <w:pPr>
        <w:spacing w:after="300" w:line="276" w:lineRule="auto"/>
        <w:jc w:val="center"/>
        <w:rPr>
          <w:rFonts w:ascii="Aptos" w:hAnsi="Aptos"/>
        </w:rPr>
      </w:pPr>
      <w:r>
        <w:rPr>
          <w:rFonts w:ascii="Aptos" w:eastAsia="Calibri" w:hAnsi="Aptos" w:cs="Calibri"/>
          <w:b/>
          <w:i/>
          <w:iCs/>
          <w:sz w:val="21"/>
          <w:szCs w:val="21"/>
        </w:rPr>
        <w:t>Figura 6.</w:t>
      </w:r>
      <w:r>
        <w:rPr>
          <w:rFonts w:ascii="Aptos" w:eastAsia="Calibri" w:hAnsi="Aptos" w:cs="Calibri"/>
          <w:i/>
          <w:iCs/>
          <w:sz w:val="21"/>
          <w:szCs w:val="21"/>
        </w:rPr>
        <w:t xml:space="preserve"> ECDF completa da distância ao registro mais próximo, cenário base. A curva do TVAE está mais à esquerda (mais próxima dos registros reais) para aproximadamente metade de seu conjunto sintético; o limiar τ=0,1 usado na Figura 5 é um corte específico dessa distribuição completa.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>A principal conclusão para fins de modelagem de bioprocessos é que o realismo da distribuição alvo deve predominar sobre o ajuste puramente estatístico: um gerador que distorce a distribuição da resposta não pode suportar uma otimização de processo confiável, independentemente de quão favorável seu resumo de correlação pareça isoladamente.</w:t>
      </w:r>
    </w:p>
    <w:p w:rsidR="00EA2FE1" w:rsidRPr="00352BB0" w:rsidRDefault="00685BE1" w:rsidP="009267ED">
      <w:pPr>
        <w:pStyle w:val="Ttulo2"/>
        <w:spacing w:before="400" w:after="200" w:line="276" w:lineRule="auto"/>
        <w:rPr>
          <w:rFonts w:ascii="Aptos" w:hAnsi="Aptos"/>
          <w:color w:val="000000" w:themeColor="text1"/>
        </w:rPr>
      </w:pPr>
      <w:r>
        <w:rPr>
          <w:rFonts w:ascii="Aptos" w:eastAsia="Calibri" w:hAnsi="Aptos" w:cs="Calibri"/>
          <w:b/>
          <w:bCs/>
          <w:color w:val="000000" w:themeColor="text1"/>
        </w:rPr>
        <w:t>3.4 Concordância Fundamentada no Domínio (ICD)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>A Tabela 2 apresenta o ICD calculado a partir das amostras sintéticas de referência do PEERFIX1 exportadas por gerador (n=140 cada), pontuadas em relação aos dois efeitos validados independentemente para TS na Seção 2.1: o efeito principal do fosfato de potássio (coeficiente ≈ −1,92 nos dados reais, p ≈ 0,030) e a interação ureia × sulfato de amônio (coeficiente ≈ −1,89, p ≈ 0,032, limítrofe). Sob o protocolo final PEERFIX2, o ICD foi recalculado a partir de 10 realizações sintéticas independentes por gerador e cenário, agregado como média ± IC95%, de forma estatisticamente paralela à utilidade (TSTR/Δ).</w:t>
      </w:r>
    </w:p>
    <w:tbl>
      <w:tblPr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7"/>
        <w:gridCol w:w="908"/>
        <w:gridCol w:w="1459"/>
        <w:gridCol w:w="1644"/>
        <w:gridCol w:w="1534"/>
        <w:gridCol w:w="1644"/>
      </w:tblGrid>
      <w:tr w:rsidR="00EA2FE1" w:rsidRPr="009267ED" w:rsidTr="00352BB0">
        <w:trPr>
          <w:tblHeader/>
        </w:trPr>
        <w:tc>
          <w:tcPr>
            <w:tcW w:w="1020" w:type="pct"/>
            <w:shd w:val="clear" w:color="auto" w:fill="BFBFBF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  <w:b/>
                <w:bCs/>
              </w:rPr>
              <w:t>Gerador</w:t>
            </w:r>
          </w:p>
        </w:tc>
        <w:tc>
          <w:tcPr>
            <w:tcW w:w="510" w:type="pct"/>
            <w:shd w:val="clear" w:color="auto" w:fill="BFBFBF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  <w:b/>
                <w:bCs/>
              </w:rPr>
              <w:t>CDI</w:t>
            </w:r>
          </w:p>
        </w:tc>
        <w:tc>
          <w:tcPr>
            <w:tcW w:w="816" w:type="pct"/>
            <w:shd w:val="clear" w:color="auto" w:fill="BFBFBF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  <w:b/>
                <w:bCs/>
              </w:rPr>
              <w:t>Assine Concord.</w:t>
            </w:r>
          </w:p>
        </w:tc>
        <w:tc>
          <w:tcPr>
            <w:tcW w:w="918" w:type="pct"/>
            <w:shd w:val="clear" w:color="auto" w:fill="BFBFBF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  <w:b/>
                <w:bCs/>
              </w:rPr>
              <w:t>Concordância de magnitude.</w:t>
            </w:r>
          </w:p>
        </w:tc>
        <w:tc>
          <w:tcPr>
            <w:tcW w:w="816" w:type="pct"/>
            <w:shd w:val="clear" w:color="auto" w:fill="BFBFBF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  <w:b/>
                <w:bCs/>
              </w:rPr>
              <w:t>Detectabilidade</w:t>
            </w:r>
          </w:p>
        </w:tc>
        <w:tc>
          <w:tcPr>
            <w:tcW w:w="918" w:type="pct"/>
            <w:shd w:val="clear" w:color="auto" w:fill="BFBFBF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  <w:b/>
                <w:bCs/>
              </w:rPr>
              <w:t>Taxa de termo espúrio</w:t>
            </w:r>
          </w:p>
        </w:tc>
      </w:tr>
      <w:tr w:rsidR="00EA2FE1" w:rsidRPr="009267ED" w:rsidTr="00352BB0">
        <w:tc>
          <w:tcPr>
            <w:tcW w:w="102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9267ED">
            <w:pPr>
              <w:spacing w:line="276" w:lineRule="auto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Cópula Gaussiana</w:t>
            </w:r>
          </w:p>
        </w:tc>
        <w:tc>
          <w:tcPr>
            <w:tcW w:w="51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0,333</w:t>
            </w:r>
          </w:p>
        </w:tc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0,50</w:t>
            </w:r>
          </w:p>
        </w:tc>
        <w:tc>
          <w:tcPr>
            <w:tcW w:w="91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0,00</w:t>
            </w:r>
          </w:p>
        </w:tc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0,50</w:t>
            </w:r>
          </w:p>
        </w:tc>
        <w:tc>
          <w:tcPr>
            <w:tcW w:w="91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0,000</w:t>
            </w:r>
          </w:p>
        </w:tc>
      </w:tr>
      <w:tr w:rsidR="00EA2FE1" w:rsidRPr="009267ED" w:rsidTr="00352BB0">
        <w:tc>
          <w:tcPr>
            <w:tcW w:w="102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9267ED">
            <w:pPr>
              <w:spacing w:line="276" w:lineRule="auto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TabDDPM</w:t>
            </w:r>
          </w:p>
        </w:tc>
        <w:tc>
          <w:tcPr>
            <w:tcW w:w="51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0,332</w:t>
            </w:r>
          </w:p>
        </w:tc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0,70</w:t>
            </w:r>
          </w:p>
        </w:tc>
        <w:tc>
          <w:tcPr>
            <w:tcW w:w="91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0,05</w:t>
            </w:r>
          </w:p>
        </w:tc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0,30</w:t>
            </w:r>
          </w:p>
        </w:tc>
        <w:tc>
          <w:tcPr>
            <w:tcW w:w="91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0,175</w:t>
            </w:r>
          </w:p>
        </w:tc>
      </w:tr>
      <w:tr w:rsidR="00EA2FE1" w:rsidRPr="009267ED" w:rsidTr="00352BB0">
        <w:tc>
          <w:tcPr>
            <w:tcW w:w="102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9267ED">
            <w:pPr>
              <w:spacing w:line="276" w:lineRule="auto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TVAE</w:t>
            </w:r>
          </w:p>
        </w:tc>
        <w:tc>
          <w:tcPr>
            <w:tcW w:w="51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0,480</w:t>
            </w:r>
          </w:p>
        </w:tc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0,90</w:t>
            </w:r>
          </w:p>
        </w:tc>
        <w:tc>
          <w:tcPr>
            <w:tcW w:w="91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0,00</w:t>
            </w:r>
          </w:p>
        </w:tc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0,60</w:t>
            </w:r>
          </w:p>
        </w:tc>
        <w:tc>
          <w:tcPr>
            <w:tcW w:w="91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0,200</w:t>
            </w:r>
          </w:p>
        </w:tc>
      </w:tr>
      <w:tr w:rsidR="00EA2FE1" w:rsidRPr="009267ED" w:rsidTr="00352BB0">
        <w:tc>
          <w:tcPr>
            <w:tcW w:w="102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9267ED">
            <w:pPr>
              <w:spacing w:line="276" w:lineRule="auto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lastRenderedPageBreak/>
              <w:t>CTGAN</w:t>
            </w:r>
          </w:p>
        </w:tc>
        <w:tc>
          <w:tcPr>
            <w:tcW w:w="51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0,245</w:t>
            </w:r>
          </w:p>
        </w:tc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0,60</w:t>
            </w:r>
          </w:p>
        </w:tc>
        <w:tc>
          <w:tcPr>
            <w:tcW w:w="91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0,00</w:t>
            </w:r>
          </w:p>
        </w:tc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0,15</w:t>
            </w:r>
          </w:p>
        </w:tc>
        <w:tc>
          <w:tcPr>
            <w:tcW w:w="91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0,050</w:t>
            </w:r>
          </w:p>
        </w:tc>
      </w:tr>
    </w:tbl>
    <w:p w:rsidR="00EA2FE1" w:rsidRPr="009267ED" w:rsidRDefault="00685BE1" w:rsidP="009267ED">
      <w:pPr>
        <w:spacing w:after="200" w:line="276" w:lineRule="auto"/>
        <w:rPr>
          <w:rFonts w:ascii="Aptos" w:hAnsi="Aptos"/>
        </w:rPr>
      </w:pPr>
      <w:r>
        <w:rPr>
          <w:rFonts w:ascii="Aptos" w:eastAsia="Calibri" w:hAnsi="Aptos" w:cs="Calibri"/>
          <w:b/>
          <w:i/>
          <w:iCs/>
        </w:rPr>
        <w:t>Tabela 2.</w:t>
      </w:r>
      <w:r>
        <w:rPr>
          <w:rFonts w:ascii="Aptos" w:eastAsia="Calibri" w:hAnsi="Aptos" w:cs="Calibri"/>
          <w:i/>
          <w:iCs/>
        </w:rPr>
        <w:t xml:space="preserve"> Índice de Concordância Fundamentado no Domínio (ICD) por gerador, cenário de referência PEERFIX1, calculado a partir das amostras sintéticas exportadas em relação aos dois efeitos validados por TS.</w:t>
      </w:r>
    </w:p>
    <w:p w:rsidR="00EA2FE1" w:rsidRPr="009267ED" w:rsidRDefault="00685BE1" w:rsidP="009267ED">
      <w:pPr>
        <w:spacing w:before="200" w:after="100" w:line="276" w:lineRule="auto"/>
        <w:jc w:val="center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>
            <wp:extent cx="4953000" cy="29718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FE1" w:rsidRPr="009267ED" w:rsidRDefault="00685BE1" w:rsidP="009267ED">
      <w:pPr>
        <w:spacing w:after="300" w:line="276" w:lineRule="auto"/>
        <w:jc w:val="center"/>
        <w:rPr>
          <w:rFonts w:ascii="Aptos" w:hAnsi="Aptos"/>
        </w:rPr>
      </w:pPr>
      <w:r>
        <w:rPr>
          <w:rFonts w:ascii="Aptos" w:eastAsia="Calibri" w:hAnsi="Aptos" w:cs="Calibri"/>
          <w:b/>
          <w:i/>
          <w:iCs/>
          <w:sz w:val="21"/>
          <w:szCs w:val="21"/>
        </w:rPr>
        <w:t>Figura 7.</w:t>
      </w:r>
      <w:r>
        <w:rPr>
          <w:rFonts w:ascii="Aptos" w:eastAsia="Calibri" w:hAnsi="Aptos" w:cs="Calibri"/>
          <w:i/>
          <w:iCs/>
          <w:sz w:val="21"/>
          <w:szCs w:val="21"/>
        </w:rPr>
        <w:t xml:space="preserve"> Componentes do CID por gerador (cenário base): concordância de sinal, concordância de magnitude, detectabilidade e o CID composto. Nenhum gerador obteve pontuação acima de zero na concordância de magnitude para qualquer um dos efeitos conhecidos.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>Nenhum gerador domina o ICD (Figura 7). A Cópula Gaussiana recupera o sinal correto de apenas um dos dois efeitos conhecidos, de forma perfeitamente consistente nas 10 realizações (concordância de sinal média = 0,50), e detecta esse mesmo efeito com p&lt;0,05 também de forma consistente (detectabilidade média = 0,50), mas nunca introduz termos espúrios (taxa = 0,000). O TabDDPM recupera o sinal correto na maioria das realizações (concordância de sinal média = 0,70), porém raramente atinge significância estatística (detectabilidade média = 0,30) e ocasionalmente introduz termos espúrios não presentes na análise fatorial real (taxa = 0,175). O TVAE recupera o sinal correto em quase todas as realizações (concordância de sinal média = 0,90) e é o gerador mais consistente em detectar os efeitos conhecidos (detectabilidade média = 0,60), mas introduz termos espúrios em um quinto das realizações (taxa = 0,200), penalizando sua pontuação ICD apesar de sua vantagem na fidelidade científica. O CTGAN recupera o sinal correto em 60% das realizações em média, mas raramente atinge detectabilidade estatística (0,15), a mais fraca entre os quatro geradores. Nenhum gerador recupera a magnitude de qualquer efeito dentro da faixa de tolerância adaptativa em nenhuma realização (concordância de magnitude média = 0,00 para Cópula Gaussiana, TVAE e CTGAN; 0,05 para TabDDPM).</w:t>
      </w:r>
    </w:p>
    <w:p w:rsidR="00EA2FE1" w:rsidRPr="009267ED" w:rsidRDefault="00685BE1" w:rsidP="009267ED">
      <w:pPr>
        <w:spacing w:before="200" w:after="100" w:line="276" w:lineRule="auto"/>
        <w:jc w:val="center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>
            <wp:extent cx="5715000" cy="155257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FE1" w:rsidRPr="009267ED" w:rsidRDefault="00685BE1" w:rsidP="009267ED">
      <w:pPr>
        <w:spacing w:after="300" w:line="276" w:lineRule="auto"/>
        <w:jc w:val="center"/>
        <w:rPr>
          <w:rFonts w:ascii="Aptos" w:hAnsi="Aptos"/>
        </w:rPr>
      </w:pPr>
      <w:r>
        <w:rPr>
          <w:rFonts w:ascii="Aptos" w:eastAsia="Calibri" w:hAnsi="Aptos" w:cs="Calibri"/>
          <w:b/>
          <w:i/>
          <w:iCs/>
          <w:sz w:val="21"/>
          <w:szCs w:val="21"/>
        </w:rPr>
        <w:lastRenderedPageBreak/>
        <w:t>Figura 8.</w:t>
      </w:r>
      <w:r>
        <w:rPr>
          <w:rFonts w:ascii="Aptos" w:eastAsia="Calibri" w:hAnsi="Aptos" w:cs="Calibri"/>
          <w:i/>
          <w:iCs/>
          <w:sz w:val="21"/>
          <w:szCs w:val="21"/>
        </w:rPr>
        <w:t xml:space="preserve"> KH2PO4 vs. tensão superficial — o único efeito significativo confirmado da Seção 2.1 — dados reais (losangos pretos, linha de tendência tracejada) sobrepostos à amostra sintética de referência de cada gerador (n=140, pontos coloridos).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 xml:space="preserve">Essa dissociação — o TVAE claramente à frente no TSTR/Δ, mas não no ICD — é, em nossa opinião, a principal lição metodológica deste estudo: a utilidade preditiva a jusante e a fidelidade científica fundamentada no domínio são propriedades diferentes que não necessariamente covariam, e um protocolo de avaliação de dados sintéticos que relata apenas uma delas corre o risco de recomendar um gerador pelo motivo errado. Nenhum dos quatro geradores recupera a magnitude do efeito dentro da faixa de tolerância adaptativa definida na Seção 2.7 para qualquer efeito conhecido (concordância de magnitude média = 0 em todos os casos), mesmo quando o sinal está correto — consistente com o padrão já observado no cálculo original (pré-PEERFIX1), e reforçando que essa é uma propriedade estável do regime de n pequeno, em vez de um artefato de uma versão específica do pipeline.</w:t>
      </w:r>
    </w:p>
    <w:p w:rsidR="00EA2FE1" w:rsidRDefault="00685BE1" w:rsidP="00352BB0">
      <w:pPr>
        <w:spacing w:after="200" w:line="276" w:lineRule="auto"/>
        <w:jc w:val="both"/>
        <w:rPr>
          <w:rFonts w:ascii="Aptos" w:eastAsia="Calibri" w:hAnsi="Aptos" w:cs="Calibri"/>
          <w:sz w:val="22"/>
          <w:szCs w:val="22"/>
        </w:rPr>
      </w:pPr>
      <w:r>
        <w:rPr>
          <w:rFonts w:ascii="Aptos" w:eastAsia="Calibri" w:hAnsi="Aptos" w:cs="Calibri"/>
          <w:sz w:val="22"/>
          <w:szCs w:val="22"/>
        </w:rPr>
        <w:t>O diagnóstico de termos espúrios identifica um modo de falha concreto e verificável: em uma realização sintética ilustrativa do TVAE, os dados sintéticos mostraram dois efeitos estatisticamente significativos ausentes nos dados reais — um efeito principal da ureia (p ≈ 0,002 nos dados sintéticos vs. p ≈ 0,504 nos dados reais) e uma interação sulfato de amônio × fosfato de potássio (p ≈ 0,043 vs. p ≈ 0,579). Agregada sobre as 10 realizações, essa tendência se confirma como sistemática: o TVAE introduziu termos espúrios em 20% das realizações (Tabela 2), a taxa mais alta entre os quatro geradores, seguido pelo TabDDPM (17,5%) e pelo CTGAN (5%); a Cópula Gaussiana não introduziu termos espúrios em nenhuma realização (0%). Este é um complemento útil aos resultados de utilidade: sob o protocolo final PEERFIX2, é o CTGAN que apresenta o único sinal de utilidade positivo consistente, enquanto o TVAE — apesar de liderar o ICD — é também o gerador mais propenso a criar estrutura fatorial que o experimento real não suporta. Essa dissociação é precisamente o modo de falha que as métricas genéricas de fidelidade (KS, Wasserstein, corr_of_corr) não foram projetadas para detectar.</w:t>
      </w:r>
    </w:p>
    <w:p w:rsidR="00352BB0" w:rsidRPr="009267ED" w:rsidRDefault="00352BB0" w:rsidP="00352BB0">
      <w:pPr>
        <w:spacing w:after="200" w:line="276" w:lineRule="auto"/>
        <w:jc w:val="both"/>
        <w:rPr>
          <w:rFonts w:ascii="Aptos" w:hAnsi="Aptos"/>
        </w:rPr>
      </w:pPr>
    </w:p>
    <w:p w:rsidR="00EA2FE1" w:rsidRPr="00352BB0" w:rsidRDefault="00685BE1" w:rsidP="009267ED">
      <w:pPr>
        <w:pStyle w:val="Ttulo2"/>
        <w:spacing w:before="400" w:after="200" w:line="276" w:lineRule="auto"/>
        <w:rPr>
          <w:rFonts w:ascii="Aptos" w:hAnsi="Aptos"/>
          <w:color w:val="000000" w:themeColor="text1"/>
        </w:rPr>
      </w:pPr>
      <w:r>
        <w:rPr>
          <w:rFonts w:ascii="Aptos" w:eastAsia="Calibri" w:hAnsi="Aptos" w:cs="Calibri"/>
          <w:b/>
          <w:bCs/>
          <w:color w:val="000000" w:themeColor="text1"/>
        </w:rPr>
        <w:t>3.6 Sensibilidade das métricas de utilidade principais às escolhas do protocolo de avaliação em n≈20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>Durante a revisão do manuscrito, um reprocessamento independente do pipeline de geração e avaliação produziu valores de TSTR_best negativos para todos os quatro geradores, aparentemente contradizendo os resultados das Seções 3.1 e 3.3. Uma análise de isolamento de variáveis atribuiu isso a duas diferenças metodológicas silenciosas em relação ao protocolo descrito na Seção 2.5 — regularização do modelo de regressão e a convenção usada para dimensionar o conjunto de treinamento sintético para TSTR — agravadas por uma diferença na semente aleatória. A Tabela 3 apresenta o TSTR_best do TVAE em cada combinação, mantendo fixos o conjunto de dados real, a variável alvo e o gerador.</w:t>
      </w:r>
    </w:p>
    <w:tbl>
      <w:tblPr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9"/>
        <w:gridCol w:w="2604"/>
        <w:gridCol w:w="1687"/>
        <w:gridCol w:w="922"/>
        <w:gridCol w:w="1434"/>
      </w:tblGrid>
      <w:tr w:rsidR="00EA2FE1" w:rsidRPr="009267ED" w:rsidTr="00352BB0">
        <w:trPr>
          <w:tblHeader/>
        </w:trPr>
        <w:tc>
          <w:tcPr>
            <w:tcW w:w="1380" w:type="pct"/>
            <w:shd w:val="clear" w:color="auto" w:fill="BFBFBF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  <w:b/>
                <w:bCs/>
              </w:rPr>
              <w:t>Configuração</w:t>
            </w:r>
          </w:p>
        </w:tc>
        <w:tc>
          <w:tcPr>
            <w:tcW w:w="1302" w:type="pct"/>
            <w:shd w:val="clear" w:color="auto" w:fill="BFBFBF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  <w:b/>
                <w:bCs/>
              </w:rPr>
              <w:t>Regularizado por RF (profundidade_máxima=15)</w:t>
            </w:r>
          </w:p>
        </w:tc>
        <w:tc>
          <w:tcPr>
            <w:tcW w:w="1001" w:type="pct"/>
            <w:shd w:val="clear" w:color="auto" w:fill="BFBFBF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  <w:b/>
                <w:bCs/>
              </w:rPr>
              <w:t xml:space="preserve">TSTR treinado em n_synthetic completo = 140</w:t>
            </w:r>
          </w:p>
        </w:tc>
        <w:tc>
          <w:tcPr>
            <w:tcW w:w="461" w:type="pct"/>
            <w:shd w:val="clear" w:color="auto" w:fill="BFBFBF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  <w:b/>
                <w:bCs/>
              </w:rPr>
              <w:t>Semente</w:t>
            </w:r>
          </w:p>
        </w:tc>
        <w:tc>
          <w:tcPr>
            <w:tcW w:w="856" w:type="pct"/>
            <w:shd w:val="clear" w:color="auto" w:fill="BFBFBF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  <w:b/>
                <w:bCs/>
              </w:rPr>
              <w:t xml:space="preserve">TVAE TSTR_melhor</w:t>
            </w:r>
          </w:p>
        </w:tc>
      </w:tr>
      <w:tr w:rsidR="00EA2FE1" w:rsidRPr="009267ED" w:rsidTr="00352BB0">
        <w:tc>
          <w:tcPr>
            <w:tcW w:w="138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both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Execução original verificada (com base no manuscrito)</w:t>
            </w:r>
          </w:p>
        </w:tc>
        <w:tc>
          <w:tcPr>
            <w:tcW w:w="130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Sim</w:t>
            </w:r>
          </w:p>
        </w:tc>
        <w:tc>
          <w:tcPr>
            <w:tcW w:w="100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Sim</w:t>
            </w:r>
          </w:p>
        </w:tc>
        <w:tc>
          <w:tcPr>
            <w:tcW w:w="46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123</w:t>
            </w:r>
          </w:p>
        </w:tc>
        <w:tc>
          <w:tcPr>
            <w:tcW w:w="85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0,668</w:t>
            </w:r>
          </w:p>
        </w:tc>
      </w:tr>
      <w:tr w:rsidR="00EA2FE1" w:rsidRPr="009267ED" w:rsidTr="00352BB0">
        <w:tc>
          <w:tcPr>
            <w:tcW w:w="138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both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Repetição independente (sem modificações)</w:t>
            </w:r>
          </w:p>
        </w:tc>
        <w:tc>
          <w:tcPr>
            <w:tcW w:w="130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Não</w:t>
            </w:r>
          </w:p>
        </w:tc>
        <w:tc>
          <w:tcPr>
            <w:tcW w:w="100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 xml:space="preserve">Não (subamostrado para ≈15)</w:t>
            </w:r>
          </w:p>
        </w:tc>
        <w:tc>
          <w:tcPr>
            <w:tcW w:w="46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42</w:t>
            </w:r>
          </w:p>
        </w:tc>
        <w:tc>
          <w:tcPr>
            <w:tcW w:w="85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−0,254</w:t>
            </w:r>
          </w:p>
        </w:tc>
      </w:tr>
      <w:tr w:rsidR="00EA2FE1" w:rsidRPr="009267ED" w:rsidTr="00352BB0">
        <w:tc>
          <w:tcPr>
            <w:tcW w:w="138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both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lastRenderedPageBreak/>
              <w:t>Teste de isolamento 1</w:t>
            </w:r>
          </w:p>
        </w:tc>
        <w:tc>
          <w:tcPr>
            <w:tcW w:w="130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Sim</w:t>
            </w:r>
          </w:p>
        </w:tc>
        <w:tc>
          <w:tcPr>
            <w:tcW w:w="100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 xml:space="preserve">Não (subamostrado para ≈15)</w:t>
            </w:r>
          </w:p>
        </w:tc>
        <w:tc>
          <w:tcPr>
            <w:tcW w:w="46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42</w:t>
            </w:r>
          </w:p>
        </w:tc>
        <w:tc>
          <w:tcPr>
            <w:tcW w:w="85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0,039</w:t>
            </w:r>
          </w:p>
        </w:tc>
      </w:tr>
      <w:tr w:rsidR="00EA2FE1" w:rsidRPr="009267ED" w:rsidTr="00352BB0">
        <w:tc>
          <w:tcPr>
            <w:tcW w:w="138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both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Teste de isolamento 2</w:t>
            </w:r>
          </w:p>
        </w:tc>
        <w:tc>
          <w:tcPr>
            <w:tcW w:w="130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Sim</w:t>
            </w:r>
          </w:p>
        </w:tc>
        <w:tc>
          <w:tcPr>
            <w:tcW w:w="100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Sim</w:t>
            </w:r>
          </w:p>
        </w:tc>
        <w:tc>
          <w:tcPr>
            <w:tcW w:w="46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42</w:t>
            </w:r>
          </w:p>
        </w:tc>
        <w:tc>
          <w:tcPr>
            <w:tcW w:w="85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0,207</w:t>
            </w:r>
          </w:p>
        </w:tc>
      </w:tr>
      <w:tr w:rsidR="00EA2FE1" w:rsidRPr="009267ED" w:rsidTr="00352BB0">
        <w:tc>
          <w:tcPr>
            <w:tcW w:w="138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both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Teste de isolamento 3</w:t>
            </w:r>
          </w:p>
        </w:tc>
        <w:tc>
          <w:tcPr>
            <w:tcW w:w="130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Sim</w:t>
            </w:r>
          </w:p>
        </w:tc>
        <w:tc>
          <w:tcPr>
            <w:tcW w:w="100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Sim</w:t>
            </w:r>
          </w:p>
        </w:tc>
        <w:tc>
          <w:tcPr>
            <w:tcW w:w="46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123</w:t>
            </w:r>
          </w:p>
        </w:tc>
        <w:tc>
          <w:tcPr>
            <w:tcW w:w="85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0,442</w:t>
            </w:r>
          </w:p>
        </w:tc>
      </w:tr>
      <w:tr w:rsidR="00EA2FE1" w:rsidRPr="009267ED" w:rsidTr="00352BB0">
        <w:tc>
          <w:tcPr>
            <w:tcW w:w="138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both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Linha de base PEERFIX1 (este manuscrito, Seção 3.1)</w:t>
            </w:r>
          </w:p>
        </w:tc>
        <w:tc>
          <w:tcPr>
            <w:tcW w:w="130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Sim</w:t>
            </w:r>
          </w:p>
        </w:tc>
        <w:tc>
          <w:tcPr>
            <w:tcW w:w="100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Sim</w:t>
            </w:r>
          </w:p>
        </w:tc>
        <w:tc>
          <w:tcPr>
            <w:tcW w:w="46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123</w:t>
            </w:r>
          </w:p>
        </w:tc>
        <w:tc>
          <w:tcPr>
            <w:tcW w:w="85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0,143 (mlp)</w:t>
            </w:r>
          </w:p>
        </w:tc>
      </w:tr>
      <w:tr w:rsidR="00EA2FE1" w:rsidRPr="009267ED" w:rsidTr="00352BB0">
        <w:tc>
          <w:tcPr>
            <w:tcW w:w="138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both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Sensibilidade do PEERFIX1 (este manuscrito, Seção 3.3)</w:t>
            </w:r>
          </w:p>
        </w:tc>
        <w:tc>
          <w:tcPr>
            <w:tcW w:w="130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Sim</w:t>
            </w:r>
          </w:p>
        </w:tc>
        <w:tc>
          <w:tcPr>
            <w:tcW w:w="100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Sim</w:t>
            </w:r>
          </w:p>
        </w:tc>
        <w:tc>
          <w:tcPr>
            <w:tcW w:w="46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123</w:t>
            </w:r>
          </w:p>
        </w:tc>
        <w:tc>
          <w:tcPr>
            <w:tcW w:w="85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>
              <w:rPr>
                <w:rFonts w:ascii="Aptos" w:eastAsia="Calibri" w:hAnsi="Aptos" w:cs="Calibri"/>
              </w:rPr>
              <w:t>0,617 (rf)</w:t>
            </w:r>
          </w:p>
        </w:tc>
      </w:tr>
    </w:tbl>
    <w:p w:rsidR="00EA2FE1" w:rsidRPr="009267ED" w:rsidRDefault="00685BE1" w:rsidP="009267ED">
      <w:pPr>
        <w:spacing w:after="200" w:line="276" w:lineRule="auto"/>
        <w:rPr>
          <w:rFonts w:ascii="Aptos" w:hAnsi="Aptos"/>
        </w:rPr>
      </w:pPr>
      <w:r>
        <w:rPr>
          <w:rFonts w:ascii="Aptos" w:eastAsia="Calibri" w:hAnsi="Aptos" w:cs="Calibri"/>
          <w:b/>
          <w:i/>
          <w:iCs/>
        </w:rPr>
        <w:t>Tabela 3.</w:t>
      </w:r>
      <w:r>
        <w:rPr>
          <w:rFonts w:ascii="Aptos" w:eastAsia="Calibri" w:hAnsi="Aptos" w:cs="Calibri"/>
          <w:i/>
          <w:iCs/>
        </w:rPr>
        <w:t xml:space="preserve"> Melhor TSTR do TVAE em sete reprocessamentos dos mesmos dados subjacentes, variando apenas a regularização do modelo subsequente, a convenção de tamanho do conjunto de treinamento sintético e a semente aleatória.</w:t>
      </w:r>
    </w:p>
    <w:p w:rsidR="00EA2FE1" w:rsidRPr="009267ED" w:rsidRDefault="00685BE1" w:rsidP="009267ED">
      <w:pPr>
        <w:spacing w:before="200" w:after="100" w:line="276" w:lineRule="auto"/>
        <w:jc w:val="center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>
            <wp:extent cx="4953000" cy="260032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FE1" w:rsidRPr="009267ED" w:rsidRDefault="00685BE1" w:rsidP="009267ED">
      <w:pPr>
        <w:spacing w:after="300" w:line="276" w:lineRule="auto"/>
        <w:jc w:val="center"/>
        <w:rPr>
          <w:rFonts w:ascii="Aptos" w:hAnsi="Aptos"/>
        </w:rPr>
      </w:pPr>
      <w:r>
        <w:rPr>
          <w:rFonts w:ascii="Aptos" w:eastAsia="Calibri" w:hAnsi="Aptos" w:cs="Calibri"/>
          <w:b/>
          <w:i/>
          <w:iCs/>
          <w:sz w:val="21"/>
          <w:szCs w:val="21"/>
        </w:rPr>
        <w:t>Figura 9.</w:t>
      </w:r>
      <w:r>
        <w:rPr>
          <w:rFonts w:ascii="Aptos" w:eastAsia="Calibri" w:hAnsi="Aptos" w:cs="Calibri"/>
          <w:i/>
          <w:iCs/>
          <w:sz w:val="21"/>
          <w:szCs w:val="21"/>
        </w:rPr>
        <w:t xml:space="preserve"> Melhor TSTR do TVAE nos sete reprocessamentos da Tabela 3. O gerador e os dados subjacentes são idênticos em todos os casos; apenas a regularização do modelo subsequente, a convenção do tamanho do conjunto de treinamento sintético e a semente aleatória variam.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 xml:space="preserve">Três observações se seguem (Tabela 3, Figura 9). Primeiro, tanto a regularização quanto a convenção de conjunto de treinamento completo versus subamostrado movem o TSTR_best substancialmente e na direção esperada — uma floresta aleatória não regularizada sofre sobreajuste na divisão de treinamento real de ≈15 pontos, e a subamostragem do conjunto de treinamento sintético para o tamanho do conjunto de treinamento real descarta informações que a expansão fatorial foi projetada para fornecer, o que por si só é um argumento para treinar modelos TSTR na expansão sintética completa, conforme especificado na Seção 2.5 e como o protocolo original fazia. Segundo, a semente aleatória sozinha explica uma oscilação de magnitude comparável (0,207 → 0,442 para configurações idênticas em todos os outros aspectos), confirmando que a avaliação com n≈20 é inerentemente de alta variância e que o </w:t>
        <w:lastRenderedPageBreak/>
        <w:t>resultado de nenhuma semente individual deve ser relatado sem agregação entre as sementes ou reconhecimento explícito dessa sensibilidade. Terceiro, e mais importante, o TSTR_best do TVAE foi positivo ou pelo menos não negativo em seis das sete configurações testadas, e foi sempre o menos negativo ou o mais positivo entre os quatro geradores quando todos os quatro foram calculados sob a mesma configuração — a descoberta qualitativa (TVAE à frente da Cópula Gaussiana, CTGAN e TabDDPM) é robusta, embora a magnitude quantitativa não o seja.</w:t>
      </w:r>
    </w:p>
    <w:p w:rsidR="00EA2FE1" w:rsidRDefault="00685BE1" w:rsidP="00352BB0">
      <w:pPr>
        <w:spacing w:after="200" w:line="276" w:lineRule="auto"/>
        <w:jc w:val="both"/>
        <w:rPr>
          <w:rFonts w:ascii="Aptos" w:eastAsia="Calibri" w:hAnsi="Aptos" w:cs="Calibri"/>
          <w:sz w:val="22"/>
          <w:szCs w:val="22"/>
        </w:rPr>
      </w:pPr>
      <w:r>
        <w:rPr>
          <w:rFonts w:ascii="Aptos" w:eastAsia="Calibri" w:hAnsi="Aptos" w:cs="Calibri"/>
          <w:sz w:val="22"/>
          <w:szCs w:val="22"/>
        </w:rPr>
        <w:t>Apresentamos esta análise como parte substancial da contribuição do artigo, e não como uma limitação a ser minimizada. Um protocolo que reporta um único valor TSTR por gerador, sem caracterizar sua sensibilidade a escolhas de implementação que são individualmente razoáveis e pouco documentadas na literatura sobre dados sintéticos, corre o risco de apresentar uma estimativa pontual frágil como um resultado estável. Recomendamos que futuras aplicações do protocolo fidelidade-utilidade-risco-ICD proposto aqui reportem, no mínimo, a regularização do modelo subsequente utilizada, a convenção de tamanho do conjunto de treinamento sintético e os resultados agregados em múltiplas sementes — e não apenas múltiplas execuções dentro de uma mesma semente, como já ocorre neste estudo com n_runs=10.
É importante situar esta análise de isolamento na cronologia da validação. Ela foi conduzida sob o protocolo com vazamento que precedeu o PEERFIX2 e teve exatamente a função de expor a fragilidade desse protocolo — foi a motivação direta para adotar o LOOCV estrito por fold, sem vazamento, como validação final. Sob esse protocolo final (Seção 3.1), a vantagem do TVAE em utilidade não se sustenta: é o CTGAN que exibe utilidade positiva consistente, enquanto o TVAE passa a ser o gerador com pior utilidade, ainda que mantenha a liderança em ICD. A descoberta qualitativa "TVAE à frente" relatada nesta seção é, portanto, uma propriedade do protocolo com vazamento, não do gerador em si — o que reforça, e não contradiz, o argumento central do artigo de que a escolha do protocolo de avaliação determina a conclusão científica tanto quanto o próprio gerador.</w:t>
      </w:r>
    </w:p>
    <w:p w:rsidR="00352BB0" w:rsidRPr="009267ED" w:rsidRDefault="00352BB0" w:rsidP="00352BB0">
      <w:pPr>
        <w:spacing w:after="200" w:line="276" w:lineRule="auto"/>
        <w:jc w:val="both"/>
        <w:rPr>
          <w:rFonts w:ascii="Aptos" w:hAnsi="Aptos"/>
        </w:rPr>
      </w:pPr>
    </w:p>
    <w:p w:rsidR="00EA2FE1" w:rsidRPr="00352BB0" w:rsidRDefault="00685BE1" w:rsidP="009267ED">
      <w:pPr>
        <w:pStyle w:val="Ttulo2"/>
        <w:spacing w:before="400" w:after="200" w:line="276" w:lineRule="auto"/>
        <w:rPr>
          <w:rFonts w:ascii="Aptos" w:hAnsi="Aptos"/>
          <w:color w:val="000000" w:themeColor="text1"/>
        </w:rPr>
      </w:pPr>
      <w:r>
        <w:rPr>
          <w:rFonts w:ascii="Aptos" w:eastAsia="Calibri" w:hAnsi="Aptos" w:cs="Calibri"/>
          <w:b/>
          <w:bCs/>
          <w:color w:val="000000" w:themeColor="text1"/>
        </w:rPr>
        <w:t>3.7 Implicações práticas: Aprimorando — e não substituindo — os experimentos planejados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>As evidências combinadas apoiam um fluxo de trabalho pragmático. A expansão sintética pode: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>Ampliar conjuntos de dados fatoriais esparsos para pré-treinamento e modelagem exploratória;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>Destacar regiões de alto impacto (ótimos candidatos) para posterior replicação em escala laboratorial;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>Permitir análises de sensibilidade em condições hipotéticas.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>No entanto, o limite de desempenho observado e a fragilidade da sensibilidade indicam que dados sintéticos não podem substituir a replicação experimental adicional ou estratégias de projeto aprimoradas (por exemplo, projetos compostos centrais ou metodologia de superfície de resposta) quando o objetivo é a otimização e o aumento de escala do processo. Para aplicações que exigem confidencialidade, as curvas de risco de proximidade devem ser tratadas como diagnósticos de primeira classe; em vez de ruído aditivo uniforme, o pós-processamento com reconhecimento de risco (filtragem de DCR mínimo, remoção de quase duplicatas) e a perturbação com reconhecimento do nível do fator são mais apropriados para dados fatoriais com um pequeno número de níveis de entrada discretos.</w:t>
      </w:r>
    </w:p>
    <w:p w:rsidR="00352BB0" w:rsidRDefault="00352BB0" w:rsidP="009267ED">
      <w:pPr>
        <w:spacing w:line="276" w:lineRule="auto"/>
        <w:rPr>
          <w:rFonts w:ascii="Aptos" w:hAnsi="Aptos"/>
        </w:rPr>
      </w:pPr>
    </w:p>
    <w:p w:rsidR="00352BB0" w:rsidRDefault="00352BB0" w:rsidP="009267ED">
      <w:pPr>
        <w:spacing w:line="276" w:lineRule="auto"/>
        <w:rPr>
          <w:rFonts w:ascii="Aptos" w:hAnsi="Aptos"/>
        </w:rPr>
      </w:pPr>
    </w:p>
    <w:p w:rsidR="00EA2FE1" w:rsidRPr="00352BB0" w:rsidRDefault="00685BE1" w:rsidP="009267ED">
      <w:pPr>
        <w:pStyle w:val="Ttulo1"/>
        <w:spacing w:before="400" w:after="200" w:line="276" w:lineRule="auto"/>
        <w:rPr>
          <w:rFonts w:ascii="Aptos" w:hAnsi="Aptos"/>
          <w:color w:val="000000" w:themeColor="text1"/>
        </w:rPr>
      </w:pPr>
      <w:r>
        <w:rPr>
          <w:rFonts w:ascii="Aptos" w:eastAsia="Calibri" w:hAnsi="Aptos" w:cs="Calibri"/>
          <w:b/>
          <w:bCs/>
          <w:color w:val="000000" w:themeColor="text1"/>
        </w:rPr>
        <w:t>4. Conclusão</w:t>
      </w:r>
    </w:p>
    <w:p w:rsidR="00EA2FE1" w:rsidRDefault="00685BE1" w:rsidP="00352BB0">
      <w:pPr>
        <w:spacing w:after="200" w:line="276" w:lineRule="auto"/>
        <w:jc w:val="both"/>
        <w:rPr>
          <w:rFonts w:ascii="Aptos" w:eastAsia="Calibri" w:hAnsi="Aptos" w:cs="Calibri"/>
          <w:color w:val="FF0000"/>
          <w:sz w:val="18"/>
          <w:szCs w:val="18"/>
        </w:rPr>
      </w:pPr>
      <w:r>
        <w:rPr>
          <w:rFonts w:ascii="Aptos" w:eastAsia="Calibri" w:hAnsi="Aptos" w:cs="Calibri"/>
          <w:color w:val="FF0000"/>
          <w:sz w:val="18"/>
          <w:szCs w:val="18"/>
        </w:rPr>
        <w:t>Este trabalho investigou se a geração de dados sintéticos pode amplificar o valor analítico de um pequeno experimento fatorial em escala laboratorial com alta validade interna sobre a produção de bioemulsificantes/biossurfactantes, sem comprometer a interpretabilidade experimental, e introduziu um critério de validação — o Índice de Concordância Fundamentado no Domínio — que ancora a credibilidade dos dados sintéticos em descobertas científicas validadas independentemente, em vez de apenas em semelhanças estatísticas genéricas.</w:t>
      </w:r>
    </w:p>
    <w:p w:rsidR="00026DBA" w:rsidRPr="0056525F" w:rsidRDefault="00026DBA" w:rsidP="00352BB0">
      <w:pPr>
        <w:spacing w:after="200" w:line="276" w:lineRule="auto"/>
        <w:jc w:val="both"/>
        <w:rPr>
          <w:rFonts w:ascii="Aptos" w:eastAsia="Calibri" w:hAnsi="Aptos" w:cs="Calibri"/>
          <w:color w:val="FF0000"/>
          <w:sz w:val="18"/>
          <w:szCs w:val="18"/>
        </w:rPr>
      </w:pPr>
      <w:r>
        <w:rPr>
          <w:rStyle w:val="ng-star-inserted"/>
          <w:rFonts w:ascii="Google Sans Text" w:hAnsi="Google Sans Text"/>
          <w:color w:val="303030"/>
          <w:shd w:val="clear" w:color="auto" w:fill="FFFFFF"/>
        </w:rPr>
        <w:lastRenderedPageBreak/>
        <w:t xml:space="preserve">Este estudo confirma que a expansão sintética em bioprocessos de bancada é estatisticamente instável e exige cautela. O uso do protocolo </w:t>
      </w:r>
      <w:r>
        <w:rPr>
          <w:rFonts w:ascii="Google Sans Text" w:hAnsi="Google Sans Text"/>
          <w:b/>
          <w:bCs/>
          <w:color w:val="303030"/>
          <w:shd w:val="clear" w:color="auto" w:fill="FFFFFF"/>
        </w:rPr>
        <w:t>PEERFIX2/LOOCV</w:t>
      </w:r>
      <w:r>
        <w:rPr>
          <w:rStyle w:val="ng-star-inserted"/>
          <w:rFonts w:ascii="Google Sans Text" w:hAnsi="Google Sans Text"/>
          <w:color w:val="303030"/>
          <w:shd w:val="clear" w:color="auto" w:fill="FFFFFF"/>
        </w:rPr>
        <w:t xml:space="preserve"> permitiu identificar uma tensão inerente entre a utilidade de modelagem e a integridade dos efeitos fatoriais. Demonstramos que a IA pode atuar como um complemento ao DOE, mas sua "fidelidade" é uma propriedade multidimensional: um modelo pode ser preditivamente útil sem ser cientificamente fiel, ou vice-versa. O </w:t>
      </w:r>
      <w:r>
        <w:rPr>
          <w:rFonts w:ascii="Google Sans Text" w:hAnsi="Google Sans Text"/>
          <w:b/>
          <w:bCs/>
          <w:color w:val="303030"/>
          <w:shd w:val="clear" w:color="auto" w:fill="FFFFFF"/>
        </w:rPr>
        <w:t>ICD</w:t>
      </w:r>
      <w:r>
        <w:rPr>
          <w:rStyle w:val="ng-star-inserted"/>
          <w:rFonts w:ascii="Google Sans Text" w:hAnsi="Google Sans Text"/>
          <w:color w:val="303030"/>
          <w:shd w:val="clear" w:color="auto" w:fill="FFFFFF"/>
        </w:rPr>
        <w:t xml:space="preserve"> provou ser uma ferramenta de auditoria essencial, capaz de detectar quando um gerador (como o TVAE) preserva a ciência real, mesmo quando sua utilidade preditiva é limitada</w:t>
      </w:r>
    </w:p>
    <w:p w:rsidR="00EA2FE1" w:rsidRPr="00352BB0" w:rsidRDefault="00685BE1" w:rsidP="009267ED">
      <w:pPr>
        <w:pStyle w:val="Ttulo2"/>
        <w:spacing w:before="400" w:after="200" w:line="276" w:lineRule="auto"/>
        <w:rPr>
          <w:rFonts w:ascii="Aptos" w:hAnsi="Aptos"/>
          <w:color w:val="000000" w:themeColor="text1"/>
        </w:rPr>
      </w:pPr>
      <w:r>
        <w:rPr>
          <w:rFonts w:ascii="Aptos" w:eastAsia="Calibri" w:hAnsi="Aptos" w:cs="Calibri"/>
          <w:b/>
          <w:bCs/>
          <w:color w:val="000000" w:themeColor="text1"/>
        </w:rPr>
        <w:t>4.1 Principais Conclusões</w:t>
      </w:r>
    </w:p>
    <w:p w:rsidR="00026DBA" w:rsidRPr="00954A8D" w:rsidRDefault="00026DBA" w:rsidP="00954A8D">
      <w:pPr>
        <w:spacing w:after="120" w:line="276" w:lineRule="auto"/>
        <w:jc w:val="both"/>
        <w:rPr>
          <w:rFonts w:ascii="Aptos" w:hAnsi="Aptos"/>
          <w:sz w:val="22"/>
          <w:szCs w:val="22"/>
        </w:rPr>
      </w:pPr>
      <w:r>
        <w:rPr>
          <w:rStyle w:val="ng-star-inserted"/>
          <w:rFonts w:ascii="Aptos" w:hAnsi="Aptos"/>
          <w:color w:val="303030"/>
          <w:sz w:val="22"/>
          <w:szCs w:val="22"/>
          <w:shd w:val="clear" w:color="auto" w:fill="FFFFFF"/>
        </w:rPr>
        <w:t xml:space="preserve">A nova hierarquia de geradores, estabelecida após o processamento rigoroso do protocolo </w:t>
      </w:r>
      <w:r>
        <w:rPr>
          <w:rFonts w:ascii="Aptos" w:hAnsi="Aptos"/>
          <w:b/>
          <w:bCs/>
          <w:color w:val="303030"/>
          <w:sz w:val="22"/>
          <w:szCs w:val="22"/>
          <w:shd w:val="clear" w:color="auto" w:fill="FFFFFF"/>
        </w:rPr>
        <w:t>PEERFIX2</w:t>
      </w:r>
      <w:r>
        <w:rPr>
          <w:rStyle w:val="ng-star-inserted"/>
          <w:rFonts w:ascii="Aptos" w:hAnsi="Aptos"/>
          <w:color w:val="303030"/>
          <w:sz w:val="22"/>
          <w:szCs w:val="22"/>
          <w:shd w:val="clear" w:color="auto" w:fill="FFFFFF"/>
        </w:rPr>
        <w:t xml:space="preserve"> (com a implementação do </w:t>
      </w:r>
      <w:r>
        <w:rPr>
          <w:rFonts w:ascii="Aptos" w:hAnsi="Aptos"/>
          <w:b/>
          <w:bCs/>
          <w:color w:val="303030"/>
          <w:sz w:val="22"/>
          <w:szCs w:val="22"/>
          <w:shd w:val="clear" w:color="auto" w:fill="FFFFFF"/>
        </w:rPr>
        <w:t>LOOCV</w:t>
      </w:r>
      <w:r>
        <w:rPr>
          <w:rStyle w:val="ng-star-inserted"/>
          <w:rFonts w:ascii="Aptos" w:hAnsi="Aptos"/>
          <w:color w:val="303030"/>
          <w:sz w:val="22"/>
          <w:szCs w:val="22"/>
          <w:shd w:val="clear" w:color="auto" w:fill="FFFFFF"/>
        </w:rPr>
        <w:t xml:space="preserve"> sem vazamento de dados), traz implicações práticas fundamentais para o uso de IA em bioprocessos de bancada. A principal mudança é a descoberta de uma </w:t>
      </w:r>
      <w:r>
        <w:rPr>
          <w:rFonts w:ascii="Aptos" w:hAnsi="Aptos"/>
          <w:b/>
          <w:bCs/>
          <w:color w:val="303030"/>
          <w:sz w:val="22"/>
          <w:szCs w:val="22"/>
          <w:shd w:val="clear" w:color="auto" w:fill="FFFFFF"/>
        </w:rPr>
        <w:t>dissociação nítida entre utilidade preditiva e fidelidade científica:</w:t>
      </w:r>
    </w:p>
    <w:p w:rsidR="00026DBA" w:rsidRPr="00026DBA" w:rsidRDefault="00026DBA" w:rsidP="00954A8D">
      <w:pPr>
        <w:spacing w:line="276" w:lineRule="auto"/>
        <w:jc w:val="both"/>
        <w:rPr>
          <w:rFonts w:ascii="Aptos" w:hAnsi="Aptos"/>
          <w:b/>
          <w:color w:val="303030"/>
          <w:sz w:val="22"/>
          <w:szCs w:val="22"/>
        </w:rPr>
      </w:pPr>
      <w:r>
        <w:rPr>
          <w:rFonts w:ascii="Aptos" w:hAnsi="Aptos"/>
          <w:color w:val="303030"/>
          <w:sz w:val="22"/>
          <w:szCs w:val="22"/>
        </w:rPr>
        <w:t xml:space="preserve">1. </w:t>
      </w:r>
      <w:r>
        <w:rPr>
          <w:rFonts w:ascii="Aptos" w:hAnsi="Aptos"/>
          <w:b/>
          <w:color w:val="303030"/>
          <w:sz w:val="22"/>
          <w:szCs w:val="22"/>
        </w:rPr>
        <w:t>Escolha do Gerador Baseada no Objetivo:</w:t>
      </w:r>
    </w:p>
    <w:p w:rsidR="00026DBA" w:rsidRPr="00026DBA" w:rsidRDefault="00954A8D" w:rsidP="00954A8D">
      <w:pPr>
        <w:spacing w:line="276" w:lineRule="auto"/>
        <w:jc w:val="both"/>
        <w:rPr>
          <w:rFonts w:ascii="Aptos" w:hAnsi="Aptos"/>
          <w:color w:val="303030"/>
          <w:sz w:val="22"/>
          <w:szCs w:val="22"/>
        </w:rPr>
      </w:pPr>
      <w:r>
        <w:rPr>
          <w:rFonts w:ascii="Aptos" w:hAnsi="Aptos"/>
          <w:color w:val="303030"/>
          <w:sz w:val="22"/>
          <w:szCs w:val="22"/>
        </w:rPr>
        <w:t xml:space="preserve">A escolha do modelo agora depende estritamente do que o pesquisador busca:</w:t>
      </w:r>
    </w:p>
    <w:p w:rsidR="00026DBA" w:rsidRPr="00026DBA" w:rsidRDefault="00026DBA" w:rsidP="00954A8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Aptos" w:hAnsi="Aptos"/>
          <w:color w:val="303030"/>
          <w:sz w:val="22"/>
          <w:szCs w:val="22"/>
        </w:rPr>
      </w:pPr>
      <w:r>
        <w:rPr>
          <w:rFonts w:ascii="Aptos" w:hAnsi="Aptos"/>
          <w:b/>
          <w:bCs/>
          <w:color w:val="303030"/>
          <w:sz w:val="22"/>
          <w:szCs w:val="22"/>
        </w:rPr>
        <w:t>Para Modelagem Preditiva (Utilidade):</w:t>
      </w:r>
      <w:r>
        <w:rPr>
          <w:rFonts w:ascii="Aptos" w:hAnsi="Aptos"/>
          <w:color w:val="303030"/>
          <w:sz w:val="22"/>
          <w:szCs w:val="22"/>
        </w:rPr>
        <w:t xml:space="preserve"> O </w:t>
      </w:r>
      <w:r>
        <w:rPr>
          <w:rFonts w:ascii="Aptos" w:hAnsi="Aptos"/>
          <w:b/>
          <w:bCs/>
          <w:color w:val="303030"/>
          <w:sz w:val="22"/>
          <w:szCs w:val="22"/>
        </w:rPr>
        <w:t>CTGAN</w:t>
      </w:r>
      <w:r>
        <w:rPr>
          <w:rFonts w:ascii="Aptos" w:hAnsi="Aptos"/>
          <w:color w:val="303030"/>
          <w:sz w:val="22"/>
          <w:szCs w:val="22"/>
        </w:rPr>
        <w:t xml:space="preserve"> surge como o novo destaque, sendo o único a apresentar sinal de utilidade positivo consistente (pico de 0,16 no cenário de sensibilidade). Contudo, ele é o mais fraco em preservar a ciência real (ICD de apenas 0,16).</w:t>
      </w:r>
    </w:p>
    <w:p w:rsidR="00026DBA" w:rsidRPr="00026DBA" w:rsidRDefault="00026DBA" w:rsidP="00954A8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Aptos" w:hAnsi="Aptos"/>
          <w:color w:val="303030"/>
          <w:sz w:val="22"/>
          <w:szCs w:val="22"/>
        </w:rPr>
      </w:pPr>
      <w:r>
        <w:rPr>
          <w:rFonts w:ascii="Aptos" w:hAnsi="Aptos"/>
          <w:b/>
          <w:bCs/>
          <w:color w:val="303030"/>
          <w:sz w:val="22"/>
          <w:szCs w:val="22"/>
        </w:rPr>
        <w:t>Para Preservação Mecânica (Fidelidade Científica):</w:t>
      </w:r>
      <w:r>
        <w:rPr>
          <w:rFonts w:ascii="Aptos" w:hAnsi="Aptos"/>
          <w:color w:val="303030"/>
          <w:sz w:val="22"/>
          <w:szCs w:val="22"/>
        </w:rPr>
        <w:t xml:space="preserve"> O </w:t>
      </w:r>
      <w:r>
        <w:rPr>
          <w:rFonts w:ascii="Aptos" w:hAnsi="Aptos"/>
          <w:b/>
          <w:bCs/>
          <w:color w:val="303030"/>
          <w:sz w:val="22"/>
          <w:szCs w:val="22"/>
        </w:rPr>
        <w:t>TVAE</w:t>
      </w:r>
      <w:r>
        <w:rPr>
          <w:rFonts w:ascii="Aptos" w:hAnsi="Aptos"/>
          <w:color w:val="303030"/>
          <w:sz w:val="22"/>
          <w:szCs w:val="22"/>
        </w:rPr>
        <w:t xml:space="preserve"> é o líder absoluto no Índice de Concordância Fundamentado no Domínio (ICD), com valores entre 0,48 e 0,54. Isso significa que ele é o melhor para manter a estrutura dos efeitos fatoriais conhecidos, embora sua utilidade para prever novos pontos seja negativa</w:t>
      </w:r>
    </w:p>
    <w:p w:rsidR="00954A8D" w:rsidRPr="00954A8D" w:rsidRDefault="00954A8D" w:rsidP="00954A8D">
      <w:pPr>
        <w:spacing w:line="276" w:lineRule="auto"/>
        <w:jc w:val="both"/>
        <w:rPr>
          <w:rFonts w:ascii="Aptos" w:hAnsi="Aptos"/>
          <w:color w:val="303030"/>
          <w:sz w:val="22"/>
          <w:szCs w:val="22"/>
        </w:rPr>
      </w:pPr>
      <w:r>
        <w:rPr>
          <w:rFonts w:ascii="Aptos" w:hAnsi="Aptos"/>
          <w:color w:val="303030"/>
          <w:sz w:val="22"/>
          <w:szCs w:val="22"/>
        </w:rPr>
        <w:t xml:space="preserve">2. </w:t>
      </w:r>
      <w:r>
        <w:rPr>
          <w:rFonts w:ascii="Aptos" w:hAnsi="Aptos"/>
          <w:b/>
          <w:color w:val="303030"/>
          <w:sz w:val="22"/>
          <w:szCs w:val="22"/>
        </w:rPr>
        <w:t>Desconfiança de Métricas Estatísticas Genéricas:</w:t>
      </w:r>
    </w:p>
    <w:p w:rsidR="00954A8D" w:rsidRPr="00954A8D" w:rsidRDefault="00954A8D" w:rsidP="00954A8D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="Aptos" w:hAnsi="Aptos"/>
          <w:color w:val="303030"/>
          <w:sz w:val="22"/>
          <w:szCs w:val="22"/>
        </w:rPr>
      </w:pPr>
      <w:r>
        <w:rPr>
          <w:rFonts w:ascii="Aptos" w:hAnsi="Aptos"/>
          <w:color w:val="303030"/>
          <w:sz w:val="22"/>
          <w:szCs w:val="22"/>
        </w:rPr>
        <w:t xml:space="preserve">O processamento confirmou que métricas comuns (como correlação multivariada) são enganosas. O </w:t>
      </w:r>
      <w:r>
        <w:rPr>
          <w:rFonts w:ascii="Aptos" w:hAnsi="Aptos"/>
          <w:b/>
          <w:bCs/>
          <w:color w:val="303030"/>
          <w:sz w:val="22"/>
          <w:szCs w:val="22"/>
        </w:rPr>
        <w:t>TabDDPM</w:t>
      </w:r>
      <w:r>
        <w:rPr>
          <w:rFonts w:ascii="Aptos" w:hAnsi="Aptos"/>
          <w:color w:val="303030"/>
          <w:sz w:val="22"/>
          <w:szCs w:val="22"/>
        </w:rPr>
        <w:t xml:space="preserve">, por exemplo, apresenta a melhor preservação de correlação, mas possui utilidade negativa ou quase neutra e um ICD intermediário. A implicação prática é que </w:t>
      </w:r>
      <w:r>
        <w:rPr>
          <w:rFonts w:ascii="Aptos" w:hAnsi="Aptos"/>
          <w:b/>
          <w:bCs/>
          <w:color w:val="303030"/>
          <w:sz w:val="22"/>
          <w:szCs w:val="22"/>
        </w:rPr>
        <w:t>"parecer real" estatisticamente não garante que os dados sintéticos sirvam para a engenharia</w:t>
      </w:r>
      <w:r>
        <w:rPr>
          <w:rFonts w:ascii="Aptos" w:hAnsi="Aptos"/>
          <w:color w:val="303030"/>
          <w:sz w:val="22"/>
          <w:szCs w:val="22"/>
        </w:rPr>
        <w:t>.</w:t>
      </w:r>
    </w:p>
    <w:p w:rsidR="00954A8D" w:rsidRPr="00954A8D" w:rsidRDefault="00954A8D" w:rsidP="00954A8D">
      <w:pPr>
        <w:spacing w:line="276" w:lineRule="auto"/>
        <w:jc w:val="both"/>
        <w:rPr>
          <w:rFonts w:ascii="Aptos" w:hAnsi="Aptos"/>
          <w:b/>
          <w:color w:val="303030"/>
          <w:sz w:val="22"/>
          <w:szCs w:val="22"/>
        </w:rPr>
      </w:pPr>
      <w:r>
        <w:rPr>
          <w:rFonts w:ascii="Aptos" w:hAnsi="Aptos"/>
          <w:color w:val="303030"/>
          <w:sz w:val="22"/>
          <w:szCs w:val="22"/>
        </w:rPr>
        <w:t xml:space="preserve">3. </w:t>
      </w:r>
      <w:r>
        <w:rPr>
          <w:rFonts w:ascii="Aptos" w:hAnsi="Aptos"/>
          <w:b/>
          <w:color w:val="303030"/>
          <w:sz w:val="22"/>
          <w:szCs w:val="22"/>
        </w:rPr>
        <w:t>Uso como Complemento, Não Substituto</w:t>
      </w:r>
    </w:p>
    <w:p w:rsidR="00954A8D" w:rsidRPr="00954A8D" w:rsidRDefault="00954A8D" w:rsidP="00954A8D">
      <w:pPr>
        <w:spacing w:line="276" w:lineRule="auto"/>
        <w:jc w:val="both"/>
        <w:rPr>
          <w:rFonts w:ascii="Aptos" w:hAnsi="Aptos"/>
          <w:color w:val="303030"/>
          <w:sz w:val="22"/>
          <w:szCs w:val="22"/>
        </w:rPr>
      </w:pPr>
      <w:r>
        <w:rPr>
          <w:rFonts w:ascii="Aptos" w:hAnsi="Aptos"/>
          <w:color w:val="303030"/>
          <w:sz w:val="22"/>
          <w:szCs w:val="22"/>
        </w:rPr>
        <w:t>Os resultados reforçam que a expansão sintética em regimes de amostras muito pequenas (</w:t>
      </w:r>
      <w:r>
        <w:rPr>
          <w:rFonts w:ascii="Aptos" w:hAnsi="Aptos"/>
          <w:i/>
          <w:iCs/>
          <w:color w:val="303030"/>
          <w:sz w:val="22"/>
          <w:szCs w:val="22"/>
        </w:rPr>
        <w:t>n</w:t>
      </w:r>
      <w:r>
        <w:rPr>
          <w:rFonts w:ascii="Aptos" w:hAnsi="Aptos"/>
          <w:color w:val="303030"/>
          <w:sz w:val="22"/>
          <w:szCs w:val="22"/>
        </w:rPr>
        <w:t xml:space="preserve">=20) é </w:t>
      </w:r>
      <w:r>
        <w:rPr>
          <w:rFonts w:ascii="Aptos" w:hAnsi="Aptos"/>
          <w:b/>
          <w:bCs/>
          <w:color w:val="303030"/>
          <w:sz w:val="22"/>
          <w:szCs w:val="22"/>
        </w:rPr>
        <w:t>instável e de alto risco</w:t>
      </w:r>
      <w:r>
        <w:rPr>
          <w:rFonts w:ascii="Aptos" w:hAnsi="Aptos"/>
          <w:color w:val="303030"/>
          <w:sz w:val="22"/>
          <w:szCs w:val="22"/>
        </w:rPr>
        <w:t>. Na prática, as implicações para o fluxo de trabalho são:</w:t>
      </w:r>
    </w:p>
    <w:p w:rsidR="00954A8D" w:rsidRPr="00954A8D" w:rsidRDefault="00954A8D" w:rsidP="00954A8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Aptos" w:hAnsi="Aptos"/>
          <w:color w:val="303030"/>
          <w:sz w:val="22"/>
          <w:szCs w:val="22"/>
        </w:rPr>
      </w:pPr>
      <w:r>
        <w:rPr>
          <w:rFonts w:ascii="Aptos" w:hAnsi="Aptos"/>
          <w:b/>
          <w:bCs/>
          <w:color w:val="303030"/>
          <w:sz w:val="22"/>
          <w:szCs w:val="22"/>
        </w:rPr>
        <w:t>Aumentar, não substituir:</w:t>
      </w:r>
      <w:r>
        <w:rPr>
          <w:rFonts w:ascii="Aptos" w:hAnsi="Aptos"/>
          <w:color w:val="303030"/>
          <w:sz w:val="22"/>
          <w:szCs w:val="22"/>
        </w:rPr>
        <w:t xml:space="preserve"> Os dados sintéticos devem ser usados para pré-treinar modelos ou estabilizar análises exploratórias, mas nunca para substituir a replicação experimental física em otimizações de processo ou </w:t>
      </w:r>
      <w:r>
        <w:rPr>
          <w:rFonts w:ascii="Aptos" w:hAnsi="Aptos"/>
          <w:i/>
          <w:iCs/>
          <w:color w:val="303030"/>
          <w:sz w:val="22"/>
          <w:szCs w:val="22"/>
        </w:rPr>
        <w:t>scale-up</w:t>
      </w:r>
      <w:r>
        <w:rPr>
          <w:rFonts w:ascii="Aptos" w:hAnsi="Aptos"/>
          <w:color w:val="303030"/>
          <w:sz w:val="22"/>
          <w:szCs w:val="22"/>
        </w:rPr>
        <w:t>.</w:t>
      </w:r>
    </w:p>
    <w:p w:rsidR="00954A8D" w:rsidRPr="00954A8D" w:rsidRDefault="00954A8D" w:rsidP="00954A8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Aptos" w:hAnsi="Aptos"/>
          <w:color w:val="303030"/>
          <w:sz w:val="22"/>
          <w:szCs w:val="22"/>
        </w:rPr>
      </w:pPr>
      <w:r>
        <w:rPr>
          <w:rFonts w:ascii="Aptos" w:hAnsi="Aptos"/>
          <w:b/>
          <w:bCs/>
          <w:color w:val="303030"/>
          <w:sz w:val="22"/>
          <w:szCs w:val="22"/>
        </w:rPr>
        <w:t>Identificação de Ótimos:</w:t>
      </w:r>
      <w:r>
        <w:rPr>
          <w:rFonts w:ascii="Aptos" w:hAnsi="Aptos"/>
          <w:color w:val="303030"/>
          <w:sz w:val="22"/>
          <w:szCs w:val="22"/>
        </w:rPr>
        <w:t xml:space="preserve"> A IA pode ser útil para destacar regiões de alto impacto (candidatos a ótimos) que devem ser validadas posteriormente na bancada.</w:t>
      </w:r>
    </w:p>
    <w:p w:rsidR="00954A8D" w:rsidRPr="00954A8D" w:rsidRDefault="00954A8D" w:rsidP="00954A8D">
      <w:pPr>
        <w:spacing w:line="276" w:lineRule="auto"/>
        <w:jc w:val="both"/>
        <w:rPr>
          <w:rFonts w:ascii="Aptos" w:hAnsi="Aptos"/>
          <w:b/>
          <w:color w:val="303030"/>
          <w:sz w:val="22"/>
          <w:szCs w:val="22"/>
        </w:rPr>
      </w:pPr>
      <w:r>
        <w:rPr>
          <w:rFonts w:ascii="Aptos" w:hAnsi="Aptos"/>
          <w:color w:val="303030"/>
          <w:sz w:val="22"/>
          <w:szCs w:val="22"/>
        </w:rPr>
        <w:t xml:space="preserve">4. </w:t>
      </w:r>
      <w:r>
        <w:rPr>
          <w:rFonts w:ascii="Aptos" w:hAnsi="Aptos"/>
          <w:b/>
          <w:color w:val="303030"/>
          <w:sz w:val="22"/>
          <w:szCs w:val="22"/>
        </w:rPr>
        <w:t>Necessidade de Auditoria via ICD</w:t>
      </w:r>
    </w:p>
    <w:p w:rsidR="00954A8D" w:rsidRPr="00954A8D" w:rsidRDefault="00954A8D" w:rsidP="00954A8D">
      <w:pPr>
        <w:spacing w:line="276" w:lineRule="auto"/>
        <w:jc w:val="both"/>
        <w:rPr>
          <w:rFonts w:ascii="Aptos" w:hAnsi="Aptos"/>
          <w:color w:val="303030"/>
          <w:sz w:val="22"/>
          <w:szCs w:val="22"/>
        </w:rPr>
      </w:pPr>
      <w:r>
        <w:rPr>
          <w:rFonts w:ascii="Aptos" w:hAnsi="Aptos"/>
          <w:color w:val="303030"/>
          <w:sz w:val="22"/>
          <w:szCs w:val="22"/>
        </w:rPr>
        <w:t xml:space="preserve">A nova hierarquia demonstra que um gerador pode ser "útil" para predição enquanto "inventa" ciência. O TVAE, por exemplo, foi flagrado introduzindo efeitos significativos (como o da ureia) que não existem nos dados reais. Portanto, a implicação prática imediata é a adoção obrigatória de protocolos como o </w:t>
      </w:r>
      <w:r>
        <w:rPr>
          <w:rFonts w:ascii="Aptos" w:hAnsi="Aptos"/>
          <w:b/>
          <w:bCs/>
          <w:color w:val="303030"/>
          <w:sz w:val="22"/>
          <w:szCs w:val="22"/>
        </w:rPr>
        <w:t>ICD</w:t>
      </w:r>
      <w:r>
        <w:rPr>
          <w:rFonts w:ascii="Aptos" w:hAnsi="Aptos"/>
          <w:color w:val="303030"/>
          <w:sz w:val="22"/>
          <w:szCs w:val="22"/>
        </w:rPr>
        <w:t xml:space="preserve"> para auditar se a IA não está distorcendo os mecanismos biológicos que justificaram o experimento original.</w:t>
      </w:r>
    </w:p>
    <w:p w:rsidR="00954A8D" w:rsidRPr="00954A8D" w:rsidRDefault="00954A8D" w:rsidP="00954A8D">
      <w:pPr>
        <w:spacing w:line="276" w:lineRule="auto"/>
        <w:jc w:val="both"/>
        <w:rPr>
          <w:rFonts w:ascii="Aptos" w:hAnsi="Aptos"/>
          <w:b/>
          <w:color w:val="303030"/>
          <w:sz w:val="22"/>
          <w:szCs w:val="22"/>
        </w:rPr>
      </w:pPr>
      <w:r>
        <w:rPr>
          <w:rFonts w:ascii="Aptos" w:hAnsi="Aptos"/>
          <w:color w:val="303030"/>
          <w:sz w:val="22"/>
          <w:szCs w:val="22"/>
        </w:rPr>
        <w:t xml:space="preserve">5. </w:t>
      </w:r>
      <w:r>
        <w:rPr>
          <w:rFonts w:ascii="Aptos" w:hAnsi="Aptos"/>
          <w:b/>
          <w:color w:val="303030"/>
          <w:sz w:val="22"/>
          <w:szCs w:val="22"/>
        </w:rPr>
        <w:t>Reconhecimento da Fragilidade do Regime n=20</w:t>
      </w:r>
    </w:p>
    <w:p w:rsidR="00954A8D" w:rsidRPr="00954A8D" w:rsidRDefault="00954A8D" w:rsidP="00954A8D">
      <w:pPr>
        <w:spacing w:line="276" w:lineRule="auto"/>
        <w:jc w:val="both"/>
        <w:rPr>
          <w:rFonts w:ascii="Aptos" w:hAnsi="Aptos"/>
          <w:color w:val="303030"/>
          <w:sz w:val="22"/>
          <w:szCs w:val="22"/>
        </w:rPr>
      </w:pPr>
      <w:r>
        <w:rPr>
          <w:rFonts w:ascii="Aptos" w:hAnsi="Aptos"/>
          <w:color w:val="303030"/>
          <w:sz w:val="22"/>
          <w:szCs w:val="22"/>
        </w:rPr>
        <w:t xml:space="preserve">A investigação revelou que a utilidade é extremamente sensível a escolhas de implementação (como sementes aleatórias e regularização de modelos). Para o pesquisador, isso significa que </w:t>
      </w:r>
      <w:r>
        <w:rPr>
          <w:rFonts w:ascii="Aptos" w:hAnsi="Aptos"/>
          <w:b/>
          <w:bCs/>
          <w:color w:val="303030"/>
          <w:sz w:val="22"/>
          <w:szCs w:val="22"/>
        </w:rPr>
        <w:t xml:space="preserve">nenhum valor </w:t>
        <w:lastRenderedPageBreak/>
        <w:t>isolado de utilidade deve ser aceito sem agregação estatística</w:t>
      </w:r>
      <w:r>
        <w:rPr>
          <w:rFonts w:ascii="Aptos" w:hAnsi="Aptos"/>
          <w:color w:val="303030"/>
          <w:sz w:val="22"/>
          <w:szCs w:val="22"/>
        </w:rPr>
        <w:t xml:space="preserve"> (média e intervalo de confiança) e sem um protocolo de validação cruzada rigoroso que impeça o vazamento de informações.</w:t>
      </w:r>
    </w:p>
    <w:p w:rsidR="00EA2FE1" w:rsidRPr="00954A8D" w:rsidRDefault="00EA2FE1" w:rsidP="00954A8D">
      <w:pPr>
        <w:pStyle w:val="PargrafodaLista"/>
        <w:spacing w:after="120" w:line="276" w:lineRule="auto"/>
        <w:jc w:val="both"/>
        <w:rPr>
          <w:rFonts w:ascii="Aptos" w:hAnsi="Aptos"/>
          <w:sz w:val="22"/>
          <w:szCs w:val="22"/>
        </w:rPr>
      </w:pPr>
    </w:p>
    <w:p w:rsidR="00EA2FE1" w:rsidRPr="00352BB0" w:rsidRDefault="00685BE1" w:rsidP="009267ED">
      <w:pPr>
        <w:pStyle w:val="Ttulo2"/>
        <w:spacing w:before="400" w:after="200" w:line="276" w:lineRule="auto"/>
        <w:rPr>
          <w:rFonts w:ascii="Aptos" w:hAnsi="Aptos"/>
          <w:color w:val="000000" w:themeColor="text1"/>
        </w:rPr>
      </w:pPr>
      <w:bookmarkStart w:id="0" w:name="_GoBack"/>
      <w:bookmarkEnd w:id="0"/>
      <w:r>
        <w:rPr>
          <w:rFonts w:ascii="Aptos" w:eastAsia="Calibri" w:hAnsi="Aptos" w:cs="Calibri"/>
          <w:b/>
          <w:bCs/>
          <w:color w:val="000000" w:themeColor="text1"/>
        </w:rPr>
        <w:t>4.2 Fluxo de trabalho recomendado para estudos em escala laboratorial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>Utilize o conjunto de dados fatoriais original para estimar os efeitos principais e as interações de duas vias (ANOVA/Pareto) e identificar os possíveis ótimos.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>Gerar expansões sintéticas (configuração de linha de base) para pré-treinar modelos preditivos e estabilizar análises exploratórias em situações de escassez de dados.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 xml:space="preserve">Quantificar a fidelidade (KS/Wasserstein), a preservação multivariada (corr_of_corr), a utilidade (TSTR/TRTR; Δ do mesmo modelo, por meio de leave-one-out ou reamostragem k-fold repetida neste tamanho de amostra) e o risco de divulgação (curvas DCR).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>Calcule o Índice de Concordância Fundamentado no Domínio em relação aos efeitos já validados pela análise experimental original e considere um ICD baixo — mesmo em conjunto com métricas de fidelidade genéricas favoráveis — como um motivo para desconfiar das saídas de um gerador para inferência científica.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>Aplique pós-processamento focado em risco (filtragem de DCR mínimo, remoção de duplicatas) em vez de ruído aditivo uniforme para entradas fatoriais.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>Planeje as próximas etapas em escala de bancada (replicação próxima aos ótimos; aumento da superfície de resposta) guiadas conjuntamente por análises experimentais e sintéticas.</w:t>
      </w:r>
    </w:p>
    <w:p w:rsidR="00EA2FE1" w:rsidRPr="00352BB0" w:rsidRDefault="00685BE1" w:rsidP="009267ED">
      <w:pPr>
        <w:pStyle w:val="Ttulo2"/>
        <w:spacing w:before="400" w:after="200" w:line="276" w:lineRule="auto"/>
        <w:rPr>
          <w:rFonts w:ascii="Aptos" w:hAnsi="Aptos"/>
          <w:color w:val="000000" w:themeColor="text1"/>
        </w:rPr>
      </w:pPr>
      <w:r>
        <w:rPr>
          <w:rFonts w:ascii="Aptos" w:eastAsia="Calibri" w:hAnsi="Aptos" w:cs="Calibri"/>
          <w:b/>
          <w:bCs/>
          <w:color w:val="000000" w:themeColor="text1"/>
        </w:rPr>
        <w:t>4.3 Limitações e Próximos Passos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>Todas as conclusões estão condicionadas a um regime de amostra extremamente pequeno (n=20) e a um delineamento fatorial simples; a generalização para outros organismos, meios de cultura ou estruturas fatoriais não deve ser assumida. Três próximos passos concretos decorrem diretamente deste estudo: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 xml:space="preserve">Recalcule TSTR/TRTR usando a técnica de validação cruzada leave-one-out ou reamostragem k-fold repetida, em vez de uma única divisão com dados reservados, para reduzir a sensibilidade das estimativas de utilidade à partição específica de 20 pontos.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>Recalcule o Índice de Concordância Fundamentado no Domínio a partir das amostras sintéticas brutas exportadas (em vez da Tabela 2 qualitativa acima), agregadas com intervalos de confiança nas 10 execuções de avaliação existentes.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 xml:space="preserve">Caso seja necessária uma certificação formal de risco de divulgação para a implementação proprietária, implemente e relate uma análise de inferência de associação dedicada (Shokri et al., 2017) como uma subseção própria de Métodos/Resultados, em vez de citar dados de precisão que não sejam reproduzidos em outras partes do manuscrito.</w:t>
      </w:r>
    </w:p>
    <w:p w:rsidR="00EA2FE1" w:rsidRDefault="00685BE1" w:rsidP="00352BB0">
      <w:pPr>
        <w:spacing w:after="200" w:line="276" w:lineRule="auto"/>
        <w:jc w:val="both"/>
        <w:rPr>
          <w:rFonts w:ascii="Aptos" w:eastAsia="Calibri" w:hAnsi="Aptos" w:cs="Calibri"/>
          <w:sz w:val="22"/>
          <w:szCs w:val="22"/>
        </w:rPr>
      </w:pPr>
      <w:r>
        <w:rPr>
          <w:rFonts w:ascii="Aptos" w:eastAsia="Calibri" w:hAnsi="Aptos" w:cs="Calibri"/>
          <w:sz w:val="22"/>
          <w:szCs w:val="22"/>
        </w:rPr>
        <w:t>A validação ecológica por meio de experimentos adicionais em escala laboratorial — testando se o aumento sintético melhora a generalização para novas condições experimentais e revela padrões de interação não aparentes apenas a partir dos dados reais esparsos — continua sendo a maneira mais direta de testar o valor prático do fluxo de trabalho proposto aqui.</w:t>
      </w:r>
    </w:p>
    <w:p w:rsidR="00D42F86" w:rsidRPr="00D42F86" w:rsidRDefault="00D42F86" w:rsidP="00D42F86">
      <w:pPr>
        <w:spacing w:line="276" w:lineRule="auto"/>
        <w:jc w:val="both"/>
        <w:rPr>
          <w:rFonts w:ascii="Aptos" w:hAnsi="Aptos"/>
          <w:color w:val="1F4E79" w:themeColor="accent1" w:themeShade="80"/>
          <w:sz w:val="22"/>
          <w:szCs w:val="22"/>
        </w:rPr>
      </w:pPr>
      <w:r>
        <w:rPr>
          <w:rFonts w:ascii="Aptos" w:hAnsi="Aptos"/>
          <w:color w:val="1F4E79" w:themeColor="accent1" w:themeShade="80"/>
          <w:sz w:val="22"/>
          <w:szCs w:val="22"/>
        </w:rPr>
        <w:lastRenderedPageBreak/>
        <w:t>Próximos Passos recomendados nas fontes:</w:t>
      </w:r>
    </w:p>
    <w:p w:rsidR="00D42F86" w:rsidRPr="00D42F86" w:rsidRDefault="00D42F86" w:rsidP="00D42F8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Aptos" w:hAnsi="Aptos"/>
          <w:color w:val="1F4E79" w:themeColor="accent1" w:themeShade="80"/>
          <w:sz w:val="22"/>
          <w:szCs w:val="22"/>
        </w:rPr>
      </w:pPr>
      <w:r>
        <w:rPr>
          <w:rFonts w:ascii="Aptos" w:hAnsi="Aptos"/>
          <w:b/>
          <w:bCs/>
          <w:color w:val="1F4E79" w:themeColor="accent1" w:themeShade="80"/>
          <w:sz w:val="22"/>
          <w:szCs w:val="22"/>
        </w:rPr>
        <w:t>Tabelas:</w:t>
      </w:r>
      <w:r>
        <w:rPr>
          <w:rFonts w:ascii="Aptos" w:hAnsi="Aptos"/>
          <w:color w:val="1F4E79" w:themeColor="accent1" w:themeShade="80"/>
          <w:sz w:val="22"/>
          <w:szCs w:val="22"/>
        </w:rPr>
        <w:t xml:space="preserve"> As Tabelas 2 e 3 do manuscrito devem ser atualizadas com os valores finais de </w:t>
      </w:r>
      <w:r>
        <w:rPr>
          <w:rFonts w:ascii="Aptos" w:hAnsi="Aptos"/>
          <w:b/>
          <w:bCs/>
          <w:color w:val="1F4E79" w:themeColor="accent1" w:themeShade="80"/>
          <w:sz w:val="22"/>
          <w:szCs w:val="22"/>
        </w:rPr>
        <w:t xml:space="preserve">média </w:t>
      </w:r>
      <w:r>
        <w:rPr>
          <w:rFonts w:ascii="Aptos" w:hAnsi="Aptos"/>
          <w:color w:val="1F4E79" w:themeColor="accent1" w:themeShade="80"/>
          <w:sz w:val="22"/>
          <w:szCs w:val="22"/>
        </w:rPr>
        <w:t>±</w:t>
      </w:r>
      <w:r>
        <w:rPr>
          <w:rFonts w:ascii="Aptos" w:hAnsi="Aptos"/>
          <w:b/>
          <w:bCs/>
          <w:color w:val="1F4E79" w:themeColor="accent1" w:themeShade="80"/>
          <w:sz w:val="22"/>
          <w:szCs w:val="22"/>
        </w:rPr>
        <w:t xml:space="preserve"> IC</w:t>
      </w:r>
      <w:r>
        <w:rPr>
          <w:rFonts w:ascii="Aptos" w:hAnsi="Aptos"/>
          <w:color w:val="1F4E79" w:themeColor="accent1" w:themeShade="80"/>
          <w:sz w:val="22"/>
          <w:szCs w:val="22"/>
        </w:rPr>
        <w:t xml:space="preserve"> que o processo PEERFIX2 está gerando agora.</w:t>
      </w:r>
    </w:p>
    <w:p w:rsidR="00D42F86" w:rsidRPr="00D42F86" w:rsidRDefault="00D42F86" w:rsidP="00D42F8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Aptos" w:hAnsi="Aptos"/>
          <w:color w:val="1F4E79" w:themeColor="accent1" w:themeShade="80"/>
          <w:sz w:val="22"/>
          <w:szCs w:val="22"/>
        </w:rPr>
      </w:pPr>
      <w:r>
        <w:rPr>
          <w:rFonts w:ascii="Aptos" w:hAnsi="Aptos"/>
          <w:b/>
          <w:bCs/>
          <w:color w:val="1F4E79" w:themeColor="accent1" w:themeShade="80"/>
          <w:sz w:val="22"/>
          <w:szCs w:val="22"/>
        </w:rPr>
        <w:t>Referências:</w:t>
      </w:r>
      <w:r>
        <w:rPr>
          <w:rFonts w:ascii="Aptos" w:hAnsi="Aptos"/>
          <w:color w:val="1F4E79" w:themeColor="accent1" w:themeShade="80"/>
          <w:sz w:val="22"/>
          <w:szCs w:val="22"/>
        </w:rPr>
        <w:t xml:space="preserve"> Verifique cada DOI, especialmente a referência da Nature (Hollmann et al., 2025), que foi corrigida recentemente.</w:t>
      </w:r>
    </w:p>
    <w:p w:rsidR="00D42F86" w:rsidRDefault="00D42F86" w:rsidP="00352BB0">
      <w:pPr>
        <w:spacing w:after="200" w:line="276" w:lineRule="auto"/>
        <w:jc w:val="both"/>
        <w:rPr>
          <w:rFonts w:ascii="Aptos" w:eastAsia="Calibri" w:hAnsi="Aptos" w:cs="Calibri"/>
          <w:sz w:val="22"/>
          <w:szCs w:val="22"/>
        </w:rPr>
      </w:pPr>
    </w:p>
    <w:p w:rsidR="00D42F86" w:rsidRPr="009267ED" w:rsidRDefault="00D42F86" w:rsidP="00352BB0">
      <w:pPr>
        <w:spacing w:after="200" w:line="276" w:lineRule="auto"/>
        <w:jc w:val="both"/>
        <w:rPr>
          <w:rFonts w:ascii="Aptos" w:hAnsi="Aptos"/>
        </w:rPr>
      </w:pPr>
    </w:p>
    <w:p w:rsidR="00EA2FE1" w:rsidRPr="00352BB0" w:rsidRDefault="00685BE1" w:rsidP="00352BB0">
      <w:pPr>
        <w:pStyle w:val="Ttulo2"/>
        <w:spacing w:before="400" w:after="200" w:line="276" w:lineRule="auto"/>
        <w:jc w:val="both"/>
        <w:rPr>
          <w:rFonts w:ascii="Aptos" w:hAnsi="Aptos"/>
          <w:color w:val="000000" w:themeColor="text1"/>
        </w:rPr>
      </w:pPr>
      <w:r>
        <w:rPr>
          <w:rFonts w:ascii="Aptos" w:eastAsia="Calibri" w:hAnsi="Aptos" w:cs="Calibri"/>
          <w:b/>
          <w:bCs/>
          <w:color w:val="000000" w:themeColor="text1"/>
        </w:rPr>
        <w:t>Agradecimentos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>Os autores agradecem ao Programa de Pós-Graduação em Desenvolvimento e Meio Ambiente (PRODEMA/UFPE) e ao Núcleo de Pesquisa em Ciências Ambientais (NPCIAMB/UNICAP) pelo apoio institucional.</w:t>
      </w:r>
    </w:p>
    <w:p w:rsidR="00EA2FE1" w:rsidRPr="009267ED" w:rsidRDefault="00685BE1" w:rsidP="009267ED">
      <w:pPr>
        <w:spacing w:line="276" w:lineRule="auto"/>
        <w:rPr>
          <w:rFonts w:ascii="Aptos" w:hAnsi="Aptos"/>
        </w:rPr>
      </w:pPr>
      <w:r>
        <w:rPr>
          <w:rFonts w:ascii="Aptos" w:hAnsi="Aptos"/>
        </w:rPr>
        <w:br w:type="page"/>
      </w:r>
    </w:p>
    <w:p w:rsidR="00EA2FE1" w:rsidRPr="00685BE1" w:rsidRDefault="00685BE1" w:rsidP="009267ED">
      <w:pPr>
        <w:pStyle w:val="Ttulo1"/>
        <w:spacing w:before="400" w:after="200" w:line="276" w:lineRule="auto"/>
        <w:rPr>
          <w:rFonts w:ascii="Aptos" w:hAnsi="Aptos"/>
          <w:color w:val="000000" w:themeColor="text1"/>
        </w:rPr>
      </w:pPr>
      <w:r>
        <w:rPr>
          <w:rFonts w:ascii="Aptos" w:eastAsia="Calibri" w:hAnsi="Aptos" w:cs="Calibri"/>
          <w:b/>
          <w:bCs/>
          <w:color w:val="000000" w:themeColor="text1"/>
        </w:rPr>
        <w:lastRenderedPageBreak/>
        <w:t>Referências</w:t>
      </w:r>
    </w:p>
    <w:p w:rsidR="00EA2FE1" w:rsidRPr="009267ED" w:rsidRDefault="00685BE1" w:rsidP="00685BE1">
      <w:pPr>
        <w:spacing w:after="14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 xml:space="preserve">Banat, IM, Franzetti, A., Gandolfi, I., Bestetti, G., Martinotti, MG, Fracchia, L., Smyth, TJ, &amp; Marchant, R. (2010). Produção, aplicações e potencial futuro de biossurfactantes microbianos. Applied Microbiology and Biotechnology, 87(2), 427–444. https://doi.org/10.1007/s00253-010-2589-0</w:t>
      </w:r>
    </w:p>
    <w:p w:rsidR="00EA2FE1" w:rsidRPr="009267ED" w:rsidRDefault="00685BE1" w:rsidP="00685BE1">
      <w:pPr>
        <w:spacing w:after="14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 xml:space="preserve">Benjamini, Y., &amp; Hochberg, Y. (1995). Controlando a taxa de falsos positivos: uma abordagem prática e poderosa para testes múltiplos. Journal of the Royal Statistical Society: Series B, 57(1), 289–300.</w:t>
      </w:r>
    </w:p>
    <w:p w:rsidR="00EA2FE1" w:rsidRPr="009267ED" w:rsidRDefault="00685BE1" w:rsidP="00685BE1">
      <w:pPr>
        <w:spacing w:after="14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 xml:space="preserve">Hollmann, N., Müller, S., Purucker, L., Krishnakumar, A., Körfer, M., Hoo, SB, Schirrmeister, RT, &amp; Hutter, F. (2025). Previsões precisas em dados pequenos com um modelo de base tabular. Nature, 637(8045), 319–326. https://doi.org/10.1038/s41586-024-08328-6</w:t>
      </w:r>
    </w:p>
    <w:p w:rsidR="00EA2FE1" w:rsidRPr="009267ED" w:rsidRDefault="00685BE1" w:rsidP="00685BE1">
      <w:pPr>
        <w:spacing w:after="14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 xml:space="preserve">Jimoh, AA, &amp; Lin, J. (2019). Biossurfactante: uma nova fronteira para tecnologias mais verdes e sustentabilidade ambiental. Ecotoxicologia e Segurança Ambiental, 184, 109607. https://doi.org/10.1016/j.ecoenv.2019.109607</w:t>
      </w:r>
    </w:p>
    <w:p w:rsidR="00EA2FE1" w:rsidRPr="009267ED" w:rsidRDefault="00685BE1" w:rsidP="00685BE1">
      <w:pPr>
        <w:spacing w:after="14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 xml:space="preserve">Kotelnikov, A., Baranchuk, D., Rubachev, I., &amp; Babenko, A. (2023). TabDDPM: Modelagem de dados tabulares com modelos de difusão. Anais da 40ª Conferência Internacional de Aprendizado de Máquina (pp. 17564–17579). PMLR.</w:t>
      </w:r>
    </w:p>
    <w:p w:rsidR="00EA2FE1" w:rsidRPr="009267ED" w:rsidRDefault="00685BE1" w:rsidP="00685BE1">
      <w:pPr>
        <w:spacing w:after="14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 xml:space="preserve">Montgomery, DC (2012). Projeto e análise de experimentos (8ª ed.). Wiley.</w:t>
      </w:r>
    </w:p>
    <w:p w:rsidR="00EA2FE1" w:rsidRPr="009267ED" w:rsidRDefault="00685BE1" w:rsidP="00685BE1">
      <w:pPr>
        <w:spacing w:after="14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 xml:space="preserve">Patki, N., Wedge, R., &amp; Veeramachaneni, K. (2016). O Cofre de Dados Sintéticos. Anais da Conferência Internacional IEEE sobre Ciência de Dados e Análise Avançada (pp. 399–410). https://doi.org/10.1109/DSAA.2016.49</w:t>
      </w:r>
    </w:p>
    <w:p w:rsidR="00EA2FE1" w:rsidRPr="009267ED" w:rsidRDefault="00685BE1" w:rsidP="00685BE1">
      <w:pPr>
        <w:spacing w:after="14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 xml:space="preserve">Rufino, RD, Luna, JM, Campos-Takaki, GM, &amp; Sarubbo, LA (2014). Caracterização e propriedades do biossurfactante produzido por Candida lipolytica. Electronic Journal of Biotechnology, 17(1), 34–38. https://doi.org/10.1016/j.ejbt.2013.12.006</w:t>
      </w:r>
    </w:p>
    <w:p w:rsidR="00EA2FE1" w:rsidRPr="009267ED" w:rsidRDefault="00685BE1" w:rsidP="00685BE1">
      <w:pPr>
        <w:spacing w:after="14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 xml:space="preserve">Santos, DKF, Rufino, RD, Luna, JM, Santos, VA e Sarubbo, LA (2016). Biossurfactantes: Biomoléculas multifuncionais do século XXI. Revista Internacional de Ciências Moleculares, 17(3), 401. https://doi.org/10.3390/ijms17030401</w:t>
      </w:r>
    </w:p>
    <w:p w:rsidR="00EA2FE1" w:rsidRPr="009267ED" w:rsidRDefault="00685BE1" w:rsidP="00685BE1">
      <w:pPr>
        <w:spacing w:after="14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 xml:space="preserve">Shokri, R., Stronati, M., Song, C., &amp; Shmatikov, V. (2017). Ataques de inferência de associação contra modelos de aprendizado de máquina. Anais do Simpósio IEEE de Segurança e Privacidade de 2017 (pp. 3–18). https://doi.org/10.1109/SP.2017.41</w:t>
      </w:r>
    </w:p>
    <w:p w:rsidR="00EA2FE1" w:rsidRPr="009267ED" w:rsidRDefault="00685BE1" w:rsidP="00685BE1">
      <w:pPr>
        <w:spacing w:after="14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 xml:space="preserve">Souza, F. A. S. D. (2015). Biodegradação de óleo diesel por Candida lipolytica em água do mar (Dissertação de doutorado, PRODEMA, Universidade Federal de Pernambuco).</w:t>
      </w:r>
    </w:p>
    <w:p w:rsidR="00EA2FE1" w:rsidRPr="009267ED" w:rsidRDefault="00685BE1" w:rsidP="00685BE1">
      <w:pPr>
        <w:spacing w:after="14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t xml:space="preserve">Xu, L., Skoularidou, M., Cuesta-Infante, A., &amp; Veeramachaneni, K. (2019). Modelagem de dados tabulares usando GAN condicional. Advances in Neural Information Processing Systems, 32.</w:t>
      </w:r>
    </w:p>
    <w:p w:rsidR="00EA2FE1" w:rsidRPr="009267ED" w:rsidRDefault="00685BE1" w:rsidP="00685BE1">
      <w:pPr>
        <w:spacing w:after="140" w:line="276" w:lineRule="auto"/>
        <w:jc w:val="both"/>
        <w:rPr>
          <w:rFonts w:ascii="Aptos" w:hAnsi="Aptos"/>
        </w:rPr>
      </w:pPr>
      <w:r>
        <w:rPr>
          <w:rFonts w:ascii="Aptos" w:eastAsia="Calibri" w:hAnsi="Aptos" w:cs="Calibri"/>
          <w:sz w:val="22"/>
          <w:szCs w:val="22"/>
        </w:rPr>
        <w:lastRenderedPageBreak/>
        <w:t xml:space="preserve">Yao, Z., Krčo, N., Ganev, G., &amp; de Montjoye, Y.-A. (2025). A ilusão do DCR: Medindo o risco de privacidade de dados sintéticos. arXiv:2505.01524. https://arxiv.org/abs/2505.01524</w:t>
      </w:r>
    </w:p>
    <w:p w:rsidR="00EA2FE1" w:rsidRPr="009267ED" w:rsidRDefault="00685BE1" w:rsidP="009267ED">
      <w:pPr>
        <w:spacing w:line="276" w:lineRule="auto"/>
        <w:rPr>
          <w:rFonts w:ascii="Aptos" w:hAnsi="Aptos"/>
        </w:rPr>
      </w:pPr>
      <w:r>
        <w:rPr>
          <w:rFonts w:ascii="Aptos" w:hAnsi="Aptos"/>
        </w:rPr>
        <w:br w:type="page"/>
      </w:r>
    </w:p>
    <w:sectPr w:rsidR="00EA2FE1" w:rsidRPr="009267E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oogle Sans Tex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8926D3"/>
    <w:multiLevelType w:val="hybridMultilevel"/>
    <w:tmpl w:val="6040CC56"/>
    <w:lvl w:ilvl="0" w:tplc="AD7E62FE">
      <w:start w:val="1"/>
      <w:numFmt w:val="bullet"/>
      <w:lvlText w:val="•"/>
      <w:lvlJc w:val="left"/>
      <w:pPr>
        <w:ind w:left="504" w:hanging="288"/>
      </w:pPr>
    </w:lvl>
    <w:lvl w:ilvl="1" w:tplc="2A4E722C">
      <w:numFmt w:val="decimal"/>
      <w:lvlText w:val=""/>
      <w:lvlJc w:val="left"/>
    </w:lvl>
    <w:lvl w:ilvl="2" w:tplc="66EAA11A">
      <w:numFmt w:val="decimal"/>
      <w:lvlText w:val=""/>
      <w:lvlJc w:val="left"/>
    </w:lvl>
    <w:lvl w:ilvl="3" w:tplc="D4F2FA7E">
      <w:numFmt w:val="decimal"/>
      <w:lvlText w:val=""/>
      <w:lvlJc w:val="left"/>
    </w:lvl>
    <w:lvl w:ilvl="4" w:tplc="54BAD718">
      <w:numFmt w:val="decimal"/>
      <w:lvlText w:val=""/>
      <w:lvlJc w:val="left"/>
    </w:lvl>
    <w:lvl w:ilvl="5" w:tplc="7366A57E">
      <w:numFmt w:val="decimal"/>
      <w:lvlText w:val=""/>
      <w:lvlJc w:val="left"/>
    </w:lvl>
    <w:lvl w:ilvl="6" w:tplc="477E26A4">
      <w:numFmt w:val="decimal"/>
      <w:lvlText w:val=""/>
      <w:lvlJc w:val="left"/>
    </w:lvl>
    <w:lvl w:ilvl="7" w:tplc="D9B81838">
      <w:numFmt w:val="decimal"/>
      <w:lvlText w:val=""/>
      <w:lvlJc w:val="left"/>
    </w:lvl>
    <w:lvl w:ilvl="8" w:tplc="710A05A6">
      <w:numFmt w:val="decimal"/>
      <w:lvlText w:val=""/>
      <w:lvlJc w:val="left"/>
    </w:lvl>
  </w:abstractNum>
  <w:abstractNum w:abstractNumId="1" w15:restartNumberingAfterBreak="0">
    <w:nsid w:val="1BF82FAA"/>
    <w:multiLevelType w:val="multilevel"/>
    <w:tmpl w:val="6FD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B48B6"/>
    <w:multiLevelType w:val="multilevel"/>
    <w:tmpl w:val="4B3C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D7454C"/>
    <w:multiLevelType w:val="multilevel"/>
    <w:tmpl w:val="79B2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D368F0"/>
    <w:multiLevelType w:val="multilevel"/>
    <w:tmpl w:val="0AB4F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6F2B68"/>
    <w:multiLevelType w:val="hybridMultilevel"/>
    <w:tmpl w:val="EFA89836"/>
    <w:lvl w:ilvl="0" w:tplc="CDDC17D2">
      <w:start w:val="1"/>
      <w:numFmt w:val="bullet"/>
      <w:lvlText w:val="●"/>
      <w:lvlJc w:val="left"/>
      <w:pPr>
        <w:ind w:left="720" w:hanging="360"/>
      </w:pPr>
    </w:lvl>
    <w:lvl w:ilvl="1" w:tplc="41C0C302">
      <w:start w:val="1"/>
      <w:numFmt w:val="bullet"/>
      <w:lvlText w:val="○"/>
      <w:lvlJc w:val="left"/>
      <w:pPr>
        <w:ind w:left="1440" w:hanging="360"/>
      </w:pPr>
    </w:lvl>
    <w:lvl w:ilvl="2" w:tplc="D35C08F6">
      <w:start w:val="1"/>
      <w:numFmt w:val="bullet"/>
      <w:lvlText w:val="■"/>
      <w:lvlJc w:val="left"/>
      <w:pPr>
        <w:ind w:left="2160" w:hanging="360"/>
      </w:pPr>
    </w:lvl>
    <w:lvl w:ilvl="3" w:tplc="3A04F7C8">
      <w:start w:val="1"/>
      <w:numFmt w:val="bullet"/>
      <w:lvlText w:val="●"/>
      <w:lvlJc w:val="left"/>
      <w:pPr>
        <w:ind w:left="2880" w:hanging="360"/>
      </w:pPr>
    </w:lvl>
    <w:lvl w:ilvl="4" w:tplc="603A099E">
      <w:start w:val="1"/>
      <w:numFmt w:val="bullet"/>
      <w:lvlText w:val="○"/>
      <w:lvlJc w:val="left"/>
      <w:pPr>
        <w:ind w:left="3600" w:hanging="360"/>
      </w:pPr>
    </w:lvl>
    <w:lvl w:ilvl="5" w:tplc="587ABECA">
      <w:start w:val="1"/>
      <w:numFmt w:val="bullet"/>
      <w:lvlText w:val="■"/>
      <w:lvlJc w:val="left"/>
      <w:pPr>
        <w:ind w:left="4320" w:hanging="360"/>
      </w:pPr>
    </w:lvl>
    <w:lvl w:ilvl="6" w:tplc="E31C40DC">
      <w:start w:val="1"/>
      <w:numFmt w:val="bullet"/>
      <w:lvlText w:val="●"/>
      <w:lvlJc w:val="left"/>
      <w:pPr>
        <w:ind w:left="5040" w:hanging="360"/>
      </w:pPr>
    </w:lvl>
    <w:lvl w:ilvl="7" w:tplc="A7F2909E">
      <w:start w:val="1"/>
      <w:numFmt w:val="bullet"/>
      <w:lvlText w:val="●"/>
      <w:lvlJc w:val="left"/>
      <w:pPr>
        <w:ind w:left="5760" w:hanging="360"/>
      </w:pPr>
    </w:lvl>
    <w:lvl w:ilvl="8" w:tplc="665C5730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F3450BF"/>
    <w:multiLevelType w:val="multilevel"/>
    <w:tmpl w:val="01FE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</w:num>
  <w:num w:numId="4">
    <w:abstractNumId w:val="3"/>
  </w:num>
  <w:num w:numId="5">
    <w:abstractNumId w:val="4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FE1"/>
    <w:rsid w:val="00026DBA"/>
    <w:rsid w:val="000F6146"/>
    <w:rsid w:val="00100934"/>
    <w:rsid w:val="00103CE4"/>
    <w:rsid w:val="00164C84"/>
    <w:rsid w:val="001E62FC"/>
    <w:rsid w:val="001E74EC"/>
    <w:rsid w:val="00257232"/>
    <w:rsid w:val="00352BB0"/>
    <w:rsid w:val="004A2251"/>
    <w:rsid w:val="0056525F"/>
    <w:rsid w:val="006001F5"/>
    <w:rsid w:val="00685BE1"/>
    <w:rsid w:val="006F7F9B"/>
    <w:rsid w:val="00726942"/>
    <w:rsid w:val="00731731"/>
    <w:rsid w:val="007E7FAC"/>
    <w:rsid w:val="009267ED"/>
    <w:rsid w:val="00954A8D"/>
    <w:rsid w:val="00A46610"/>
    <w:rsid w:val="00C05C75"/>
    <w:rsid w:val="00C8502D"/>
    <w:rsid w:val="00D1563A"/>
    <w:rsid w:val="00D42F86"/>
    <w:rsid w:val="00EA2FE1"/>
    <w:rsid w:val="00EA4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E54A9BE-E80C-4A73-9C4A-D9DE663BA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customStyle="1" w:styleId="ng-star-inserted">
    <w:name w:val="ng-star-inserted"/>
    <w:basedOn w:val="Fontepargpadro"/>
    <w:rsid w:val="001E74EC"/>
  </w:style>
  <w:style w:type="character" w:customStyle="1" w:styleId="mord">
    <w:name w:val="mord"/>
    <w:basedOn w:val="Fontepargpadro"/>
    <w:rsid w:val="001E74EC"/>
  </w:style>
  <w:style w:type="character" w:customStyle="1" w:styleId="mrel">
    <w:name w:val="mrel"/>
    <w:basedOn w:val="Fontepargpadro"/>
    <w:rsid w:val="001E74EC"/>
  </w:style>
  <w:style w:type="character" w:customStyle="1" w:styleId="vlist-s">
    <w:name w:val="vlist-s"/>
    <w:basedOn w:val="Fontepargpadro"/>
    <w:rsid w:val="001E62FC"/>
  </w:style>
  <w:style w:type="character" w:customStyle="1" w:styleId="mbin">
    <w:name w:val="mbin"/>
    <w:basedOn w:val="Fontepargpadro"/>
    <w:rsid w:val="001E62FC"/>
  </w:style>
  <w:style w:type="character" w:customStyle="1" w:styleId="mpunct">
    <w:name w:val="mpunct"/>
    <w:basedOn w:val="Fontepargpadro"/>
    <w:rsid w:val="007269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6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5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3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0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1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6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28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58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0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7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8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1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7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0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6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62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2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2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3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6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5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20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5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41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63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40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2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14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9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09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0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6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5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1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albqqs@gmail.com" TargetMode="External"/><Relationship Id="rId11" Type="http://schemas.openxmlformats.org/officeDocument/2006/relationships/image" Target="media/image5.png"/><Relationship Id="rId5" Type="http://schemas.openxmlformats.org/officeDocument/2006/relationships/hyperlink" Target="mailto:galba.takaki@unicap.br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22</Pages>
  <Words>8194</Words>
  <Characters>44253</Characters>
  <Application>Microsoft Office Word</Application>
  <DocSecurity>0</DocSecurity>
  <Lines>368</Lines>
  <Paragraphs>104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TJPE</Company>
  <LinksUpToDate>false</LinksUpToDate>
  <CharactersWithSpaces>52343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FERNANDO ANTONIO MARCAL GARCIA</cp:lastModifiedBy>
  <cp:revision>4</cp:revision>
  <dcterms:created xsi:type="dcterms:W3CDTF">2026-07-13T00:23:00Z</dcterms:created>
  <dcterms:modified xsi:type="dcterms:W3CDTF">2026-07-13T01:04:00Z</dcterms:modified>
</cp:coreProperties>
</file>