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Revised Abstract (English) – Biosurfactant-focused</w:t>
      </w:r>
    </w:p>
    <w:p>
      <w:r>
        <w:rPr>
          <w:rFonts w:ascii="Times New Roman" w:hAnsi="Times New Roman"/>
          <w:sz w:val="24"/>
        </w:rPr>
        <w:t>Small experimental datasets often slow down modeling and optimization in bioprocess development and make it harder to share design‑of‑experiments (DOE) results. Using 20 runs from a full 2⁴ factorial design for biosurfactant production by *Candida lipolytica* UCP 988, we developed an auditable workflow to expand the dataset with synthetic records and to evaluate whether the synthetic data can serve as a practical proxy for process understanding. Four tabular generators (CTGAN, TVAE, Gaussian Copula, and TabDDPM) were trained under the same protocol (n_synth = 140; 10 repeated runs). We assessed (i) statistical fidelity (distributional distances and correlation structure), (ii) downstream utility (train‑on‑synthetic, test‑on‑real performance across linear and nonlinear regressors), and (iii) privacy proximity (distance‑to‑closest‑record and a disclosure threshold). To connect the results to biosurfactant engineering, we also checked whether the synthetic data preserved key DOE effects on surface tension that guide medium design. Across both a clean baseline and a realistic stress test with 1% additive noise, the Gaussian Copula showed the most stable balance between utility and privacy, while higher‑capacity neural generators were more variable; in particular, one model improved utility under noise but moved into a high‑risk proximity regime. Small noise injections did not reliably reduce disclosure risk, so privacy should be managed with explicit proximity diagnostics and targeted post‑processing. Overall, synthetic expansion can support exploratory modeling and medium‑optimization decisions in small‑n biosurfactant studies, provided it is validated against both statistical criteria and physicochemical coherence.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