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VISUAL EXECUTIVE SUMMARY — Synthetic Data Expansion &amp; Q1/Q2 Analytical Reporting</w:t>
      </w:r>
    </w:p>
    <w:p/>
    <w:p>
      <w:pPr>
        <w:pStyle w:val="Heading2"/>
      </w:pPr>
      <w:r>
        <w:t>What was delivered</w:t>
      </w:r>
    </w:p>
    <w:p>
      <w:pPr>
        <w:pStyle w:val="ListBullet"/>
      </w:pPr>
      <w:r>
        <w:t xml:space="preserve">A reproducible end-to-end pipeline to </w:t>
      </w:r>
      <w:r>
        <w:rPr>
          <w:b/>
        </w:rPr>
        <w:t>expand small experimental datasets</w:t>
      </w:r>
      <w:r>
        <w:t xml:space="preserve"> with four synthetic generators (Gaussian Copula, CTGAN, TVAE, TabDDPM), under two scenarios:</w:t>
      </w:r>
    </w:p>
    <w:p>
      <w:pPr>
        <w:pStyle w:val="ListBullet"/>
      </w:pPr>
      <w:r>
        <w:rPr>
          <w:b/>
        </w:rPr>
        <w:t>Baseline:</w:t>
      </w:r>
      <w:r>
        <w:t xml:space="preserve"> 0% DOE-noise (clean experimental records)</w:t>
      </w:r>
    </w:p>
    <w:p>
      <w:pPr>
        <w:pStyle w:val="ListBullet"/>
      </w:pPr>
      <w:r>
        <w:rPr>
          <w:b/>
        </w:rPr>
        <w:t>Sensitivity:</w:t>
      </w:r>
      <w:r>
        <w:t xml:space="preserve"> 1% DOE-noise (realistic measurement/DOE perturbation)</w:t>
      </w:r>
    </w:p>
    <w:p>
      <w:pPr>
        <w:pStyle w:val="ListBullet"/>
      </w:pPr>
      <w:r>
        <w:t>A unified evaluation protocol based on three pillars:</w:t>
      </w:r>
    </w:p>
    <w:p>
      <w:r>
        <w:t xml:space="preserve">  1) </w:t>
      </w:r>
      <w:r>
        <w:rPr>
          <w:b/>
        </w:rPr>
        <w:t>Utility (downstream predictive value):</w:t>
      </w:r>
      <w:r>
        <w:t xml:space="preserve"> TSTR/TRTR across multiple regressors (LR, RF, MLP and boosting tree).</w:t>
      </w:r>
    </w:p>
    <w:p>
      <w:r>
        <w:t xml:space="preserve">  2) </w:t>
      </w:r>
      <w:r>
        <w:rPr>
          <w:b/>
        </w:rPr>
        <w:t>Fidelity (statistical similarity):</w:t>
      </w:r>
      <w:r>
        <w:t xml:space="preserve"> univariate (KS/Wasserstein) and multivariate (correlation diagnostics).</w:t>
      </w:r>
    </w:p>
    <w:p>
      <w:r>
        <w:t xml:space="preserve">  3) </w:t>
      </w:r>
      <w:r>
        <w:rPr>
          <w:b/>
        </w:rPr>
        <w:t>Privacy / proximity risk:</w:t>
      </w:r>
      <w:r>
        <w:t xml:space="preserve"> Distance-to-Closest-Record (DCR) curves (ECDF and fraction below a threshold τ).</w:t>
      </w:r>
    </w:p>
    <w:p/>
    <w:p>
      <w:pPr>
        <w:pStyle w:val="Heading2"/>
      </w:pPr>
      <w:r>
        <w:t>Key quantitative highlights (your runs)</w:t>
      </w:r>
    </w:p>
    <w:p>
      <w:pPr>
        <w:pStyle w:val="Heading3"/>
      </w:pPr>
      <w:r>
        <w:t>Utility (TSTR; signed R² — closer to 0 is better)</w:t>
      </w:r>
    </w:p>
    <w:p>
      <w:pPr>
        <w:pStyle w:val="ListBullet"/>
      </w:pPr>
      <w:r>
        <w:rPr>
          <w:b/>
        </w:rPr>
        <w:t>Gaussian Copula:</w:t>
      </w:r>
      <w:r>
        <w:t xml:space="preserve"> −0.231 → −0.247 (stable; best overall)</w:t>
      </w:r>
    </w:p>
    <w:p>
      <w:pPr>
        <w:pStyle w:val="ListBullet"/>
      </w:pPr>
      <w:r>
        <w:rPr>
          <w:b/>
        </w:rPr>
        <w:t>TVAE:</w:t>
      </w:r>
      <w:r>
        <w:t xml:space="preserve"> −0.376 → −0.256 (</w:t>
      </w:r>
      <w:r>
        <w:rPr>
          <w:b/>
        </w:rPr>
        <w:t>improves</w:t>
      </w:r>
      <w:r>
        <w:t xml:space="preserve"> under noise; but see privacy)</w:t>
      </w:r>
    </w:p>
    <w:p>
      <w:pPr>
        <w:pStyle w:val="ListBullet"/>
      </w:pPr>
      <w:r>
        <w:rPr>
          <w:b/>
        </w:rPr>
        <w:t>CTGAN:</w:t>
      </w:r>
      <w:r>
        <w:t xml:space="preserve"> −0.674 → −0.953 (degrades with noise)</w:t>
      </w:r>
    </w:p>
    <w:p>
      <w:pPr>
        <w:pStyle w:val="ListBullet"/>
      </w:pPr>
      <w:r>
        <w:rPr>
          <w:b/>
        </w:rPr>
        <w:t>TabDDPM:</w:t>
      </w:r>
      <w:r>
        <w:t xml:space="preserve"> −0.857 → −1.543 (largest degradation)</w:t>
      </w:r>
    </w:p>
    <w:p/>
    <w:p>
      <w:pPr>
        <w:pStyle w:val="Heading3"/>
      </w:pPr>
      <w:r>
        <w:t>Privacy / proximity (DCR; higher is better, and very low values indicate higher proximity risk)</w:t>
      </w:r>
    </w:p>
    <w:p>
      <w:r>
        <w:rPr>
          <w:b/>
        </w:rPr>
        <w:t>Median DCR</w:t>
      </w:r>
    </w:p>
    <w:p>
      <w:pPr>
        <w:pStyle w:val="ListBullet"/>
      </w:pPr>
      <w:r>
        <w:rPr>
          <w:b/>
        </w:rPr>
        <w:t>TabDDPM:</w:t>
      </w:r>
      <w:r>
        <w:t xml:space="preserve"> 1.549 → 1.553 (high; stable)</w:t>
      </w:r>
    </w:p>
    <w:p>
      <w:pPr>
        <w:pStyle w:val="ListBullet"/>
      </w:pPr>
      <w:r>
        <w:rPr>
          <w:b/>
        </w:rPr>
        <w:t>CTGAN:</w:t>
      </w:r>
      <w:r>
        <w:t xml:space="preserve"> 1.386 → 1.372 (high; stable)</w:t>
      </w:r>
    </w:p>
    <w:p>
      <w:pPr>
        <w:pStyle w:val="ListBullet"/>
      </w:pPr>
      <w:r>
        <w:rPr>
          <w:b/>
        </w:rPr>
        <w:t>Gaussian Copula:</w:t>
      </w:r>
      <w:r>
        <w:t xml:space="preserve"> 1.155 → 1.156 (stable)</w:t>
      </w:r>
    </w:p>
    <w:p>
      <w:pPr>
        <w:pStyle w:val="ListBullet"/>
      </w:pPr>
      <w:r>
        <w:rPr>
          <w:b/>
        </w:rPr>
        <w:t>TVAE:</w:t>
      </w:r>
      <w:r>
        <w:t xml:space="preserve"> 0.464 → 0.042 (</w:t>
      </w:r>
      <w:r>
        <w:rPr>
          <w:b/>
        </w:rPr>
        <w:t>collapses</w:t>
      </w:r>
      <w:r>
        <w:t>; below the risk threshold)</w:t>
      </w:r>
    </w:p>
    <w:p/>
    <w:p>
      <w:pPr>
        <w:pStyle w:val="Heading2"/>
      </w:pPr>
      <w:r>
        <w:t>Main conclusions for the paper</w:t>
      </w:r>
    </w:p>
    <w:p>
      <w:r>
        <w:t xml:space="preserve">1) </w:t>
      </w:r>
      <w:r>
        <w:rPr>
          <w:b/>
        </w:rPr>
        <w:t>Robustness matters more than raw utility in small-n:</w:t>
      </w:r>
      <w:r>
        <w:t xml:space="preserve"> Gaussian Copula remains the most stable option across scenarios, preserving utility, fidelity, and privacy simultaneously.</w:t>
      </w:r>
    </w:p>
    <w:p>
      <w:r>
        <w:t xml:space="preserve">2) </w:t>
      </w:r>
      <w:r>
        <w:rPr>
          <w:b/>
        </w:rPr>
        <w:t>Noise can flip the privacy–utility balance:</w:t>
      </w:r>
      <w:r>
        <w:t xml:space="preserve"> TVAE becomes </w:t>
      </w:r>
      <w:r>
        <w:rPr>
          <w:i/>
        </w:rPr>
        <w:t>less negative</w:t>
      </w:r>
      <w:r>
        <w:t xml:space="preserve"> in TSTR under 1% noise, but its DCR median drops sharply, signaling elevated proximity risk and making it unsuitable when privacy constraints apply.</w:t>
      </w:r>
    </w:p>
    <w:p>
      <w:r>
        <w:t xml:space="preserve">3) </w:t>
      </w:r>
      <w:r>
        <w:rPr>
          <w:b/>
        </w:rPr>
        <w:t>Complex deep generators are not automatically superior in small experimental datasets:</w:t>
      </w:r>
      <w:r>
        <w:t xml:space="preserve"> CTGAN and TabDDPM degrade substantially in downstream utility under realistic noise, indicating sensitivity to measurement/DOE perturbations.</w:t>
      </w:r>
    </w:p>
    <w:p>
      <w:r>
        <w:t xml:space="preserve">4) </w:t>
      </w:r>
      <w:r>
        <w:rPr>
          <w:b/>
        </w:rPr>
        <w:t>Practical recommendation:</w:t>
      </w:r>
      <w:r>
        <w:t xml:space="preserve"> If the goal is </w:t>
      </w:r>
      <w:r>
        <w:rPr>
          <w:i/>
        </w:rPr>
        <w:t>publication-grade robustness</w:t>
      </w:r>
      <w:r>
        <w:t xml:space="preserve"> under small-n and realistic noise, </w:t>
      </w:r>
      <w:r>
        <w:rPr>
          <w:b/>
        </w:rPr>
        <w:t>Gaussian Copula is the default recommended baseline</w:t>
      </w:r>
      <w:r>
        <w:t xml:space="preserve">; TVAE should be treated as a </w:t>
      </w:r>
      <w:r>
        <w:rPr>
          <w:i/>
        </w:rPr>
        <w:t>high-risk</w:t>
      </w:r>
      <w:r>
        <w:t xml:space="preserve"> option unless additional privacy safeguards (or stricter post-processing) are introduced.</w:t>
      </w:r>
    </w:p>
    <w:p/>
    <w:p>
      <w:pPr>
        <w:pStyle w:val="Heading2"/>
      </w:pPr>
      <w:r>
        <w:t>Where Figures 4–5 fit in the narrative</w:t>
      </w:r>
    </w:p>
    <w:p>
      <w:pPr>
        <w:pStyle w:val="ListBullet"/>
      </w:pPr>
      <w:r>
        <w:rPr>
          <w:b/>
        </w:rPr>
        <w:t>Figure 4 (Privacy–utility trade-off):</w:t>
      </w:r>
      <w:r>
        <w:t xml:space="preserve"> shows the joint migration Baseline → Sensitivity in the (TSTR, DCR) plane; visually supports that TVAE improves utility but becomes unsafe in privacy.</w:t>
      </w:r>
    </w:p>
    <w:p>
      <w:pPr>
        <w:pStyle w:val="ListBullet"/>
      </w:pPr>
      <w:r>
        <w:rPr>
          <w:b/>
        </w:rPr>
        <w:t>Figure 5 (Utility &amp; ranking summary):</w:t>
      </w:r>
      <w:r>
        <w:t xml:space="preserve"> complements Fig. 4 by quantifying ΔTSTR and confirming that the </w:t>
      </w:r>
      <w:r>
        <w:rPr>
          <w:b/>
        </w:rPr>
        <w:t>relative ranking is stable</w:t>
      </w:r>
      <w:r>
        <w:t xml:space="preserve"> even though magnitudes change.</w:t>
      </w:r>
    </w:p>
    <w:p/>
    <w:p>
      <w:pPr>
        <w:pStyle w:val="Heading2"/>
      </w:pPr>
      <w:r>
        <w:t>Reproducibility (what to report)</w:t>
      </w:r>
    </w:p>
    <w:p>
      <w:pPr>
        <w:pStyle w:val="ListBullet"/>
      </w:pPr>
      <w:r>
        <w:t>Use the fixed runner/orchestration scripts (v10/v3 patched set) and record:</w:t>
      </w:r>
    </w:p>
    <w:p>
      <w:pPr>
        <w:pStyle w:val="ListBullet"/>
      </w:pPr>
      <w:r>
        <w:t>seed(s), n_runs, n_synth, τ and pool_factor for DCR,</w:t>
      </w:r>
    </w:p>
    <w:p>
      <w:pPr>
        <w:pStyle w:val="ListBullet"/>
      </w:pPr>
      <w:r>
        <w:t>baseline vs sensitivity scenario definition,</w:t>
      </w:r>
    </w:p>
    <w:p>
      <w:pPr>
        <w:pStyle w:val="ListBullet"/>
      </w:pPr>
      <w:r>
        <w:t>the exact model set used in TSTR/TRTR (LR, RF, MLP, boosting tree).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