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60"/>
        </w:rPr>
        <w:t>高校选课系统</w:t>
      </w:r>
    </w:p>
    <w:p>
      <w:pPr>
        <w:spacing w:before="360"/>
        <w:jc w:val="center"/>
      </w:pPr>
      <w:r>
        <w:rPr>
          <w:rFonts w:ascii="黑体" w:hAnsi="黑体" w:eastAsia="黑体"/>
          <w:b w:val="0"/>
          <w:sz w:val="44"/>
        </w:rPr>
        <w:t>软件设计说明书</w:t>
      </w:r>
    </w:p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4422"/>
        <w:gridCol w:w="4422"/>
      </w:tblGrid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项目名称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高校选课系统（Course Selection System）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文档编号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D2-DESIGN-V4.0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版本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v4.0.0（GitHub Release v4.0）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编写日期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2026-10-22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编写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FHAZ-141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适用角色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学生 / 教师 / 管理员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文档状态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已定稿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目    录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1 引言</w:t>
      </w:r>
      <w:r>
        <w:tab/>
      </w:r>
      <w:r>
        <w:rPr>
          <w:rFonts w:ascii="宋体" w:hAnsi="宋体" w:eastAsia="宋体"/>
          <w:b/>
          <w:sz w:val="23"/>
        </w:rPr>
        <w:t>4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1.1 编写目的</w:t>
      </w:r>
      <w:r>
        <w:tab/>
      </w:r>
      <w:r>
        <w:rPr>
          <w:rFonts w:ascii="宋体" w:hAnsi="宋体" w:eastAsia="宋体"/>
          <w:b w:val="0"/>
          <w:sz w:val="22"/>
        </w:rPr>
        <w:t>4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1.2 命名规范</w:t>
      </w:r>
      <w:r>
        <w:tab/>
      </w:r>
      <w:r>
        <w:rPr>
          <w:rFonts w:ascii="宋体" w:hAnsi="宋体" w:eastAsia="宋体"/>
          <w:b w:val="0"/>
          <w:sz w:val="22"/>
        </w:rPr>
        <w:t>4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1.3 术语定义</w:t>
      </w:r>
      <w:r>
        <w:tab/>
      </w:r>
      <w:r>
        <w:rPr>
          <w:rFonts w:ascii="宋体" w:hAnsi="宋体" w:eastAsia="宋体"/>
          <w:b w:val="0"/>
          <w:sz w:val="22"/>
        </w:rPr>
        <w:t>5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1.4 参考资料</w:t>
      </w:r>
      <w:r>
        <w:tab/>
      </w:r>
      <w:r>
        <w:rPr>
          <w:rFonts w:ascii="宋体" w:hAnsi="宋体" w:eastAsia="宋体"/>
          <w:b w:val="0"/>
          <w:sz w:val="22"/>
        </w:rPr>
        <w:t>5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1.5 相关文档</w:t>
      </w:r>
      <w:r>
        <w:tab/>
      </w:r>
      <w:r>
        <w:rPr>
          <w:rFonts w:ascii="宋体" w:hAnsi="宋体" w:eastAsia="宋体"/>
          <w:b w:val="0"/>
          <w:sz w:val="22"/>
        </w:rPr>
        <w:t>5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1.6 版本更新信息</w:t>
      </w:r>
      <w:r>
        <w:tab/>
      </w:r>
      <w:r>
        <w:rPr>
          <w:rFonts w:ascii="宋体" w:hAnsi="宋体" w:eastAsia="宋体"/>
          <w:b w:val="0"/>
          <w:sz w:val="22"/>
        </w:rPr>
        <w:t>6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2 总体设计</w:t>
      </w:r>
      <w:r>
        <w:tab/>
      </w:r>
      <w:r>
        <w:rPr>
          <w:rFonts w:ascii="宋体" w:hAnsi="宋体" w:eastAsia="宋体"/>
          <w:b/>
          <w:sz w:val="23"/>
        </w:rPr>
        <w:t>7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2.1 硬件运行环境</w:t>
      </w:r>
      <w:r>
        <w:tab/>
      </w:r>
      <w:r>
        <w:rPr>
          <w:rFonts w:ascii="宋体" w:hAnsi="宋体" w:eastAsia="宋体"/>
          <w:b w:val="0"/>
          <w:sz w:val="22"/>
        </w:rPr>
        <w:t>7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2.2 软件运行环境</w:t>
      </w:r>
      <w:r>
        <w:tab/>
      </w:r>
      <w:r>
        <w:rPr>
          <w:rFonts w:ascii="宋体" w:hAnsi="宋体" w:eastAsia="宋体"/>
          <w:b w:val="0"/>
          <w:sz w:val="22"/>
        </w:rPr>
        <w:t>7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2.3 子系统清单</w:t>
      </w:r>
      <w:r>
        <w:tab/>
      </w:r>
      <w:r>
        <w:rPr>
          <w:rFonts w:ascii="宋体" w:hAnsi="宋体" w:eastAsia="宋体"/>
          <w:b w:val="0"/>
          <w:sz w:val="22"/>
        </w:rPr>
        <w:t>8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2.4 功能模块清单</w:t>
      </w:r>
      <w:r>
        <w:tab/>
      </w:r>
      <w:r>
        <w:rPr>
          <w:rFonts w:ascii="宋体" w:hAnsi="宋体" w:eastAsia="宋体"/>
          <w:b w:val="0"/>
          <w:sz w:val="22"/>
        </w:rPr>
        <w:t>8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2.5 分层架构</w:t>
      </w:r>
      <w:r>
        <w:tab/>
      </w:r>
      <w:r>
        <w:rPr>
          <w:rFonts w:ascii="宋体" w:hAnsi="宋体" w:eastAsia="宋体"/>
          <w:b w:val="0"/>
          <w:sz w:val="22"/>
        </w:rPr>
        <w:t>9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2.6 部署结构</w:t>
      </w:r>
      <w:r>
        <w:tab/>
      </w:r>
      <w:r>
        <w:rPr>
          <w:rFonts w:ascii="宋体" w:hAnsi="宋体" w:eastAsia="宋体"/>
          <w:b w:val="0"/>
          <w:sz w:val="22"/>
        </w:rPr>
        <w:t>10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3 数据库设计</w:t>
      </w:r>
      <w:r>
        <w:tab/>
      </w:r>
      <w:r>
        <w:rPr>
          <w:rFonts w:ascii="宋体" w:hAnsi="宋体" w:eastAsia="宋体"/>
          <w:b/>
          <w:sz w:val="23"/>
        </w:rPr>
        <w:t>11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3.1 表名列表</w:t>
      </w:r>
      <w:r>
        <w:tab/>
      </w:r>
      <w:r>
        <w:rPr>
          <w:rFonts w:ascii="宋体" w:hAnsi="宋体" w:eastAsia="宋体"/>
          <w:b w:val="0"/>
          <w:sz w:val="22"/>
        </w:rPr>
        <w:t>11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3.2 表关系</w:t>
      </w:r>
      <w:r>
        <w:tab/>
      </w:r>
      <w:r>
        <w:rPr>
          <w:rFonts w:ascii="宋体" w:hAnsi="宋体" w:eastAsia="宋体"/>
          <w:b w:val="0"/>
          <w:sz w:val="22"/>
        </w:rPr>
        <w:t>12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3.3 数据库表详细清单</w:t>
      </w:r>
      <w:r>
        <w:tab/>
      </w:r>
      <w:r>
        <w:rPr>
          <w:rFonts w:ascii="宋体" w:hAnsi="宋体" w:eastAsia="宋体"/>
          <w:b w:val="0"/>
          <w:sz w:val="22"/>
        </w:rPr>
        <w:t>12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3.3.1 用户表（user）</w:t>
      </w:r>
      <w:r>
        <w:tab/>
      </w:r>
      <w:r>
        <w:rPr>
          <w:rFonts w:ascii="宋体" w:hAnsi="宋体" w:eastAsia="宋体"/>
          <w:b w:val="0"/>
          <w:sz w:val="22"/>
        </w:rPr>
        <w:t>13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3.3.2 学期表（semester）</w:t>
      </w:r>
      <w:r>
        <w:tab/>
      </w:r>
      <w:r>
        <w:rPr>
          <w:rFonts w:ascii="宋体" w:hAnsi="宋体" w:eastAsia="宋体"/>
          <w:b w:val="0"/>
          <w:sz w:val="22"/>
        </w:rPr>
        <w:t>13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3.3.3 课程表（course）</w:t>
      </w:r>
      <w:r>
        <w:tab/>
      </w:r>
      <w:r>
        <w:rPr>
          <w:rFonts w:ascii="宋体" w:hAnsi="宋体" w:eastAsia="宋体"/>
          <w:b w:val="0"/>
          <w:sz w:val="22"/>
        </w:rPr>
        <w:t>14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3.3.4 上课时间表（class_time）</w:t>
      </w:r>
      <w:r>
        <w:tab/>
      </w:r>
      <w:r>
        <w:rPr>
          <w:rFonts w:ascii="宋体" w:hAnsi="宋体" w:eastAsia="宋体"/>
          <w:b w:val="0"/>
          <w:sz w:val="22"/>
        </w:rPr>
        <w:t>15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3.3.5 选课记录表（enrollment）</w:t>
      </w:r>
      <w:r>
        <w:tab/>
      </w:r>
      <w:r>
        <w:rPr>
          <w:rFonts w:ascii="宋体" w:hAnsi="宋体" w:eastAsia="宋体"/>
          <w:b w:val="0"/>
          <w:sz w:val="22"/>
        </w:rPr>
        <w:t>15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3.3.6 公告表（announcement）</w:t>
      </w:r>
      <w:r>
        <w:tab/>
      </w:r>
      <w:r>
        <w:rPr>
          <w:rFonts w:ascii="宋体" w:hAnsi="宋体" w:eastAsia="宋体"/>
          <w:b w:val="0"/>
          <w:sz w:val="22"/>
        </w:rPr>
        <w:t>16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3.3.7 元信息表（meta）</w:t>
      </w:r>
      <w:r>
        <w:tab/>
      </w:r>
      <w:r>
        <w:rPr>
          <w:rFonts w:ascii="宋体" w:hAnsi="宋体" w:eastAsia="宋体"/>
          <w:b w:val="0"/>
          <w:sz w:val="22"/>
        </w:rPr>
        <w:t>16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4 典型功能子系统设计</w:t>
      </w:r>
      <w:r>
        <w:tab/>
      </w:r>
      <w:r>
        <w:rPr>
          <w:rFonts w:ascii="宋体" w:hAnsi="宋体" w:eastAsia="宋体"/>
          <w:b/>
          <w:sz w:val="23"/>
        </w:rPr>
        <w:t>18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4.1 选课与候补子系统</w:t>
      </w:r>
      <w:r>
        <w:tab/>
      </w:r>
      <w:r>
        <w:rPr>
          <w:rFonts w:ascii="宋体" w:hAnsi="宋体" w:eastAsia="宋体"/>
          <w:b w:val="0"/>
          <w:sz w:val="22"/>
        </w:rPr>
        <w:t>18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4.1.1 类设计</w:t>
      </w:r>
      <w:r>
        <w:tab/>
      </w:r>
      <w:r>
        <w:rPr>
          <w:rFonts w:ascii="宋体" w:hAnsi="宋体" w:eastAsia="宋体"/>
          <w:b w:val="0"/>
          <w:sz w:val="22"/>
        </w:rPr>
        <w:t>18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4.1.2 活动图</w:t>
      </w:r>
      <w:r>
        <w:tab/>
      </w:r>
      <w:r>
        <w:rPr>
          <w:rFonts w:ascii="宋体" w:hAnsi="宋体" w:eastAsia="宋体"/>
          <w:b w:val="0"/>
          <w:sz w:val="22"/>
        </w:rPr>
        <w:t>20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4.1.3 时序图</w:t>
      </w:r>
      <w:r>
        <w:tab/>
      </w:r>
      <w:r>
        <w:rPr>
          <w:rFonts w:ascii="宋体" w:hAnsi="宋体" w:eastAsia="宋体"/>
          <w:b w:val="0"/>
          <w:sz w:val="22"/>
        </w:rPr>
        <w:t>21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4.1.4 状态设计</w:t>
      </w:r>
      <w:r>
        <w:tab/>
      </w:r>
      <w:r>
        <w:rPr>
          <w:rFonts w:ascii="宋体" w:hAnsi="宋体" w:eastAsia="宋体"/>
          <w:b w:val="0"/>
          <w:sz w:val="22"/>
        </w:rPr>
        <w:t>23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4.2 教师端子系统</w:t>
      </w:r>
      <w:r>
        <w:tab/>
      </w:r>
      <w:r>
        <w:rPr>
          <w:rFonts w:ascii="宋体" w:hAnsi="宋体" w:eastAsia="宋体"/>
          <w:b w:val="0"/>
          <w:sz w:val="22"/>
        </w:rPr>
        <w:t>23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4.2.1 类设计</w:t>
      </w:r>
      <w:r>
        <w:tab/>
      </w:r>
      <w:r>
        <w:rPr>
          <w:rFonts w:ascii="宋体" w:hAnsi="宋体" w:eastAsia="宋体"/>
          <w:b w:val="0"/>
          <w:sz w:val="22"/>
        </w:rPr>
        <w:t>23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4.2.2 活动图</w:t>
      </w:r>
      <w:r>
        <w:tab/>
      </w:r>
      <w:r>
        <w:rPr>
          <w:rFonts w:ascii="宋体" w:hAnsi="宋体" w:eastAsia="宋体"/>
          <w:b w:val="0"/>
          <w:sz w:val="22"/>
        </w:rPr>
        <w:t>24</w:t>
      </w:r>
    </w:p>
    <w:p>
      <w:pPr>
        <w:tabs>
          <w:tab w:pos="8844" w:val="right" w:leader="dot"/>
        </w:tabs>
        <w:spacing w:line="276" w:lineRule="auto" w:before="0" w:after="0"/>
        <w:ind w:left="850"/>
      </w:pPr>
      <w:r>
        <w:rPr>
          <w:rFonts w:ascii="宋体" w:hAnsi="宋体" w:eastAsia="宋体"/>
          <w:b w:val="0"/>
          <w:sz w:val="22"/>
        </w:rPr>
        <w:t>4.2.3 交互时序说明</w:t>
      </w:r>
      <w:r>
        <w:tab/>
      </w:r>
      <w:r>
        <w:rPr>
          <w:rFonts w:ascii="宋体" w:hAnsi="宋体" w:eastAsia="宋体"/>
          <w:b w:val="0"/>
          <w:sz w:val="22"/>
        </w:rPr>
        <w:t>24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5 功能模块设计</w:t>
      </w:r>
      <w:r>
        <w:tab/>
      </w:r>
      <w:r>
        <w:rPr>
          <w:rFonts w:ascii="宋体" w:hAnsi="宋体" w:eastAsia="宋体"/>
          <w:b/>
          <w:sz w:val="23"/>
        </w:rPr>
        <w:t>26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5.1 登录页</w:t>
      </w:r>
      <w:r>
        <w:tab/>
      </w:r>
      <w:r>
        <w:rPr>
          <w:rFonts w:ascii="宋体" w:hAnsi="宋体" w:eastAsia="宋体"/>
          <w:b w:val="0"/>
          <w:sz w:val="22"/>
        </w:rPr>
        <w:t>26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5.2 退出登录</w:t>
      </w:r>
      <w:r>
        <w:tab/>
      </w:r>
      <w:r>
        <w:rPr>
          <w:rFonts w:ascii="宋体" w:hAnsi="宋体" w:eastAsia="宋体"/>
          <w:b w:val="0"/>
          <w:sz w:val="22"/>
        </w:rPr>
        <w:t>26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5.3 首页</w:t>
      </w:r>
      <w:r>
        <w:tab/>
      </w:r>
      <w:r>
        <w:rPr>
          <w:rFonts w:ascii="宋体" w:hAnsi="宋体" w:eastAsia="宋体"/>
          <w:b w:val="0"/>
          <w:sz w:val="22"/>
        </w:rPr>
        <w:t>27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 课程查询</w:t>
      </w:r>
      <w:r>
        <w:tab/>
      </w:r>
      <w:r>
        <w:rPr>
          <w:rFonts w:ascii="宋体" w:hAnsi="宋体" w:eastAsia="宋体"/>
          <w:b w:val="0"/>
          <w:sz w:val="22"/>
        </w:rPr>
        <w:t>27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5.5 课程详情</w:t>
      </w:r>
      <w:r>
        <w:tab/>
      </w:r>
      <w:r>
        <w:rPr>
          <w:rFonts w:ascii="宋体" w:hAnsi="宋体" w:eastAsia="宋体"/>
          <w:b w:val="0"/>
          <w:sz w:val="22"/>
        </w:rPr>
        <w:t>27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5.6 我的选课</w:t>
      </w:r>
      <w:r>
        <w:tab/>
      </w:r>
      <w:r>
        <w:rPr>
          <w:rFonts w:ascii="宋体" w:hAnsi="宋体" w:eastAsia="宋体"/>
          <w:b w:val="0"/>
          <w:sz w:val="22"/>
        </w:rPr>
        <w:t>28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5.7 公告列表</w:t>
      </w:r>
      <w:r>
        <w:tab/>
      </w:r>
      <w:r>
        <w:rPr>
          <w:rFonts w:ascii="宋体" w:hAnsi="宋体" w:eastAsia="宋体"/>
          <w:b w:val="0"/>
          <w:sz w:val="22"/>
        </w:rPr>
        <w:t>28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5.8 公告详情</w:t>
      </w:r>
      <w:r>
        <w:tab/>
      </w:r>
      <w:r>
        <w:rPr>
          <w:rFonts w:ascii="宋体" w:hAnsi="宋体" w:eastAsia="宋体"/>
          <w:b w:val="0"/>
          <w:sz w:val="22"/>
        </w:rPr>
        <w:t>29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5.9 教师端首页</w:t>
      </w:r>
      <w:r>
        <w:tab/>
      </w:r>
      <w:r>
        <w:rPr>
          <w:rFonts w:ascii="宋体" w:hAnsi="宋体" w:eastAsia="宋体"/>
          <w:b w:val="0"/>
          <w:sz w:val="22"/>
        </w:rPr>
        <w:t>29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5.10 我的课程</w:t>
      </w:r>
      <w:r>
        <w:tab/>
      </w:r>
      <w:r>
        <w:rPr>
          <w:rFonts w:ascii="宋体" w:hAnsi="宋体" w:eastAsia="宋体"/>
          <w:b w:val="0"/>
          <w:sz w:val="22"/>
        </w:rPr>
        <w:t>29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5.11 选课名单</w:t>
      </w:r>
      <w:r>
        <w:tab/>
      </w:r>
      <w:r>
        <w:rPr>
          <w:rFonts w:ascii="宋体" w:hAnsi="宋体" w:eastAsia="宋体"/>
          <w:b w:val="0"/>
          <w:sz w:val="22"/>
        </w:rPr>
        <w:t>30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5.12 授课冲突</w:t>
      </w:r>
      <w:r>
        <w:tab/>
      </w:r>
      <w:r>
        <w:rPr>
          <w:rFonts w:ascii="宋体" w:hAnsi="宋体" w:eastAsia="宋体"/>
          <w:b w:val="0"/>
          <w:sz w:val="22"/>
        </w:rPr>
        <w:t>30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5.13 管理后台概览</w:t>
      </w:r>
      <w:r>
        <w:tab/>
      </w:r>
      <w:r>
        <w:rPr>
          <w:rFonts w:ascii="宋体" w:hAnsi="宋体" w:eastAsia="宋体"/>
          <w:b w:val="0"/>
          <w:sz w:val="22"/>
        </w:rPr>
        <w:t>30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5.14 课程管理</w:t>
      </w:r>
      <w:r>
        <w:tab/>
      </w:r>
      <w:r>
        <w:rPr>
          <w:rFonts w:ascii="宋体" w:hAnsi="宋体" w:eastAsia="宋体"/>
          <w:b w:val="0"/>
          <w:sz w:val="22"/>
        </w:rPr>
        <w:t>31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5.15 课程表单</w:t>
      </w:r>
      <w:r>
        <w:tab/>
      </w:r>
      <w:r>
        <w:rPr>
          <w:rFonts w:ascii="宋体" w:hAnsi="宋体" w:eastAsia="宋体"/>
          <w:b w:val="0"/>
          <w:sz w:val="22"/>
        </w:rPr>
        <w:t>31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5.16 选课窗口</w:t>
      </w:r>
      <w:r>
        <w:tab/>
      </w:r>
      <w:r>
        <w:rPr>
          <w:rFonts w:ascii="宋体" w:hAnsi="宋体" w:eastAsia="宋体"/>
          <w:b w:val="0"/>
          <w:sz w:val="22"/>
        </w:rPr>
        <w:t>32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5.17 公告管理</w:t>
      </w:r>
      <w:r>
        <w:tab/>
      </w:r>
      <w:r>
        <w:rPr>
          <w:rFonts w:ascii="宋体" w:hAnsi="宋体" w:eastAsia="宋体"/>
          <w:b w:val="0"/>
          <w:sz w:val="22"/>
        </w:rPr>
        <w:t>32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5.18 选课统计</w:t>
      </w:r>
      <w:r>
        <w:tab/>
      </w:r>
      <w:r>
        <w:rPr>
          <w:rFonts w:ascii="宋体" w:hAnsi="宋体" w:eastAsia="宋体"/>
          <w:b w:val="0"/>
          <w:sz w:val="22"/>
        </w:rPr>
        <w:t>32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6 数据访问与事务设计</w:t>
      </w:r>
      <w:r>
        <w:tab/>
      </w:r>
      <w:r>
        <w:rPr>
          <w:rFonts w:ascii="宋体" w:hAnsi="宋体" w:eastAsia="宋体"/>
          <w:b/>
          <w:sz w:val="23"/>
        </w:rPr>
        <w:t>34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6.1 事务清单</w:t>
      </w:r>
      <w:r>
        <w:tab/>
      </w:r>
      <w:r>
        <w:rPr>
          <w:rFonts w:ascii="宋体" w:hAnsi="宋体" w:eastAsia="宋体"/>
          <w:b w:val="0"/>
          <w:sz w:val="22"/>
        </w:rPr>
        <w:t>34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6.2 关键 SQL 与参数化</w:t>
      </w:r>
      <w:r>
        <w:tab/>
      </w:r>
      <w:r>
        <w:rPr>
          <w:rFonts w:ascii="宋体" w:hAnsi="宋体" w:eastAsia="宋体"/>
          <w:b w:val="0"/>
          <w:sz w:val="22"/>
        </w:rPr>
        <w:t>34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6.3 连接与驱动</w:t>
      </w:r>
      <w:r>
        <w:tab/>
      </w:r>
      <w:r>
        <w:rPr>
          <w:rFonts w:ascii="宋体" w:hAnsi="宋体" w:eastAsia="宋体"/>
          <w:b w:val="0"/>
          <w:sz w:val="22"/>
        </w:rPr>
        <w:t>35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7 接口设计</w:t>
      </w:r>
      <w:r>
        <w:tab/>
      </w:r>
      <w:r>
        <w:rPr>
          <w:rFonts w:ascii="宋体" w:hAnsi="宋体" w:eastAsia="宋体"/>
          <w:b/>
          <w:sz w:val="23"/>
        </w:rPr>
        <w:t>36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7.1 用户接口</w:t>
      </w:r>
      <w:r>
        <w:tab/>
      </w:r>
      <w:r>
        <w:rPr>
          <w:rFonts w:ascii="宋体" w:hAnsi="宋体" w:eastAsia="宋体"/>
          <w:b w:val="0"/>
          <w:sz w:val="22"/>
        </w:rPr>
        <w:t>36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7.2 外部接口</w:t>
      </w:r>
      <w:r>
        <w:tab/>
      </w:r>
      <w:r>
        <w:rPr>
          <w:rFonts w:ascii="宋体" w:hAnsi="宋体" w:eastAsia="宋体"/>
          <w:b w:val="0"/>
          <w:sz w:val="22"/>
        </w:rPr>
        <w:t>36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7.3 内部接口</w:t>
      </w:r>
      <w:r>
        <w:tab/>
      </w:r>
      <w:r>
        <w:rPr>
          <w:rFonts w:ascii="宋体" w:hAnsi="宋体" w:eastAsia="宋体"/>
          <w:b w:val="0"/>
          <w:sz w:val="22"/>
        </w:rPr>
        <w:t>37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8 角色授权设计</w:t>
      </w:r>
      <w:r>
        <w:tab/>
      </w:r>
      <w:r>
        <w:rPr>
          <w:rFonts w:ascii="宋体" w:hAnsi="宋体" w:eastAsia="宋体"/>
          <w:b/>
          <w:sz w:val="23"/>
        </w:rPr>
        <w:t>38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9 系统错误处理</w:t>
      </w:r>
      <w:r>
        <w:tab/>
      </w:r>
      <w:r>
        <w:rPr>
          <w:rFonts w:ascii="宋体" w:hAnsi="宋体" w:eastAsia="宋体"/>
          <w:b/>
          <w:sz w:val="23"/>
        </w:rPr>
        <w:t>39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9.1 出错信息</w:t>
      </w:r>
      <w:r>
        <w:tab/>
      </w:r>
      <w:r>
        <w:rPr>
          <w:rFonts w:ascii="宋体" w:hAnsi="宋体" w:eastAsia="宋体"/>
          <w:b w:val="0"/>
          <w:sz w:val="22"/>
        </w:rPr>
        <w:t>39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9.2 故障预防与补救</w:t>
      </w:r>
      <w:r>
        <w:tab/>
      </w:r>
      <w:r>
        <w:rPr>
          <w:rFonts w:ascii="宋体" w:hAnsi="宋体" w:eastAsia="宋体"/>
          <w:b w:val="0"/>
          <w:sz w:val="22"/>
        </w:rPr>
        <w:t>40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9.3 系统维护设计</w:t>
      </w:r>
      <w:r>
        <w:tab/>
      </w:r>
      <w:r>
        <w:rPr>
          <w:rFonts w:ascii="宋体" w:hAnsi="宋体" w:eastAsia="宋体"/>
          <w:b w:val="0"/>
          <w:sz w:val="22"/>
        </w:rPr>
        <w:t>40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10 测试计划</w:t>
      </w:r>
      <w:r>
        <w:tab/>
      </w:r>
      <w:r>
        <w:rPr>
          <w:rFonts w:ascii="宋体" w:hAnsi="宋体" w:eastAsia="宋体"/>
          <w:b/>
          <w:sz w:val="23"/>
        </w:rPr>
        <w:t>42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10.1 单元测试</w:t>
      </w:r>
      <w:r>
        <w:tab/>
      </w:r>
      <w:r>
        <w:rPr>
          <w:rFonts w:ascii="宋体" w:hAnsi="宋体" w:eastAsia="宋体"/>
          <w:b w:val="0"/>
          <w:sz w:val="22"/>
        </w:rPr>
        <w:t>42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10.2 集成测试</w:t>
      </w:r>
      <w:r>
        <w:tab/>
      </w:r>
      <w:r>
        <w:rPr>
          <w:rFonts w:ascii="宋体" w:hAnsi="宋体" w:eastAsia="宋体"/>
          <w:b w:val="0"/>
          <w:sz w:val="22"/>
        </w:rPr>
        <w:t>42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10.3 系统测试</w:t>
      </w:r>
      <w:r>
        <w:tab/>
      </w:r>
      <w:r>
        <w:rPr>
          <w:rFonts w:ascii="宋体" w:hAnsi="宋体" w:eastAsia="宋体"/>
          <w:b w:val="0"/>
          <w:sz w:val="22"/>
        </w:rPr>
        <w:t>42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10.4 准入与退出准则</w:t>
      </w:r>
      <w:r>
        <w:tab/>
      </w:r>
      <w:r>
        <w:rPr>
          <w:rFonts w:ascii="宋体" w:hAnsi="宋体" w:eastAsia="宋体"/>
          <w:b w:val="0"/>
          <w:sz w:val="22"/>
        </w:rPr>
        <w:t>43</w:t>
      </w:r>
    </w:p>
    <w:p>
      <w:pPr>
        <w:pageBreakBefore/>
        <w:spacing w:before="0" w:after="0"/>
      </w:pPr>
      <w:r>
        <w:rPr>
          <w:color w:val="FFFFFF"/>
          <w:sz w:val="2"/>
        </w:rPr>
        <w:t>BODYSTART</w:t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1 引言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1.1 编写目的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本文档回答三个问题：系统由哪些子系统与模块组成、每个模块的类与数据如何设计、模块之间如何协作。它是详细设计与编码之间的桥梁，也是测试与验收的对照依据。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阅读对象为课程设计评审教师、后续维护者与需要复核实现一致性的测试人员。读者应能据此定位到具体类、数据表与页面，并判断实现是否符合设计。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本文档与《需求规格说明书》（D1）保持追溯关系：D1 的 12 条功能需求均能在本文第 2、4、5、8 章找到对应的设计与授权边界；数据库细节以《数据库设计说明书》（D4）为准。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1.2 命名规范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  命名规范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06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371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规则</w:t>
            </w:r>
          </w:p>
        </w:tc>
        <w:tc>
          <w:tcPr>
            <w:tcW w:type="dxa" w:w="406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10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类</w:t>
            </w:r>
          </w:p>
        </w:tc>
        <w:tc>
          <w:tcPr>
            <w:tcW w:type="dxa" w:w="37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大驼峰；业务类以 Service 结尾，工具类以 Util 结尾</w:t>
            </w:r>
          </w:p>
        </w:tc>
        <w:tc>
          <w:tcPr>
            <w:tcW w:type="dxa" w:w="406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EnrollmentService、FormatUtil</w:t>
            </w:r>
          </w:p>
        </w:tc>
      </w:tr>
      <w:tr>
        <w:trPr>
          <w:cantSplit w:val="true"/>
        </w:trPr>
        <w:tc>
          <w:tcPr>
            <w:tcW w:type="dxa" w:w="10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方法</w:t>
            </w:r>
          </w:p>
        </w:tc>
        <w:tc>
          <w:tcPr>
            <w:tcW w:type="dxa" w:w="37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小驼峰；动词开头，读操作 list/get/find，写操作 save/remove</w:t>
            </w:r>
          </w:p>
        </w:tc>
        <w:tc>
          <w:tcPr>
            <w:tcW w:type="dxa" w:w="406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listCourses、promoteNext</w:t>
            </w:r>
          </w:p>
        </w:tc>
      </w:tr>
      <w:tr>
        <w:trPr>
          <w:cantSplit w:val="true"/>
        </w:trPr>
        <w:tc>
          <w:tcPr>
            <w:tcW w:type="dxa" w:w="10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路由文件</w:t>
            </w:r>
          </w:p>
        </w:tc>
        <w:tc>
          <w:tcPr>
            <w:tcW w:type="dxa" w:w="37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小写名词复数，一个业务域一个文件</w:t>
            </w:r>
          </w:p>
        </w:tc>
        <w:tc>
          <w:tcPr>
            <w:tcW w:type="dxa" w:w="406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routes/enrollments.js</w:t>
            </w:r>
          </w:p>
        </w:tc>
      </w:tr>
      <w:tr>
        <w:trPr>
          <w:cantSplit w:val="true"/>
        </w:trPr>
        <w:tc>
          <w:tcPr>
            <w:tcW w:type="dxa" w:w="10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数据表</w:t>
            </w:r>
          </w:p>
        </w:tc>
        <w:tc>
          <w:tcPr>
            <w:tcW w:type="dxa" w:w="37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小写单数，下划线分词</w:t>
            </w:r>
          </w:p>
        </w:tc>
        <w:tc>
          <w:tcPr>
            <w:tcW w:type="dxa" w:w="406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class_time、course</w:t>
            </w:r>
          </w:p>
        </w:tc>
      </w:tr>
      <w:tr>
        <w:trPr>
          <w:cantSplit w:val="true"/>
        </w:trPr>
        <w:tc>
          <w:tcPr>
            <w:tcW w:type="dxa" w:w="10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7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小写蛇形；外键以 _id 结尾</w:t>
            </w:r>
          </w:p>
        </w:tc>
        <w:tc>
          <w:tcPr>
            <w:tcW w:type="dxa" w:w="406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teacher_id、waitlist_joined_at</w:t>
            </w:r>
          </w:p>
        </w:tc>
      </w:tr>
      <w:tr>
        <w:trPr>
          <w:cantSplit w:val="true"/>
        </w:trPr>
        <w:tc>
          <w:tcPr>
            <w:tcW w:type="dxa" w:w="10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错误码</w:t>
            </w:r>
          </w:p>
        </w:tc>
        <w:tc>
          <w:tcPr>
            <w:tcW w:type="dxa" w:w="37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大写蛇形，语义为“原因”而非“结果”</w:t>
            </w:r>
          </w:p>
        </w:tc>
        <w:tc>
          <w:tcPr>
            <w:tcW w:type="dxa" w:w="406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WAITLIST_FULL、CONFLICT</w:t>
            </w:r>
          </w:p>
        </w:tc>
      </w:tr>
      <w:tr>
        <w:trPr>
          <w:cantSplit w:val="true"/>
        </w:trPr>
        <w:tc>
          <w:tcPr>
            <w:tcW w:type="dxa" w:w="10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URL</w:t>
            </w:r>
          </w:p>
        </w:tc>
        <w:tc>
          <w:tcPr>
            <w:tcW w:type="dxa" w:w="37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小写、名词复数；资源操作使用 HTTP 动词</w:t>
            </w:r>
          </w:p>
        </w:tc>
        <w:tc>
          <w:tcPr>
            <w:tcW w:type="dxa" w:w="406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/courses、/admin/semester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1.3 术语定义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  术语定义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36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术语</w:t>
            </w:r>
          </w:p>
        </w:tc>
        <w:tc>
          <w:tcPr>
            <w:tcW w:type="dxa" w:w="748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B/S 结构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浏览器/服务器结构，客户端只需浏览器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SSR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服务端渲染：Node.js + Express + EJS 在服务端拼装 HTML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PRG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Post-Redirect-Get：写操作后重定向，避免刷新重复提交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分层单体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按路由层/服务层/数据访问层/视图层切分的单进程应用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不变式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任何时刻都必须成立的条件，如“已选人数 ≤ 容量”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候补队列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课程满员后按加入时间 FIFO 排队的等待名单，上限等于容量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跳位补位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补位遇冲突时跳过该生、顺延下一位，该生保留队列位置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结果对象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服务层统一返回的 { ok, code, message, data } 结构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flash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基于 session 的一次性提示消息，渲染后即清除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1.4 参考资料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  参考资料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476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资料</w:t>
            </w:r>
          </w:p>
        </w:tc>
        <w:tc>
          <w:tcPr>
            <w:tcW w:type="dxa" w:w="408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GB/T 8567—2006《计算机软件文档编制规范》</w:t>
            </w:r>
          </w:p>
        </w:tc>
        <w:tc>
          <w:tcPr>
            <w:tcW w:type="dxa" w:w="408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文档结构与章节编排参考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《高校选课系统需求规格说明书》D1</w:t>
            </w:r>
          </w:p>
        </w:tc>
        <w:tc>
          <w:tcPr>
            <w:tcW w:type="dxa" w:w="408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功能需求 FR-00~FR-11 与验收标准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Express 4.x 官方文档</w:t>
            </w:r>
          </w:p>
        </w:tc>
        <w:tc>
          <w:tcPr>
            <w:tcW w:type="dxa" w:w="408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中间件、路由与会话设计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PostgreSQL 18 官方文档</w:t>
            </w:r>
          </w:p>
        </w:tc>
        <w:tc>
          <w:tcPr>
            <w:tcW w:type="dxa" w:w="408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事务、行锁与连接池配置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node-sqlite3-wasm 文档</w:t>
            </w:r>
          </w:p>
        </w:tc>
        <w:tc>
          <w:tcPr>
            <w:tcW w:type="dxa" w:w="408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SQLite 驱动的参数绑定与事务限制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1.5 相关文档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  项目文档清单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56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453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文档</w:t>
            </w:r>
          </w:p>
        </w:tc>
        <w:tc>
          <w:tcPr>
            <w:tcW w:type="dxa" w:w="374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与本文关系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D1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需求规格说明书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上游：功能与验收标准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D2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概要设计说明书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本文：总体、数据库、模块与接口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D3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详细设计说明书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下游：类内部实现与算法伪代码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D4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数据库设计说明书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并行：表结构、约束与索引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D5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测试用例与测试报告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下游：验证设计是否达成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D6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项目总结报告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下游：复盘设计决策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docs/dev/03-接口与页面规范.md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URL、权限矩阵与页面要素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docs/dev/07-数据库驱动与迁移.md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双驱动与事务差异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1.6 版本更新信息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  版本更新记录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版本号</w:t>
            </w:r>
          </w:p>
        </w:tc>
        <w:tc>
          <w:tcPr>
            <w:tcW w:type="dxa" w:w="113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创建者</w:t>
            </w:r>
          </w:p>
        </w:tc>
        <w:tc>
          <w:tcPr>
            <w:tcW w:type="dxa" w:w="124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创建日期</w:t>
            </w:r>
          </w:p>
        </w:tc>
        <w:tc>
          <w:tcPr>
            <w:tcW w:type="dxa" w:w="113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维护者</w:t>
            </w:r>
          </w:p>
        </w:tc>
        <w:tc>
          <w:tcPr>
            <w:tcW w:type="dxa" w:w="124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维护日期</w:t>
            </w:r>
          </w:p>
        </w:tc>
        <w:tc>
          <w:tcPr>
            <w:tcW w:type="dxa" w:w="3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维护纪要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初稿，对应 SQLite 单机版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2026-10-22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2026-10-22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补 PostgreSQL 双驱动、FlashUtil、连接质量设计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v1.2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2026-10-22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2026-10-22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对齐 v4.0.0 发布版，补授权与错误处理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2 总体设计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2.1 硬件运行环境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6  硬件运行环境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94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部署形态</w:t>
            </w:r>
          </w:p>
        </w:tc>
        <w:tc>
          <w:tcPr>
            <w:tcW w:type="dxa" w:w="237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最低配置</w:t>
            </w:r>
          </w:p>
        </w:tc>
        <w:tc>
          <w:tcPr>
            <w:tcW w:type="dxa" w:w="215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推荐配置</w:t>
            </w:r>
          </w:p>
        </w:tc>
        <w:tc>
          <w:tcPr>
            <w:tcW w:type="dxa" w:w="237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本地演示（Windows）</w:t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双核 2.0 GHz、4 GB 内存、1 GB 磁盘</w:t>
            </w:r>
          </w:p>
        </w:tc>
        <w:tc>
          <w:tcPr>
            <w:tcW w:type="dxa" w:w="21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四核、8 GB 内存、SSD</w:t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双击 start.bat 即可运行</w:t>
            </w:r>
          </w:p>
        </w:tc>
      </w:tr>
      <w:tr>
        <w:trPr>
          <w:cantSplit w:val="true"/>
        </w:trPr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云端演示（Render）</w:t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512 MB 内存（免费实例）</w:t>
            </w:r>
          </w:p>
        </w:tc>
        <w:tc>
          <w:tcPr>
            <w:tcW w:type="dxa" w:w="21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 GB 内存</w:t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15 分钟无访问会休眠，首访 30~60 秒</w:t>
            </w:r>
          </w:p>
        </w:tc>
      </w:tr>
      <w:tr>
        <w:trPr>
          <w:cantSplit w:val="true"/>
        </w:trPr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数据库（Neon）</w:t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1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托管 PostgreSQL 18，无需自建服务器</w:t>
            </w:r>
          </w:p>
        </w:tc>
      </w:tr>
      <w:tr>
        <w:trPr>
          <w:cantSplit w:val="true"/>
        </w:trPr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客户端</w:t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支持现代浏览器的任意设备</w:t>
            </w:r>
          </w:p>
        </w:tc>
        <w:tc>
          <w:tcPr>
            <w:tcW w:type="dxa" w:w="21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Chrome / Edge 最新版</w:t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最小支持宽度 780px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2.2 软件运行环境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7  软件运行环境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56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335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选型</w:t>
            </w:r>
          </w:p>
        </w:tc>
        <w:tc>
          <w:tcPr>
            <w:tcW w:type="dxa" w:w="391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版本/说明</w:t>
            </w:r>
          </w:p>
        </w:tc>
      </w:tr>
      <w:tr>
        <w:trPr>
          <w:cantSplit w:val="true"/>
        </w:trPr>
        <w:tc>
          <w:tcPr>
            <w:tcW w:type="dxa" w:w="1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type="dxa" w:w="335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Windows 10/11（开发）、Linux（Render）</w:t>
            </w:r>
          </w:p>
        </w:tc>
        <w:tc>
          <w:tcPr>
            <w:tcW w:type="dxa" w:w="3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不依赖平台特有 API</w:t>
            </w:r>
          </w:p>
        </w:tc>
      </w:tr>
      <w:tr>
        <w:trPr>
          <w:cantSplit w:val="true"/>
        </w:trPr>
        <w:tc>
          <w:tcPr>
            <w:tcW w:type="dxa" w:w="1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运行时</w:t>
            </w:r>
          </w:p>
        </w:tc>
        <w:tc>
          <w:tcPr>
            <w:tcW w:type="dxa" w:w="335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Node.js</w:t>
            </w:r>
          </w:p>
        </w:tc>
        <w:tc>
          <w:tcPr>
            <w:tcW w:type="dxa" w:w="3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&gt;= 22（Render 实测 v22.23.4，本地 v24.22.0）</w:t>
            </w:r>
          </w:p>
        </w:tc>
      </w:tr>
      <w:tr>
        <w:trPr>
          <w:cantSplit w:val="true"/>
        </w:trPr>
        <w:tc>
          <w:tcPr>
            <w:tcW w:type="dxa" w:w="1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Web 框架</w:t>
            </w:r>
          </w:p>
        </w:tc>
        <w:tc>
          <w:tcPr>
            <w:tcW w:type="dxa" w:w="335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Express</w:t>
            </w:r>
          </w:p>
        </w:tc>
        <w:tc>
          <w:tcPr>
            <w:tcW w:type="dxa" w:w="3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4.x</w:t>
            </w:r>
          </w:p>
        </w:tc>
      </w:tr>
      <w:tr>
        <w:trPr>
          <w:cantSplit w:val="true"/>
        </w:trPr>
        <w:tc>
          <w:tcPr>
            <w:tcW w:type="dxa" w:w="1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模板引擎</w:t>
            </w:r>
          </w:p>
        </w:tc>
        <w:tc>
          <w:tcPr>
            <w:tcW w:type="dxa" w:w="335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EJS</w:t>
            </w:r>
          </w:p>
        </w:tc>
        <w:tc>
          <w:tcPr>
            <w:tcW w:type="dxa" w:w="3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3.x，服务端渲染，无前端构建</w:t>
            </w:r>
          </w:p>
        </w:tc>
      </w:tr>
      <w:tr>
        <w:trPr>
          <w:cantSplit w:val="true"/>
        </w:trPr>
        <w:tc>
          <w:tcPr>
            <w:tcW w:type="dxa" w:w="1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335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PostgreSQL / SQLite</w:t>
            </w:r>
          </w:p>
        </w:tc>
        <w:tc>
          <w:tcPr>
            <w:tcW w:type="dxa" w:w="3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Neon PG 18 为主；SQLite（node-sqlite3-wasm）离线回退</w:t>
            </w:r>
          </w:p>
        </w:tc>
      </w:tr>
      <w:tr>
        <w:trPr>
          <w:cantSplit w:val="true"/>
        </w:trPr>
        <w:tc>
          <w:tcPr>
            <w:tcW w:type="dxa" w:w="1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会话</w:t>
            </w:r>
          </w:p>
        </w:tc>
        <w:tc>
          <w:tcPr>
            <w:tcW w:type="dxa" w:w="335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express-session</w:t>
            </w:r>
          </w:p>
        </w:tc>
        <w:tc>
          <w:tcPr>
            <w:tcW w:type="dxa" w:w="3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内存存储，重启失效（演示级取舍）</w:t>
            </w:r>
          </w:p>
        </w:tc>
      </w:tr>
      <w:tr>
        <w:trPr>
          <w:cantSplit w:val="true"/>
        </w:trPr>
        <w:tc>
          <w:tcPr>
            <w:tcW w:type="dxa" w:w="1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密码派生</w:t>
            </w:r>
          </w:p>
        </w:tc>
        <w:tc>
          <w:tcPr>
            <w:tcW w:type="dxa" w:w="335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Node crypto.scryptSync</w:t>
            </w:r>
          </w:p>
        </w:tc>
        <w:tc>
          <w:tcPr>
            <w:tcW w:type="dxa" w:w="3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避免原生编译依赖</w:t>
            </w:r>
          </w:p>
        </w:tc>
      </w:tr>
      <w:tr>
        <w:trPr>
          <w:cantSplit w:val="true"/>
        </w:trPr>
        <w:tc>
          <w:tcPr>
            <w:tcW w:type="dxa" w:w="1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部署</w:t>
            </w:r>
          </w:p>
        </w:tc>
        <w:tc>
          <w:tcPr>
            <w:tcW w:type="dxa" w:w="335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Render + GitHub</w:t>
            </w:r>
          </w:p>
        </w:tc>
        <w:tc>
          <w:tcPr>
            <w:tcW w:type="dxa" w:w="3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推送到 main 自动部署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2.3 子系统清单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8  子系统清单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56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192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子系统</w:t>
            </w:r>
          </w:p>
        </w:tc>
        <w:tc>
          <w:tcPr>
            <w:tcW w:type="dxa" w:w="635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功能描述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S1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认证与访问控制</w:t>
            </w:r>
          </w:p>
        </w:tc>
        <w:tc>
          <w:tcPr>
            <w:tcW w:type="dxa" w:w="635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登录、退出、会话注入、角色鉴权、站内跳转校验，是所有页面的入口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S2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选课与候补</w:t>
            </w:r>
          </w:p>
        </w:tc>
        <w:tc>
          <w:tcPr>
            <w:tcW w:type="dxa" w:w="635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课程查询、选课、退课、人数限制、冲突检查、结果查询、候补补位、窗口状态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S3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教学管理端</w:t>
            </w:r>
          </w:p>
        </w:tc>
        <w:tc>
          <w:tcPr>
            <w:tcW w:type="dxa" w:w="635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教师查看所授课程、选课名单与候补位次、授课时间冲突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S4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运营管理端</w:t>
            </w:r>
          </w:p>
        </w:tc>
        <w:tc>
          <w:tcPr>
            <w:tcW w:type="dxa" w:w="635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课程增删改、学期与选课窗口配置、公告发布、选课统计、连接质量看板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2.4 功能模块清单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9  功能模块清单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79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模块编号</w:t>
            </w:r>
          </w:p>
        </w:tc>
        <w:tc>
          <w:tcPr>
            <w:tcW w:type="dxa" w:w="170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模块名称</w:t>
            </w:r>
          </w:p>
        </w:tc>
        <w:tc>
          <w:tcPr>
            <w:tcW w:type="dxa" w:w="317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承载服务/路由</w:t>
            </w:r>
          </w:p>
        </w:tc>
        <w:tc>
          <w:tcPr>
            <w:tcW w:type="dxa" w:w="317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主要职责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M-00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登录与鉴权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PasswordUtil、middleware/auth.js、routes/auth.js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校验口令、建立会话、角色拦截、next 跳转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M-01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课程查询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CourseService、routes/courses.js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检索、筛选、容量统计、详情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M-02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EnrollmentService、routes/enrollments.js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五步校验、占名额、满员转候补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M-03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退课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EnrollmentService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释放名额、触发补位、不判断窗口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M-04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人数限制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EnrollmentService.countEnrolled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事务内实时计数，容量约束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M-05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时间冲突检查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ConflictService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星期/节次/周次三条件判定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M-06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选课结果查询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EnrollmentService.listMyEnrollments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已选、候补位次、合计学分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M-07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候补队列与补位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EnrollmentService.promoteNext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FIFO、上限=容量、跳位补位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M-08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公告通知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AnnouncementService、routes/announcements.js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置顶优先、发布、删除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M-09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选课窗口配置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WindowService、AdminService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四态计算、开放/截止时间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M-10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并发压测脚本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test/stress-test.js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 抢 3、退课补位、窗口规则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M-11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教师端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TeacherService、routes/teacher.js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所授课程、名单、授课冲突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2.5 分层架构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22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22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黑体" w:hAnsi="黑体" w:eastAsia="黑体"/>
          <w:b/>
          <w:sz w:val="21"/>
        </w:rPr>
        <w:t>图 1  系统分层架构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系统采用四层结构：路由层只负责“读请求、鉴权、调用服务、选模板、重定向”，不写 SQL、不做业务判断；服务层承载全部业务规则并开启事务，不接触 req/res；数据访问层只执行参数化 SQL，不含业务语义；视图层只展示与提交表单。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分层的硬约束写进评审清单：业务规则一旦写进路由层，压测脚本就无法复用同一套判定，测试与生产行为会分叉。工具层存放无状态纯函数（格式化、口令、路径校验），不得依赖业务服务。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依赖方向单向：路由 → 服务 → 数据访问；服务之间可横向调用但不得成环（EnrollmentService 依赖 ConflictService，反向禁止）。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2.6 部署结构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运行拓扑为单台主机上的单进程：浏览器经 HTTP 访问 Node.js（Express）进程，进程通过连接池访问 Neon PostgreSQL；本地无 DATABASE_URL 时回退到 data/ 下的 SQLite 文件。Render 免费实例休眠后首访需 30~60 秒，连接质量徽标会显示“检测中”并自动恢复。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10  部署与配置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67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414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值</w:t>
            </w:r>
          </w:p>
        </w:tc>
        <w:tc>
          <w:tcPr>
            <w:tcW w:type="dxa" w:w="302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7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监听端口</w:t>
            </w:r>
          </w:p>
        </w:tc>
        <w:tc>
          <w:tcPr>
            <w:tcW w:type="dxa" w:w="41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PORT=3000（可用 3001~3010 顺延）</w:t>
            </w:r>
          </w:p>
        </w:tc>
        <w:tc>
          <w:tcPr>
            <w:tcW w:type="dxa" w:w="30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start.bat 轮询 /health 就绪后打开浏览器</w:t>
            </w:r>
          </w:p>
        </w:tc>
      </w:tr>
      <w:tr>
        <w:trPr>
          <w:cantSplit w:val="true"/>
        </w:trPr>
        <w:tc>
          <w:tcPr>
            <w:tcW w:type="dxa" w:w="167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数据库选择</w:t>
            </w:r>
          </w:p>
        </w:tc>
        <w:tc>
          <w:tcPr>
            <w:tcW w:type="dxa" w:w="41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DATABASE_URL 有值走 PG，否则 SQLite</w:t>
            </w:r>
          </w:p>
        </w:tc>
        <w:tc>
          <w:tcPr>
            <w:tcW w:type="dxa" w:w="30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启动时自动加载项目根 .env</w:t>
            </w:r>
          </w:p>
        </w:tc>
      </w:tr>
      <w:tr>
        <w:trPr>
          <w:cantSplit w:val="true"/>
        </w:trPr>
        <w:tc>
          <w:tcPr>
            <w:tcW w:type="dxa" w:w="167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PG 连接池</w:t>
            </w:r>
          </w:p>
        </w:tc>
        <w:tc>
          <w:tcPr>
            <w:tcW w:type="dxa" w:w="41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PG_POOL_MAX=10</w:t>
            </w:r>
          </w:p>
        </w:tc>
        <w:tc>
          <w:tcPr>
            <w:tcW w:type="dxa" w:w="30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Render 免费库连接数有限，取小值</w:t>
            </w:r>
          </w:p>
        </w:tc>
      </w:tr>
      <w:tr>
        <w:trPr>
          <w:cantSplit w:val="true"/>
        </w:trPr>
        <w:tc>
          <w:tcPr>
            <w:tcW w:type="dxa" w:w="167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会话密钥</w:t>
            </w:r>
          </w:p>
        </w:tc>
        <w:tc>
          <w:tcPr>
            <w:tcW w:type="dxa" w:w="41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SESSION_SECRET</w:t>
            </w:r>
          </w:p>
        </w:tc>
        <w:tc>
          <w:tcPr>
            <w:tcW w:type="dxa" w:w="30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开发用固定值，正式部署须更换</w:t>
            </w:r>
          </w:p>
        </w:tc>
      </w:tr>
      <w:tr>
        <w:trPr>
          <w:cantSplit w:val="true"/>
        </w:trPr>
        <w:tc>
          <w:tcPr>
            <w:tcW w:type="dxa" w:w="167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自动部署</w:t>
            </w:r>
          </w:p>
        </w:tc>
        <w:tc>
          <w:tcPr>
            <w:tcW w:type="dxa" w:w="41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GitHub main → Render autoDeploy</w:t>
            </w:r>
          </w:p>
        </w:tc>
        <w:tc>
          <w:tcPr>
            <w:tcW w:type="dxa" w:w="30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推送后约 1~2 分钟生效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3 数据库设计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3.1 表名列表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11  数据库表清单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04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表名</w:t>
            </w:r>
          </w:p>
        </w:tc>
        <w:tc>
          <w:tcPr>
            <w:tcW w:type="dxa" w:w="192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中文名</w:t>
            </w:r>
          </w:p>
        </w:tc>
        <w:tc>
          <w:tcPr>
            <w:tcW w:type="dxa" w:w="419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功能说明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用户表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学生/教师/管理员，含口令散列与角色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semester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学期表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学期起止、总周数、选课窗口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course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课程表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开课班次：代码、教师、学分、容量、状态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class_time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上课时间表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一门课多段排课，含单双周与周次区间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enrollment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选课记录表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已选/候补/已退三态，唯一约束防重复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announcement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公告表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标题、正文、置顶标记、作者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meta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元信息表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建库时间、种子版本等键值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两套驱动共用同一逻辑结构：SQLite 使用 schema.sql，PostgreSQL 使用 schema.pg.sql，字段、约束与索引一一对应；差异仅在自增主键（AUTOINCREMENT / GENERATED ALWAYS AS IDENTITY）与布尔列（INTEGER / SMALLINT）。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3.2 表关系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8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黑体" w:hAnsi="黑体" w:eastAsia="黑体"/>
          <w:b/>
          <w:sz w:val="21"/>
        </w:rPr>
        <w:t>图 2  实体关系图（ER 图）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关系说明：一个学期包含多门课程；一名教师可授多门课程；一门课程有多段上课时间；一名学生对一门课程最多一条选课记录（唯一约束）；一名用户可发布多条公告。删除课程时排课级联删除（ON DELETE CASCADE），选课记录不级联，由业务层先检查再拒绝删除。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3.3 数据库表详细清单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字段类型按 SQLite 语法给出，括号内为 PostgreSQL 对应类型；“键”列中 PK 为主键、FK 为外键、U 为唯一约束。</w:t>
      </w: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3.3.1 用户表（user）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12  user 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blHeader w:val="true"/>
        </w:trPr>
        <w:tc>
          <w:tcPr>
            <w:tcW w:type="dxa" w:w="5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161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中文名</w:t>
            </w:r>
          </w:p>
        </w:tc>
        <w:tc>
          <w:tcPr>
            <w:tcW w:type="dxa" w:w="172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7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允许空</w:t>
            </w:r>
          </w:p>
        </w:tc>
        <w:tc>
          <w:tcPr>
            <w:tcW w:type="dxa" w:w="4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键</w:t>
            </w:r>
          </w:p>
        </w:tc>
        <w:tc>
          <w:tcPr>
            <w:tcW w:type="dxa" w:w="231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 ID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INTEGER（IDENTITY）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PK</w:t>
            </w:r>
          </w:p>
        </w:tc>
        <w:tc>
          <w:tcPr>
            <w:tcW w:type="dxa" w:w="231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自增主键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username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学号/工号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</w:t>
            </w:r>
          </w:p>
        </w:tc>
        <w:tc>
          <w:tcPr>
            <w:tcW w:type="dxa" w:w="231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登录账号，全局唯一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password_hash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口令散列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1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scrypt 派生，十六进制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password_salt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口令盐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1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每用户独立 16 字节盐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姓名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1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展示用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role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角色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1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student/teacher/admin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department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院系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1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学生、教师均有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grade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年级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1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仅学生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1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YYYY-MM-DD HH:MM:SS</w:t>
            </w:r>
          </w:p>
        </w:tc>
      </w:tr>
    </w:tbl>
    <w:p>
      <w:pPr>
        <w:spacing w:after="0"/>
      </w:pP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3.3.2 学期表（semester）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13  semester 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blHeader w:val="true"/>
        </w:trPr>
        <w:tc>
          <w:tcPr>
            <w:tcW w:type="dxa" w:w="5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172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中文名</w:t>
            </w:r>
          </w:p>
        </w:tc>
        <w:tc>
          <w:tcPr>
            <w:tcW w:type="dxa" w:w="183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7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允许空</w:t>
            </w:r>
          </w:p>
        </w:tc>
        <w:tc>
          <w:tcPr>
            <w:tcW w:type="dxa" w:w="43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键</w:t>
            </w:r>
          </w:p>
        </w:tc>
        <w:tc>
          <w:tcPr>
            <w:tcW w:type="dxa" w:w="215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学期 ID</w:t>
            </w:r>
          </w:p>
        </w:tc>
        <w:tc>
          <w:tcPr>
            <w:tcW w:type="dxa" w:w="18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INTEGER（IDENTITY）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PK</w:t>
            </w:r>
          </w:p>
        </w:tc>
        <w:tc>
          <w:tcPr>
            <w:tcW w:type="dxa" w:w="21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自增主键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学期名称</w:t>
            </w:r>
          </w:p>
        </w:tc>
        <w:tc>
          <w:tcPr>
            <w:tcW w:type="dxa" w:w="18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如 2026-2027 学年第一学期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start_date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开学日期</w:t>
            </w:r>
          </w:p>
        </w:tc>
        <w:tc>
          <w:tcPr>
            <w:tcW w:type="dxa" w:w="18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周次换算基准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total_weeks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总周数</w:t>
            </w:r>
          </w:p>
        </w:tc>
        <w:tc>
          <w:tcPr>
            <w:tcW w:type="dxa" w:w="18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默认 16，允许 1~30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select_open_at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窗口开放时间</w:t>
            </w:r>
          </w:p>
        </w:tc>
        <w:tc>
          <w:tcPr>
            <w:tcW w:type="dxa" w:w="18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为空表示未配置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select_close_at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窗口截止时间</w:t>
            </w:r>
          </w:p>
        </w:tc>
        <w:tc>
          <w:tcPr>
            <w:tcW w:type="dxa" w:w="18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截止后禁止新选课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is_current</w:t>
            </w:r>
          </w:p>
        </w:tc>
        <w:tc>
          <w:tcPr>
            <w:tcW w:type="dxa" w:w="1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当前学期</w:t>
            </w:r>
          </w:p>
        </w:tc>
        <w:tc>
          <w:tcPr>
            <w:tcW w:type="dxa" w:w="18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INTEGER（SMALLINT）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0/1，唯一当前学期</w:t>
            </w:r>
          </w:p>
        </w:tc>
      </w:tr>
    </w:tbl>
    <w:p>
      <w:pPr>
        <w:spacing w:after="0"/>
      </w:pP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3.3.3 课程表（course）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14  course 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blHeader w:val="true"/>
        </w:trPr>
        <w:tc>
          <w:tcPr>
            <w:tcW w:type="dxa" w:w="5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161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29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中文名</w:t>
            </w:r>
          </w:p>
        </w:tc>
        <w:tc>
          <w:tcPr>
            <w:tcW w:type="dxa" w:w="194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7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允许空</w:t>
            </w:r>
          </w:p>
        </w:tc>
        <w:tc>
          <w:tcPr>
            <w:tcW w:type="dxa" w:w="4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键</w:t>
            </w:r>
          </w:p>
        </w:tc>
        <w:tc>
          <w:tcPr>
            <w:tcW w:type="dxa" w:w="221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 ID</w:t>
            </w:r>
          </w:p>
        </w:tc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INTEGER（IDENTITY）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自增主键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code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课程代码</w:t>
            </w:r>
          </w:p>
        </w:tc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</w:t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字母+数字，如 CS101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课程名称</w:t>
            </w:r>
          </w:p>
        </w:tc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展示与检索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teacher_id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授课教师</w:t>
            </w:r>
          </w:p>
        </w:tc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引用 user.id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semester_id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所属学期</w:t>
            </w:r>
          </w:p>
        </w:tc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引用 semester.id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department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开课院系</w:t>
            </w:r>
          </w:p>
        </w:tc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筛选维度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credits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学分</w:t>
            </w:r>
          </w:p>
        </w:tc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REAL（DOUBLE PRECISION）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0~20，默认 2.0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capacity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容量</w:t>
            </w:r>
          </w:p>
        </w:tc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≥0，0 表示不可选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location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上课地点</w:t>
            </w:r>
          </w:p>
        </w:tc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如 教一 101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description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课程简介</w:t>
            </w:r>
          </w:p>
        </w:tc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详情页展示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open/closed（停开）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6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9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审计用</w:t>
            </w:r>
          </w:p>
        </w:tc>
      </w:tr>
    </w:tbl>
    <w:p>
      <w:pPr>
        <w:spacing w:after="0"/>
      </w:pP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3.3.4 上课时间表（class_time）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15  class_time 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blHeader w:val="true"/>
        </w:trPr>
        <w:tc>
          <w:tcPr>
            <w:tcW w:type="dxa" w:w="5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172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29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中文名</w:t>
            </w:r>
          </w:p>
        </w:tc>
        <w:tc>
          <w:tcPr>
            <w:tcW w:type="dxa" w:w="172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7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允许空</w:t>
            </w:r>
          </w:p>
        </w:tc>
        <w:tc>
          <w:tcPr>
            <w:tcW w:type="dxa" w:w="43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键</w:t>
            </w:r>
          </w:p>
        </w:tc>
        <w:tc>
          <w:tcPr>
            <w:tcW w:type="dxa" w:w="237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排课 ID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INTEGER（IDENTITY）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PK</w:t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自增主键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course_id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 ID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FK</w:t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引用 course.id，级联删除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day_of_week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星期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1=周一 … 7=周日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start_period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开始节次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≥1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end_period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结束节次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≥start_period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week_type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周类型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all/odd/even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start_week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起始周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默认 1</w:t>
            </w:r>
          </w:p>
        </w:tc>
      </w:tr>
      <w:tr>
        <w:trPr>
          <w:cantSplit w:val="true"/>
        </w:trPr>
        <w:tc>
          <w:tcPr>
            <w:tcW w:type="dxa" w:w="53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end_week</w:t>
            </w:r>
          </w:p>
        </w:tc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结束周</w:t>
            </w:r>
          </w:p>
        </w:tc>
        <w:tc>
          <w:tcPr>
            <w:tcW w:type="dxa" w:w="17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5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7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默认 16，≤30</w:t>
            </w:r>
          </w:p>
        </w:tc>
      </w:tr>
    </w:tbl>
    <w:p>
      <w:pPr>
        <w:spacing w:after="0"/>
      </w:pP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3.3.5 选课记录表（enrollment）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16  enrollment 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blHeader w:val="true"/>
        </w:trPr>
        <w:tc>
          <w:tcPr>
            <w:tcW w:type="dxa" w:w="52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179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中文名</w:t>
            </w:r>
          </w:p>
        </w:tc>
        <w:tc>
          <w:tcPr>
            <w:tcW w:type="dxa" w:w="16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73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允许空</w:t>
            </w:r>
          </w:p>
        </w:tc>
        <w:tc>
          <w:tcPr>
            <w:tcW w:type="dxa" w:w="42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键</w:t>
            </w:r>
          </w:p>
        </w:tc>
        <w:tc>
          <w:tcPr>
            <w:tcW w:type="dxa" w:w="221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2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79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记录 ID</w:t>
            </w:r>
          </w:p>
        </w:tc>
        <w:tc>
          <w:tcPr>
            <w:tcW w:type="dxa" w:w="16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INTEGER（IDENTITY）</w:t>
            </w:r>
          </w:p>
        </w:tc>
        <w:tc>
          <w:tcPr>
            <w:tcW w:type="dxa" w:w="73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2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自增主键</w:t>
            </w:r>
          </w:p>
        </w:tc>
      </w:tr>
      <w:tr>
        <w:trPr>
          <w:cantSplit w:val="true"/>
        </w:trPr>
        <w:tc>
          <w:tcPr>
            <w:tcW w:type="dxa" w:w="52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79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student_id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 ID</w:t>
            </w:r>
          </w:p>
        </w:tc>
        <w:tc>
          <w:tcPr>
            <w:tcW w:type="dxa" w:w="16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3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2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引用 user.id</w:t>
            </w:r>
          </w:p>
        </w:tc>
      </w:tr>
      <w:tr>
        <w:trPr>
          <w:cantSplit w:val="true"/>
        </w:trPr>
        <w:tc>
          <w:tcPr>
            <w:tcW w:type="dxa" w:w="52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9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course_id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 ID</w:t>
            </w:r>
          </w:p>
        </w:tc>
        <w:tc>
          <w:tcPr>
            <w:tcW w:type="dxa" w:w="16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3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2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引用 course.id</w:t>
            </w:r>
          </w:p>
        </w:tc>
      </w:tr>
      <w:tr>
        <w:trPr>
          <w:cantSplit w:val="true"/>
        </w:trPr>
        <w:tc>
          <w:tcPr>
            <w:tcW w:type="dxa" w:w="52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9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16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3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2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enrolled/waiting/dropped</w:t>
            </w:r>
          </w:p>
        </w:tc>
      </w:tr>
      <w:tr>
        <w:trPr>
          <w:cantSplit w:val="true"/>
        </w:trPr>
        <w:tc>
          <w:tcPr>
            <w:tcW w:type="dxa" w:w="52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79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waitlist_joined_at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候补加入时间</w:t>
            </w:r>
          </w:p>
        </w:tc>
        <w:tc>
          <w:tcPr>
            <w:tcW w:type="dxa" w:w="16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3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42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 FIFO 排序键</w:t>
            </w:r>
          </w:p>
        </w:tc>
      </w:tr>
      <w:tr>
        <w:trPr>
          <w:cantSplit w:val="true"/>
        </w:trPr>
        <w:tc>
          <w:tcPr>
            <w:tcW w:type="dxa" w:w="52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79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6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3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2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首次选课时间</w:t>
            </w:r>
          </w:p>
        </w:tc>
      </w:tr>
      <w:tr>
        <w:trPr>
          <w:cantSplit w:val="true"/>
        </w:trPr>
        <w:tc>
          <w:tcPr>
            <w:tcW w:type="dxa" w:w="52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79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  <w:tc>
          <w:tcPr>
            <w:tcW w:type="dxa" w:w="16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3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2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状态变更时间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约束：UNIQUE(student_id, course_id) 保证“一生一课一条记录”，退课后复用原行；status 仅允许三值；候补查询使用部分索引 idx_enrollment_waitlist(course_id, waitlist_joined_at) WHERE status='waiting'。</w:t>
      </w: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3.3.6 公告表（announcement）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17  announcement 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blHeader w:val="true"/>
        </w:trPr>
        <w:tc>
          <w:tcPr>
            <w:tcW w:type="dxa" w:w="53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159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3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中文名</w:t>
            </w:r>
          </w:p>
        </w:tc>
        <w:tc>
          <w:tcPr>
            <w:tcW w:type="dxa" w:w="191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74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允许空</w:t>
            </w:r>
          </w:p>
        </w:tc>
        <w:tc>
          <w:tcPr>
            <w:tcW w:type="dxa" w:w="42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键</w:t>
            </w:r>
          </w:p>
        </w:tc>
        <w:tc>
          <w:tcPr>
            <w:tcW w:type="dxa" w:w="223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3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59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公告 ID</w:t>
            </w:r>
          </w:p>
        </w:tc>
        <w:tc>
          <w:tcPr>
            <w:tcW w:type="dxa" w:w="1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INTEGER（IDENTITY）</w:t>
            </w:r>
          </w:p>
        </w:tc>
        <w:tc>
          <w:tcPr>
            <w:tcW w:type="dxa" w:w="7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PK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自增主键</w:t>
            </w:r>
          </w:p>
        </w:tc>
      </w:tr>
      <w:tr>
        <w:trPr>
          <w:cantSplit w:val="true"/>
        </w:trPr>
        <w:tc>
          <w:tcPr>
            <w:tcW w:type="dxa" w:w="53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59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title</w:t>
            </w:r>
          </w:p>
        </w:tc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标题</w:t>
            </w:r>
          </w:p>
        </w:tc>
        <w:tc>
          <w:tcPr>
            <w:tcW w:type="dxa" w:w="1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≤100 字</w:t>
            </w:r>
          </w:p>
        </w:tc>
      </w:tr>
      <w:tr>
        <w:trPr>
          <w:cantSplit w:val="true"/>
        </w:trPr>
        <w:tc>
          <w:tcPr>
            <w:tcW w:type="dxa" w:w="53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59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content</w:t>
            </w:r>
          </w:p>
        </w:tc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正文</w:t>
            </w:r>
          </w:p>
        </w:tc>
        <w:tc>
          <w:tcPr>
            <w:tcW w:type="dxa" w:w="1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≤2000 字，保留换行</w:t>
            </w:r>
          </w:p>
        </w:tc>
      </w:tr>
      <w:tr>
        <w:trPr>
          <w:cantSplit w:val="true"/>
        </w:trPr>
        <w:tc>
          <w:tcPr>
            <w:tcW w:type="dxa" w:w="53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59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author_id</w:t>
            </w:r>
          </w:p>
        </w:tc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发布人</w:t>
            </w:r>
          </w:p>
        </w:tc>
        <w:tc>
          <w:tcPr>
            <w:tcW w:type="dxa" w:w="1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7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FK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引用 user.id</w:t>
            </w:r>
          </w:p>
        </w:tc>
      </w:tr>
      <w:tr>
        <w:trPr>
          <w:cantSplit w:val="true"/>
        </w:trPr>
        <w:tc>
          <w:tcPr>
            <w:tcW w:type="dxa" w:w="53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59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pinned</w:t>
            </w:r>
          </w:p>
        </w:tc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是否置顶</w:t>
            </w:r>
          </w:p>
        </w:tc>
        <w:tc>
          <w:tcPr>
            <w:tcW w:type="dxa" w:w="1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INTEGER（SMALLINT）</w:t>
            </w:r>
          </w:p>
        </w:tc>
        <w:tc>
          <w:tcPr>
            <w:tcW w:type="dxa" w:w="7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0/1</w:t>
            </w:r>
          </w:p>
        </w:tc>
      </w:tr>
      <w:tr>
        <w:trPr>
          <w:cantSplit w:val="true"/>
        </w:trPr>
        <w:tc>
          <w:tcPr>
            <w:tcW w:type="dxa" w:w="53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59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发布时间</w:t>
            </w:r>
          </w:p>
        </w:tc>
        <w:tc>
          <w:tcPr>
            <w:tcW w:type="dxa" w:w="191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2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排序键</w:t>
            </w:r>
          </w:p>
        </w:tc>
      </w:tr>
    </w:tbl>
    <w:p>
      <w:pPr>
        <w:spacing w:after="0"/>
      </w:pP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3.3.7 元信息表（meta）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18  meta 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blHeader w:val="true"/>
        </w:trPr>
        <w:tc>
          <w:tcPr>
            <w:tcW w:type="dxa" w:w="49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4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中文名</w:t>
            </w:r>
          </w:p>
        </w:tc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78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允许空</w:t>
            </w:r>
          </w:p>
        </w:tc>
        <w:tc>
          <w:tcPr>
            <w:tcW w:type="dxa" w:w="49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键</w:t>
            </w:r>
          </w:p>
        </w:tc>
        <w:tc>
          <w:tcPr>
            <w:tcW w:type="dxa" w:w="167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49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key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键</w:t>
            </w:r>
          </w:p>
        </w:tc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8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9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PK</w:t>
            </w:r>
          </w:p>
        </w:tc>
        <w:tc>
          <w:tcPr>
            <w:tcW w:type="dxa" w:w="167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如 seed_version</w:t>
            </w:r>
          </w:p>
        </w:tc>
      </w:tr>
      <w:tr>
        <w:trPr>
          <w:cantSplit w:val="true"/>
        </w:trPr>
        <w:tc>
          <w:tcPr>
            <w:tcW w:type="dxa" w:w="49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value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值</w:t>
            </w:r>
          </w:p>
        </w:tc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78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49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7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建库时间、种子版本等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4 典型功能子系统设计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本章选取业务最复杂、并发风险最高的两个子系统展开：选课与候补子系统（S2 的核心）与教师端子系统（S3）。类图给出静态结构，活动图给出判定与补位流程，时序图给出跨层调用顺序。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4.1 选课与候补子系统</w:t>
      </w: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4.1.1 类设计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56000" cy="266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66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黑体" w:hAnsi="黑体" w:eastAsia="黑体"/>
          <w:b/>
          <w:sz w:val="21"/>
        </w:rPr>
        <w:t>图 3  选课子系统类图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核心类为 EnrollmentService：对外暴露 enroll/drop/cancelWaitlist/listMyEnrollments/promoteNext，内部依赖 ConflictService 做时间判定、ClassTimeService 批量读取排课、WindowService 计算窗口状态、Database 执行事务。CourseService 负责列表与详情的容量装饰，AdminService 负责课程维护。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所有服务方法返回统一结果对象 { ok, code, message, data }：ok=false 表示业务拒绝而非程序异常，路由层只判断 ok 并把 message 写入 flash。该类图停留在结构级，方法签名明细见 4.1.1 下表。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19  选课子系统类职责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95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</w:t>
            </w:r>
          </w:p>
        </w:tc>
        <w:tc>
          <w:tcPr>
            <w:tcW w:type="dxa" w:w="333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  <w:tc>
          <w:tcPr>
            <w:tcW w:type="dxa" w:w="356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关键方法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EnrollmentService</w:t>
            </w:r>
          </w:p>
        </w:tc>
        <w:tc>
          <w:tcPr>
            <w:tcW w:type="dxa" w:w="33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选课、退课、候补、补位</w:t>
            </w:r>
          </w:p>
        </w:tc>
        <w:tc>
          <w:tcPr>
            <w:tcW w:type="dxa" w:w="35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enroll、drop、cancelWaitlist、promoteNext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ConflictService</w:t>
            </w:r>
          </w:p>
        </w:tc>
        <w:tc>
          <w:tcPr>
            <w:tcW w:type="dxa" w:w="33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时间冲突三条件判定</w:t>
            </w:r>
          </w:p>
        </w:tc>
        <w:tc>
          <w:tcPr>
            <w:tcW w:type="dxa" w:w="35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timesConflict、weeksOverlap、findStudentConflicts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ClassTimeService</w:t>
            </w:r>
          </w:p>
        </w:tc>
        <w:tc>
          <w:tcPr>
            <w:tcW w:type="dxa" w:w="33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排课批量读取（避免 N+1）</w:t>
            </w:r>
          </w:p>
        </w:tc>
        <w:tc>
          <w:tcPr>
            <w:tcW w:type="dxa" w:w="35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loadByCourseIds、loadStudentEnrolledTimes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WindowService</w:t>
            </w:r>
          </w:p>
        </w:tc>
        <w:tc>
          <w:tcPr>
            <w:tcW w:type="dxa" w:w="33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窗口四态与时间解析</w:t>
            </w:r>
          </w:p>
        </w:tc>
        <w:tc>
          <w:tcPr>
            <w:tcW w:type="dxa" w:w="35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getWindowState、parseTime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Database</w:t>
            </w:r>
          </w:p>
        </w:tc>
        <w:tc>
          <w:tcPr>
            <w:tcW w:type="dxa" w:w="333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事务与参数化 SQL</w:t>
            </w:r>
          </w:p>
        </w:tc>
        <w:tc>
          <w:tcPr>
            <w:tcW w:type="dxa" w:w="35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transaction、run、get、all</w:t>
            </w:r>
          </w:p>
        </w:tc>
      </w:tr>
    </w:tbl>
    <w:p>
      <w:pPr>
        <w:spacing w:after="0"/>
      </w:pP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4.1.2 活动图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420000" cy="5954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promote-wait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95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黑体" w:hAnsi="黑体" w:eastAsia="黑体"/>
          <w:b/>
          <w:sz w:val="21"/>
        </w:rPr>
        <w:t>图 4  候补补位活动图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退课成功后立即尝试补位：若已选人数小于容量，按 waitlist_joined_at、id 升序取候补队列，逐人判定时间冲突；无冲突则置为 enrolled 并结束，有冲突则跳过并顺延下一位，该生保留队列位置；全员冲突时名额留空，待下次退课再试。补位不判断选课窗口。</w:t>
      </w: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4.1.3 时序图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64284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select-cour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42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黑体" w:hAnsi="黑体" w:eastAsia="黑体"/>
          <w:b/>
          <w:sz w:val="21"/>
        </w:rPr>
        <w:t>图 5  选课时序图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浏览器 POST /enrollments 后，路由层完成登录与角色校验，调用 EnrollmentService.enroll；服务层在单个事务内依次校验窗口、课程状态、重复、冲突、余量，任一失败立即返回带 code 的结果，不写库；成功则写入 enrolled 或 waiting 并提交。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63201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drop-cour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320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黑体" w:hAnsi="黑体" w:eastAsia="黑体"/>
          <w:b/>
          <w:sz w:val="21"/>
        </w:rPr>
        <w:t>图 6  退课与补位时序图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退课不判断窗口，释放名额后在同一事务内调用 promoteNext；补位逐个候选判定冲突，遇到冲突跳过，成功补一人即停止。整体事务保证“退课 + 补位”原子性。</w:t>
      </w: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4.1.4 状态设计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8869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course-sel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8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黑体" w:hAnsi="黑体" w:eastAsia="黑体"/>
          <w:b/>
          <w:sz w:val="21"/>
        </w:rPr>
        <w:t>图 7  选课记录状态图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20  选课记录状态迁移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41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迁移</w:t>
            </w:r>
          </w:p>
        </w:tc>
        <w:tc>
          <w:tcPr>
            <w:tcW w:type="dxa" w:w="172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触发者</w:t>
            </w:r>
          </w:p>
        </w:tc>
        <w:tc>
          <w:tcPr>
            <w:tcW w:type="dxa" w:w="470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41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[*] → 已选</w:t>
            </w:r>
          </w:p>
        </w:tc>
        <w:tc>
          <w:tcPr>
            <w:tcW w:type="dxa" w:w="17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</w:t>
            </w:r>
          </w:p>
        </w:tc>
        <w:tc>
          <w:tcPr>
            <w:tcW w:type="dxa" w:w="470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有余量且无冲突</w:t>
            </w:r>
          </w:p>
        </w:tc>
      </w:tr>
      <w:tr>
        <w:trPr>
          <w:cantSplit w:val="true"/>
        </w:trPr>
        <w:tc>
          <w:tcPr>
            <w:tcW w:type="dxa" w:w="241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[*] → 候补</w:t>
            </w:r>
          </w:p>
        </w:tc>
        <w:tc>
          <w:tcPr>
            <w:tcW w:type="dxa" w:w="17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</w:t>
            </w:r>
          </w:p>
        </w:tc>
        <w:tc>
          <w:tcPr>
            <w:tcW w:type="dxa" w:w="470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满员但候补未满</w:t>
            </w:r>
          </w:p>
        </w:tc>
      </w:tr>
      <w:tr>
        <w:trPr>
          <w:cantSplit w:val="true"/>
        </w:trPr>
        <w:tc>
          <w:tcPr>
            <w:tcW w:type="dxa" w:w="241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已选 → 已退</w:t>
            </w:r>
          </w:p>
        </w:tc>
        <w:tc>
          <w:tcPr>
            <w:tcW w:type="dxa" w:w="17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学生/管理员</w:t>
            </w:r>
          </w:p>
        </w:tc>
        <w:tc>
          <w:tcPr>
            <w:tcW w:type="dxa" w:w="470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退课；或课程被删除</w:t>
            </w:r>
          </w:p>
        </w:tc>
      </w:tr>
      <w:tr>
        <w:trPr>
          <w:cantSplit w:val="true"/>
        </w:trPr>
        <w:tc>
          <w:tcPr>
            <w:tcW w:type="dxa" w:w="241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候补 → 已选</w:t>
            </w:r>
          </w:p>
        </w:tc>
        <w:tc>
          <w:tcPr>
            <w:tcW w:type="dxa" w:w="17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系统</w:t>
            </w:r>
          </w:p>
        </w:tc>
        <w:tc>
          <w:tcPr>
            <w:tcW w:type="dxa" w:w="470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补位轮到且无冲突</w:t>
            </w:r>
          </w:p>
        </w:tc>
      </w:tr>
      <w:tr>
        <w:trPr>
          <w:cantSplit w:val="true"/>
        </w:trPr>
        <w:tc>
          <w:tcPr>
            <w:tcW w:type="dxa" w:w="241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候补 → 已退</w:t>
            </w:r>
          </w:p>
        </w:tc>
        <w:tc>
          <w:tcPr>
            <w:tcW w:type="dxa" w:w="17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</w:t>
            </w:r>
          </w:p>
        </w:tc>
        <w:tc>
          <w:tcPr>
            <w:tcW w:type="dxa" w:w="470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主动退出候补</w:t>
            </w:r>
          </w:p>
        </w:tc>
      </w:tr>
      <w:tr>
        <w:trPr>
          <w:cantSplit w:val="true"/>
        </w:trPr>
        <w:tc>
          <w:tcPr>
            <w:tcW w:type="dxa" w:w="24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已退 → 已选/候补</w:t>
            </w:r>
          </w:p>
        </w:tc>
        <w:tc>
          <w:tcPr>
            <w:tcW w:type="dxa" w:w="17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</w:t>
            </w:r>
          </w:p>
        </w:tc>
        <w:tc>
          <w:tcPr>
            <w:tcW w:type="dxa" w:w="470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重新选课，排到队尾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4.2 教师端子系统</w:t>
      </w: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4.2.1 类设计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教师端复用选课子系统的支撑类，不重复实现判定逻辑：TeacherService 负责“我的课程、名单、概览”，把 teacher_id 直接写进查询条件；ConflictService.findTeacherConflicts 负责两两比较所授课程；ClassTimeService.loadTeacherTimes 批量提供排课。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21  教师端类与接口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49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类/中间件</w:t>
            </w:r>
          </w:p>
        </w:tc>
        <w:tc>
          <w:tcPr>
            <w:tcW w:type="dxa" w:w="317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  <w:tc>
          <w:tcPr>
            <w:tcW w:type="dxa" w:w="317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关键方法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TeacherService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教师视角数据聚合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overview、listMyCourses、getCourseStudents、findMyConflicts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ConflictService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所授课程两两冲突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findTeacherConflicts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ClassTimeService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教师排课批量读取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loadTeacherTimes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requireRole("teacher")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路由级角色拦截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403 或跳转登录</w:t>
            </w:r>
          </w:p>
        </w:tc>
      </w:tr>
    </w:tbl>
    <w:p>
      <w:pPr>
        <w:spacing w:after="0"/>
      </w:pP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4.2.2 活动图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399240" cy="647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conflict-che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9240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黑体" w:hAnsi="黑体" w:eastAsia="黑体"/>
          <w:b/>
          <w:sz w:val="21"/>
        </w:rPr>
        <w:t>图 8  授课时间冲突检查活动图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教师端“授课冲突”页复用与选课相同的三条件判定：星期相同、节次闭区间真正重叠、周次集合有交集。两两比较该教师所有 open 课程，输出冲突课程对与具体撞车时段；演示数据中 CS101 与 CS113 同为周一 1-2 节，用于展示该功能。</w:t>
      </w:r>
    </w:p>
    <w:p>
      <w:pPr>
        <w:keepNext/>
        <w:spacing w:before="200" w:after="80" w:line="312" w:lineRule="auto"/>
      </w:pPr>
      <w:r>
        <w:rPr>
          <w:rFonts w:ascii="黑体" w:hAnsi="黑体" w:eastAsia="黑体"/>
          <w:b/>
          <w:sz w:val="25"/>
        </w:rPr>
        <w:t>4.2.3 交互时序说明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教师端页面均为只读查询，链路比选课短，故以步骤表代替独立时序图：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22  教师端请求步骤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80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步骤</w:t>
            </w:r>
          </w:p>
        </w:tc>
        <w:tc>
          <w:tcPr>
            <w:tcW w:type="dxa" w:w="172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所在层</w:t>
            </w:r>
          </w:p>
        </w:tc>
        <w:tc>
          <w:tcPr>
            <w:tcW w:type="dxa" w:w="631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80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7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浏览器</w:t>
            </w:r>
          </w:p>
        </w:tc>
        <w:tc>
          <w:tcPr>
            <w:tcW w:type="dxa" w:w="631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/teacher/courses 或 /teacher/conflicts</w:t>
            </w:r>
          </w:p>
        </w:tc>
      </w:tr>
      <w:tr>
        <w:trPr>
          <w:cantSplit w:val="true"/>
        </w:trPr>
        <w:tc>
          <w:tcPr>
            <w:tcW w:type="dxa" w:w="80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7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中间件</w:t>
            </w:r>
          </w:p>
        </w:tc>
        <w:tc>
          <w:tcPr>
            <w:tcW w:type="dxa" w:w="631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加载会话、注入 req.user，requireRole("teacher") 拦截</w:t>
            </w:r>
          </w:p>
        </w:tc>
      </w:tr>
      <w:tr>
        <w:trPr>
          <w:cantSplit w:val="true"/>
        </w:trPr>
        <w:tc>
          <w:tcPr>
            <w:tcW w:type="dxa" w:w="80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路由层</w:t>
            </w:r>
          </w:p>
        </w:tc>
        <w:tc>
          <w:tcPr>
            <w:tcW w:type="dxa" w:w="631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取 teacherId，调用 TeacherService</w:t>
            </w:r>
          </w:p>
        </w:tc>
      </w:tr>
      <w:tr>
        <w:trPr>
          <w:cantSplit w:val="true"/>
        </w:trPr>
        <w:tc>
          <w:tcPr>
            <w:tcW w:type="dxa" w:w="80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服务层</w:t>
            </w:r>
          </w:p>
        </w:tc>
        <w:tc>
          <w:tcPr>
            <w:tcW w:type="dxa" w:w="631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 teacher_id 查询课程/名单/排课，必要时调用 ConflictService</w:t>
            </w:r>
          </w:p>
        </w:tc>
      </w:tr>
      <w:tr>
        <w:trPr>
          <w:cantSplit w:val="true"/>
        </w:trPr>
        <w:tc>
          <w:tcPr>
            <w:tcW w:type="dxa" w:w="80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72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视图层</w:t>
            </w:r>
          </w:p>
        </w:tc>
        <w:tc>
          <w:tcPr>
            <w:tcW w:type="dxa" w:w="631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EJS 渲染列表、空态或 403/404 错误页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5 功能模块设计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本章按页面逐个说明“调用背景、页面组成、调用描述”。页面均采用服务端渲染，写操作一律 POST + 重定向；未登录访问受保护页统一跳转登录页并携带 next。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5.1 登录页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页面路径：/login。调用背景：未登录用户访问任意受保护页面时跳转至此；登录成功后按角色进入首页或回到 next。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23  登录页页面组成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品牌区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系统名称、副标题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表单区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学号/工号、密码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必填；回车提交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辅助区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最近登录提示、演示账号说明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错误区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账号或密码错误提示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登录失败保留已填账号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GET /login 渲染页面；② POST /login 校验参数与口令；③ 成功则 session.regenerate 后写入 req.session.user，按 next 安全跳转；④ 失败返回 401 并重新渲染。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5.2 退出登录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页面路径：/logout。调用背景：所有角色导航栏均提供“退出登录”。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24  退出登录页面组成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入口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顶栏右侧按钮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确认后提交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处理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销毁会话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 或 GET 均可，需登录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请求进入 auth 路由；② req.session.destroy；③ 重定向 /login；④ 未登录时先跳转登录页。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5.3 首页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页面路径：/。调用背景：登录后默认落地页，按角色呈现不同统计卡片。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25  首页页面组成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窗口徽标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选课窗口状态与时间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统计卡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学生：已选/候补/学分；教师：课程/人次/冲突；管理员：课程/学生/公告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可点击跳转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公告区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最新 5 条公告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点击进入详情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连接徽标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云端库状态与延迟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悬停看详情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加载当前学期与窗口状态；② 按角色调用对应服务汇总数字；③ 查询最新 5 条公告；④ 渲染首页。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 课程查询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页面路径：/courses。调用背景：学生、教师、管理员均可访问，是选课的入口。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26  课程查询页面组成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检索栏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关键词、院系、教师、星期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提交，可分享链接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课程表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代码、名称、教师、学分、时间、容量、余量、状态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学生可见选课按钮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空态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没有符合条件的课程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保留检索条件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读取 query 参数并做白名单校验；② CourseService.listCourses 批量查询课程、人数与排课；③ decorate 计算余量/可选状态；④ 渲染表格。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5.5 课程详情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页面路径：/courses/:id。调用背景：从课程表点击课程名称进入。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27  课程详情页面组成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基本信息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代码、名称、教师、院系、学分、地点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排课列表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星期、节次、周次、单双周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容量区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容量、已选、余量、候补人数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进度条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操作区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选课/退课/加入候补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按状态出现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校验 id 为正整数；② 查课程与排课；③ 统计已选/候补；④ 学生额外查本人状态；⑤ 不存在返回 404。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5.6 我的选课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页面路径：/enrollments/my。调用背景：学生查看本人选课与候补。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28  我的选课页面组成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已选表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课程、学分、时间、教师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退课二次确认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已选门数与学分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候补表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课程、加入时间、当前位次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可退出候补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仅学生可访问；② listMyEnrollments 查询 enrolled 与 waiting；③ 计算候补位次与合计学分；④ 渲染。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5.7 公告列表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页面路径：/announcements。调用背景：所有角色可查看公告。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29  公告列表页面组成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列表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标题、作者、发布时间、置顶标记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点击查看详情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空态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暂无公告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AnnouncementService.list 按 pinned DESC、created_at DESC、id DESC 排序；② 限制最多 200 条；③ 渲染。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5.8 公告详情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页面路径：/announcements/:id。调用背景：从列表或首页公告区进入。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30  公告详情页面组成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标题区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标题、作者、时间、置顶标记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正文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保留换行，不解析 HTML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错误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公告不存在或已删除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get(id) 校验正整数；② 不存在返回 404；③ EJS 转义输出正文。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5.9 教师端首页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页面路径：/teacher。调用背景：教师登录后进入。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31  教师端首页页面组成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统计卡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所授课程数、选课人次、候补人次、冲突处数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可点击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冲突提示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存在冲突时红色提示条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跳到冲突页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requireRole("teacher")；② TeacherService.overview 聚合；③ 渲染。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5.10 我的课程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页面路径：/teacher/courses。调用背景：教师查看名下课程。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32  我的课程页面组成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课程表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代码、名称、排课、已选/容量、候补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进入名单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按 teacher_id 查询课程；② ClassTimeService 批量读排课；③ 统计人数；④ 渲染。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5.11 选课名单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页面路径：/teacher/courses/:id/students。调用背景：从我的课程进入。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33  选课名单页面组成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已选名单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学号、姓名、年级、院系、选课时间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候补队列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学号、姓名、加入时间、位次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错误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课程不属于本人 403；不存在 404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错误页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getCourseStudents 把 teacher_id 写入 WHERE；② 查无结果返回 null → 403/404；③ 渲染两张表。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5.12 授课冲突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页面路径：/teacher/conflicts。调用背景：教师检查自己所授课程之间的时间冲突。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34  授课冲突页面组成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冲突对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 A 与 B 左右对照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撞车时段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星期、节次、周次交集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空态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无冲突时显示判定口径说明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loadTeacherTimes 取 open 课程排课；② 两两判定；③ 输出冲突对；④ 无冲突显示说明。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5.13 管理后台概览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页面路径：/admin。调用背景：管理员登录后进入。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35  管理后台概览页面组成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统计卡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课程、学生、教师、选课、候补、公告、满员率 7 项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可点击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入口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课程管理、窗口配置、公告管理、选课统计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跳转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requireRole("admin")；② AdminService.overview 聚合；③ 渲染。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5.14 课程管理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页面路径：/admin/courses。调用背景：管理员维护课程。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36  课程管理页面组成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课程表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代码、名称、教师、容量、已选、状态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编辑/删除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新增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按钮进入表单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跳转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保护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有生效选课记录不可删除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提示后拒绝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列出本学期的全部课程（含停开）；② 删除前 countEnrolled&gt;0 则拒绝；③ 成功后 flash + 重定向。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5.15 课程表单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页面路径：/admin/courses/new、/:id/edit。调用背景：新增或编辑课程。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37  课程表单页面组成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基本信息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代码、名称、教师、学期、院系、学分、容量、地点、简介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必填校验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排课行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星期、节次、周次、单双周，可增删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动态行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错误区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字段级错误提示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保留已填内容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GET 渲染空表单或回填；② POST 校验字段与排课；③ 事务内保存课程并整体替换排课；④ 失败 400 重新渲染，成功 302。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5.16 选课窗口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页面路径：/admin/semester。调用背景：管理员配置当前学期选课窗口。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38  选课窗口页面组成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学期信息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名称、开学日期、总周数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窗口时间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开放/截止 datetime-local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状态徽标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未配置/未开始/开放中/已截止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保存后即时刷新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读取当前学期；② 校验时间格式与先后关系；③ 保存；④ 非法返回 400 并提示。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5.17 公告管理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页面路径：/admin/announcements。调用背景：管理员发布与管理公告。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39  公告管理页面组成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发布表单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标题、正文、置顶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标题≤100，正文≤2000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公告表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标题、作者、时间、置顶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置顶/删除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POST 创建或切换置顶/删除；② 校验长度；③ flash + 重定向回本页。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5.18 选课统计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页面路径：/admin/enrollments。调用背景：管理员查看各课程选课情况。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40  选课统计页面组成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5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区域</w:t>
            </w:r>
          </w:p>
        </w:tc>
        <w:tc>
          <w:tcPr>
            <w:tcW w:type="dxa" w:w="47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68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统计表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课程、容量、已选、候补、满员率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按已选降序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进度条</w:t>
            </w:r>
          </w:p>
        </w:tc>
        <w:tc>
          <w:tcPr>
            <w:tcW w:type="dxa" w:w="47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满员率可视化</w:t>
            </w:r>
          </w:p>
        </w:tc>
        <w:tc>
          <w:tcPr>
            <w:tcW w:type="dxa" w:w="268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调用描述：① AdminService.enrollmentStats 聚合；② 计算满员率；③ 渲染。</w:t>
      </w: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6 数据访问与事务设计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本系统不使用数据库存储过程：业务规则集中在服务层，数据访问集中在 Database 类。这样做的好处是规则可被 Node 单元测试直接覆盖、可在 SQLite 与 PostgreSQL 之间切换；代价是复杂查询需要在应用层组合。本章给出等价于“存储过程设计”的事务、SQL 与连接设计。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6.1 事务清单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41  事务清单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29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业务操作</w:t>
            </w:r>
          </w:p>
        </w:tc>
        <w:tc>
          <w:tcPr>
            <w:tcW w:type="dxa" w:w="248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服务方法</w:t>
            </w:r>
          </w:p>
        </w:tc>
        <w:tc>
          <w:tcPr>
            <w:tcW w:type="dxa" w:w="323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事务内容</w:t>
            </w:r>
          </w:p>
        </w:tc>
        <w:tc>
          <w:tcPr>
            <w:tcW w:type="dxa" w:w="183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失败处理</w:t>
            </w:r>
          </w:p>
        </w:tc>
      </w:tr>
      <w:tr>
        <w:trPr>
          <w:cantSplit w:val="true"/>
        </w:trPr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</w:t>
            </w:r>
          </w:p>
        </w:tc>
        <w:tc>
          <w:tcPr>
            <w:tcW w:type="dxa" w:w="248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EnrollmentService.enroll</w:t>
            </w:r>
          </w:p>
        </w:tc>
        <w:tc>
          <w:tcPr>
            <w:tcW w:type="dxa" w:w="323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窗口→状态→重复→冲突→余量五步校验，写 enrolled/waiting</w:t>
            </w:r>
          </w:p>
        </w:tc>
        <w:tc>
          <w:tcPr>
            <w:tcW w:type="dxa" w:w="18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整体回滚，返回 code</w:t>
            </w:r>
          </w:p>
        </w:tc>
      </w:tr>
      <w:tr>
        <w:trPr>
          <w:cantSplit w:val="true"/>
        </w:trPr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退课</w:t>
            </w:r>
          </w:p>
        </w:tc>
        <w:tc>
          <w:tcPr>
            <w:tcW w:type="dxa" w:w="248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EnrollmentService.drop</w:t>
            </w:r>
          </w:p>
        </w:tc>
        <w:tc>
          <w:tcPr>
            <w:tcW w:type="dxa" w:w="323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改 dropped + 立即补位</w:t>
            </w:r>
          </w:p>
        </w:tc>
        <w:tc>
          <w:tcPr>
            <w:tcW w:type="dxa" w:w="18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整体回滚</w:t>
            </w:r>
          </w:p>
        </w:tc>
      </w:tr>
      <w:tr>
        <w:trPr>
          <w:cantSplit w:val="true"/>
        </w:trPr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课程保存</w:t>
            </w:r>
          </w:p>
        </w:tc>
        <w:tc>
          <w:tcPr>
            <w:tcW w:type="dxa" w:w="248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AdminService.saveCourse</w:t>
            </w:r>
          </w:p>
        </w:tc>
        <w:tc>
          <w:tcPr>
            <w:tcW w:type="dxa" w:w="323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写课程 + 删除旧排课 + 插入新排课</w:t>
            </w:r>
          </w:p>
        </w:tc>
        <w:tc>
          <w:tcPr>
            <w:tcW w:type="dxa" w:w="18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整体回滚，表单回填</w:t>
            </w:r>
          </w:p>
        </w:tc>
      </w:tr>
      <w:tr>
        <w:trPr>
          <w:cantSplit w:val="true"/>
        </w:trPr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课程删除</w:t>
            </w:r>
          </w:p>
        </w:tc>
        <w:tc>
          <w:tcPr>
            <w:tcW w:type="dxa" w:w="248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AdminService.deleteCourse</w:t>
            </w:r>
          </w:p>
        </w:tc>
        <w:tc>
          <w:tcPr>
            <w:tcW w:type="dxa" w:w="323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检查生效选课→删除课程与排课</w:t>
            </w:r>
          </w:p>
        </w:tc>
        <w:tc>
          <w:tcPr>
            <w:tcW w:type="dxa" w:w="18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有选课记录时拒绝</w:t>
            </w:r>
          </w:p>
        </w:tc>
      </w:tr>
      <w:tr>
        <w:trPr>
          <w:cantSplit w:val="true"/>
        </w:trPr>
        <w:tc>
          <w:tcPr>
            <w:tcW w:type="dxa" w:w="12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窗口保存</w:t>
            </w:r>
          </w:p>
        </w:tc>
        <w:tc>
          <w:tcPr>
            <w:tcW w:type="dxa" w:w="248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AdminService.saveWindow</w:t>
            </w:r>
          </w:p>
        </w:tc>
        <w:tc>
          <w:tcPr>
            <w:tcW w:type="dxa" w:w="323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更新 semester 的开放/截止时间</w:t>
            </w:r>
          </w:p>
        </w:tc>
        <w:tc>
          <w:tcPr>
            <w:tcW w:type="dxa" w:w="18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校验失败不写库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SQLite 使用 BEGIN IMMEDIATE 在事务开始即取写锁；PostgreSQL 使用 BEGIN + SELECT ... FOR UPDATE 锁定课程行，两者都保证“读余量 + 写记录”在同一临界区内完成。实测 10 人抢 3 个名额，SQLite 与 PG 均稳定为 3 选中、3 候补、4 拒绝。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6.2 关键 SQL 与参数化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42  关键数据库操作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51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场景</w:t>
            </w:r>
          </w:p>
        </w:tc>
        <w:tc>
          <w:tcPr>
            <w:tcW w:type="dxa" w:w="418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SQL 要点</w:t>
            </w:r>
          </w:p>
        </w:tc>
        <w:tc>
          <w:tcPr>
            <w:tcW w:type="dxa" w:w="314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1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课程列表计数</w:t>
            </w:r>
          </w:p>
        </w:tc>
        <w:tc>
          <w:tcPr>
            <w:tcW w:type="dxa" w:w="418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相关子查询统计 enrolled/waiting</w:t>
            </w:r>
          </w:p>
        </w:tc>
        <w:tc>
          <w:tcPr>
            <w:tcW w:type="dxa" w:w="31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一次查询返回人数，避免 N+1</w:t>
            </w:r>
          </w:p>
        </w:tc>
      </w:tr>
      <w:tr>
        <w:trPr>
          <w:cantSplit w:val="true"/>
        </w:trPr>
        <w:tc>
          <w:tcPr>
            <w:tcW w:type="dxa" w:w="151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排课批量读取</w:t>
            </w:r>
          </w:p>
        </w:tc>
        <w:tc>
          <w:tcPr>
            <w:tcW w:type="dxa" w:w="418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WHERE course_id IN (…)</w:t>
            </w:r>
          </w:p>
        </w:tc>
        <w:tc>
          <w:tcPr>
            <w:tcW w:type="dxa" w:w="31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 course_id 分组成 Map</w:t>
            </w:r>
          </w:p>
        </w:tc>
      </w:tr>
      <w:tr>
        <w:trPr>
          <w:cantSplit w:val="true"/>
        </w:trPr>
        <w:tc>
          <w:tcPr>
            <w:tcW w:type="dxa" w:w="151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候补队列</w:t>
            </w:r>
          </w:p>
        </w:tc>
        <w:tc>
          <w:tcPr>
            <w:tcW w:type="dxa" w:w="418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WHERE status='waiting' ORDER BY waitlist_joined_at, id</w:t>
            </w:r>
          </w:p>
        </w:tc>
        <w:tc>
          <w:tcPr>
            <w:tcW w:type="dxa" w:w="31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FIFO；部分索引加速</w:t>
            </w:r>
          </w:p>
        </w:tc>
      </w:tr>
      <w:tr>
        <w:trPr>
          <w:cantSplit w:val="true"/>
        </w:trPr>
        <w:tc>
          <w:tcPr>
            <w:tcW w:type="dxa" w:w="151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选课写入</w:t>
            </w:r>
          </w:p>
        </w:tc>
        <w:tc>
          <w:tcPr>
            <w:tcW w:type="dxa" w:w="418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INSERT … ON CONFLICT(student_id, course_id) DO UPDATE</w:t>
            </w:r>
          </w:p>
        </w:tc>
        <w:tc>
          <w:tcPr>
            <w:tcW w:type="dxa" w:w="31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复用原行，避免唯一约束冲突</w:t>
            </w:r>
          </w:p>
        </w:tc>
      </w:tr>
      <w:tr>
        <w:trPr>
          <w:cantSplit w:val="true"/>
        </w:trPr>
        <w:tc>
          <w:tcPr>
            <w:tcW w:type="dxa" w:w="151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行锁（PG）</w:t>
            </w:r>
          </w:p>
        </w:tc>
        <w:tc>
          <w:tcPr>
            <w:tcW w:type="dxa" w:w="418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SELECT … FROM course WHERE id=$1 FOR UPDATE</w:t>
            </w:r>
          </w:p>
        </w:tc>
        <w:tc>
          <w:tcPr>
            <w:tcW w:type="dxa" w:w="31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锁定课程行后再计数</w:t>
            </w:r>
          </w:p>
        </w:tc>
      </w:tr>
      <w:tr>
        <w:trPr>
          <w:cantSplit w:val="true"/>
        </w:trPr>
        <w:tc>
          <w:tcPr>
            <w:tcW w:type="dxa" w:w="151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窗口状态</w:t>
            </w:r>
          </w:p>
        </w:tc>
        <w:tc>
          <w:tcPr>
            <w:tcW w:type="dxa" w:w="418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读取 semester.select_open_at/close_at</w:t>
            </w:r>
          </w:p>
        </w:tc>
        <w:tc>
          <w:tcPr>
            <w:tcW w:type="dxa" w:w="31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应用层解析为时间戳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全部 SQL 使用参数绑定，不拼接字符串；驱动差异由数据访问层归一化参数（node-sqlite3-wasm 只接受数组/对象参数，可变参数会静默绑定错误）。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6.3 连接与驱动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43  驱动与连接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36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374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SQLite</w:t>
            </w:r>
          </w:p>
        </w:tc>
        <w:tc>
          <w:tcPr>
            <w:tcW w:type="dxa" w:w="374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PostgreSQL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驱动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node-sqlite3-wasm（纯 WASM）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pg（纯 JS）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连接方式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单文件 data/course-selection.sqlite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Neon 连接串（.env 或平台变量）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事务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BEGIN IMMEDIATE / COMMIT / ROLLBACK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BEGIN + SELECT FOR UPDATE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连接池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单连接，进程内串行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PG_POOL_MAX=10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初始化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schema.sql + seed.js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schema.pg.sql + seed.js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自愈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启动清理残留锁目录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连接失败重试与库状态徽标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7 接口设计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7.1 用户接口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系统为 B/S 服务端渲染，用户界面即浏览器页面；不提供独立前端应用与 REST API。界面约定如下：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44  用户接口约定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62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21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约定</w:t>
            </w:r>
          </w:p>
        </w:tc>
      </w:tr>
      <w:tr>
        <w:trPr>
          <w:cantSplit w:val="true"/>
        </w:trPr>
        <w:tc>
          <w:tcPr>
            <w:tcW w:type="dxa" w:w="162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页面请求</w:t>
            </w:r>
          </w:p>
        </w:tc>
        <w:tc>
          <w:tcPr>
            <w:tcW w:type="dxa" w:w="72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返回 HTML，可带检索参数</w:t>
            </w:r>
          </w:p>
        </w:tc>
      </w:tr>
      <w:tr>
        <w:trPr>
          <w:cantSplit w:val="true"/>
        </w:trPr>
        <w:tc>
          <w:tcPr>
            <w:tcW w:type="dxa" w:w="162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写操作</w:t>
            </w:r>
          </w:p>
        </w:tc>
        <w:tc>
          <w:tcPr>
            <w:tcW w:type="dxa" w:w="72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 + 302 重定向（PRG）</w:t>
            </w:r>
          </w:p>
        </w:tc>
      </w:tr>
      <w:tr>
        <w:trPr>
          <w:cantSplit w:val="true"/>
        </w:trPr>
        <w:tc>
          <w:tcPr>
            <w:tcW w:type="dxa" w:w="162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提示</w:t>
            </w:r>
          </w:p>
        </w:tc>
        <w:tc>
          <w:tcPr>
            <w:tcW w:type="dxa" w:w="72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session flash，绿/红条统一渲染</w:t>
            </w:r>
          </w:p>
        </w:tc>
      </w:tr>
      <w:tr>
        <w:trPr>
          <w:cantSplit w:val="true"/>
        </w:trPr>
        <w:tc>
          <w:tcPr>
            <w:tcW w:type="dxa" w:w="162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校验失败</w:t>
            </w:r>
          </w:p>
        </w:tc>
        <w:tc>
          <w:tcPr>
            <w:tcW w:type="dxa" w:w="72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返回 400 并重新渲染原页，保留已填内容</w:t>
            </w:r>
          </w:p>
        </w:tc>
      </w:tr>
      <w:tr>
        <w:trPr>
          <w:cantSplit w:val="true"/>
        </w:trPr>
        <w:tc>
          <w:tcPr>
            <w:tcW w:type="dxa" w:w="162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危险操作</w:t>
            </w:r>
          </w:p>
        </w:tc>
        <w:tc>
          <w:tcPr>
            <w:tcW w:type="dxa" w:w="72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退课、删除课程、删除公告均二次确认</w:t>
            </w:r>
          </w:p>
        </w:tc>
      </w:tr>
      <w:tr>
        <w:trPr>
          <w:cantSplit w:val="true"/>
        </w:trPr>
        <w:tc>
          <w:tcPr>
            <w:tcW w:type="dxa" w:w="162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空态</w:t>
            </w:r>
          </w:p>
        </w:tc>
        <w:tc>
          <w:tcPr>
            <w:tcW w:type="dxa" w:w="72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所有列表都有空态文案</w:t>
            </w:r>
          </w:p>
        </w:tc>
      </w:tr>
      <w:tr>
        <w:trPr>
          <w:cantSplit w:val="true"/>
        </w:trPr>
        <w:tc>
          <w:tcPr>
            <w:tcW w:type="dxa" w:w="162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响应式</w:t>
            </w:r>
          </w:p>
        </w:tc>
        <w:tc>
          <w:tcPr>
            <w:tcW w:type="dxa" w:w="72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780px 以下表单单列、表格横向滚动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7.2 外部接口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45  外部接口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26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接口</w:t>
            </w:r>
          </w:p>
        </w:tc>
        <w:tc>
          <w:tcPr>
            <w:tcW w:type="dxa" w:w="204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方向</w:t>
            </w:r>
          </w:p>
        </w:tc>
        <w:tc>
          <w:tcPr>
            <w:tcW w:type="dxa" w:w="453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/health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监控 → 应用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返回 ok、db、target、latencyMs、uptimeSec、node、commit、history 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PostgreSQL（Neon）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应用 → 数据库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连接串来自 .env 或 Render 环境变量，TLS 连接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GitHub → Render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部署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main 分支推送触发自动部署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浏览器 ← 应用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HTTP/HTML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 WebSocket、无轮询业务接口（仅 /health 5 秒轮询）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/health 的 db 字段取数据库真实探测结果（SELECT 1），而不是静态配置；连接失败时返回 db=error，前端徽标显示“云端离线”。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7.3 内部接口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46  内部调用契约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81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调用方</w:t>
            </w:r>
          </w:p>
        </w:tc>
        <w:tc>
          <w:tcPr>
            <w:tcW w:type="dxa" w:w="238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被调方</w:t>
            </w:r>
          </w:p>
        </w:tc>
        <w:tc>
          <w:tcPr>
            <w:tcW w:type="dxa" w:w="464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路由层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服务层</w:t>
            </w:r>
          </w:p>
        </w:tc>
        <w:tc>
          <w:tcPr>
            <w:tcW w:type="dxa" w:w="464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传入业务参数，接收 { ok, code, message, data }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服务层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数据访问层</w:t>
            </w:r>
          </w:p>
        </w:tc>
        <w:tc>
          <w:tcPr>
            <w:tcW w:type="dxa" w:w="464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传 SQL 与参数数组，接收行/影响行数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服务层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支撑服务</w:t>
            </w:r>
          </w:p>
        </w:tc>
        <w:tc>
          <w:tcPr>
            <w:tcW w:type="dxa" w:w="464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ConflictService/ClassTimeService/WindowService 纯函数或读方法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中间件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路由层</w:t>
            </w:r>
          </w:p>
        </w:tc>
        <w:tc>
          <w:tcPr>
            <w:tcW w:type="dxa" w:w="464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注入 req.user、res.locals.user、res.locals.dbStatus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视图层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路由层</w:t>
            </w:r>
          </w:p>
        </w:tc>
        <w:tc>
          <w:tcPr>
            <w:tcW w:type="dxa" w:w="464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只读 locals 与查询结果，不反向调用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8 角色授权设计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授权在路由模块入口统一挂载 requireLogin + requireRole，避免逐条路由漏加；教师端查询条件内嵌 teacher_id，越权返回 403 而不是 404，便于区分“没权限”与“不存在”。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47  角色授权矩阵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362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功能/页面</w:t>
            </w:r>
          </w:p>
        </w:tc>
        <w:tc>
          <w:tcPr>
            <w:tcW w:type="dxa" w:w="136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学生</w:t>
            </w:r>
          </w:p>
        </w:tc>
        <w:tc>
          <w:tcPr>
            <w:tcW w:type="dxa" w:w="181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教师</w:t>
            </w:r>
          </w:p>
        </w:tc>
        <w:tc>
          <w:tcPr>
            <w:tcW w:type="dxa" w:w="204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管理员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登录、退出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课程查询、课程详情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公告列表、公告详情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选课、退课、候补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我的选课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教师端首页、我的课程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选课名单、授课冲突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●（仅本人课程）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管理后台概览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课程管理、课程表单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选课窗口配置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公告管理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选课统计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/health 连接质量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●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说明：● 表示允许，— 表示路由级拒绝（302 跳登录或 403）。管理员课程删除仍受“有生效选课记录不可删除”的业务保护；教师名单查询即使猜到课程 id，也会因 teacher_id 条件而查不到。</w:t>
      </w: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9 系统错误处理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9.1 出错信息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48  业务错误码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75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244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code</w:t>
            </w:r>
          </w:p>
        </w:tc>
        <w:tc>
          <w:tcPr>
            <w:tcW w:type="dxa" w:w="207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触发条件</w:t>
            </w:r>
          </w:p>
        </w:tc>
        <w:tc>
          <w:tcPr>
            <w:tcW w:type="dxa" w:w="310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用户提示</w:t>
            </w:r>
          </w:p>
        </w:tc>
        <w:tc>
          <w:tcPr>
            <w:tcW w:type="dxa" w:w="47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HTTP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COURSE_NOT_FOUND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课程不存在/id 非法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课程不存在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WINDOW_CLOSED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窗口未开放或已截止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选课已于…截止，当前不可选课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COURSE_CLOSED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课程停开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该课程已停开，不可选课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ALREADY_ENROLLED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已选中该课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你已经选中了「…」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ALREADY_WAITING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已在候补队列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你已经在「…」的候补队列中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CONFLICT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与已选课程时间冲突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与已选课程时间冲突：A、B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WAITLIST_FULL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候补队列已满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名额已满，候补队列也已满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退课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NOT_ENROLLED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未选中该课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你尚未选中「…」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候补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NOT_WAITING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不在候补队列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你不在「…」的候补队列中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公告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TITLE_REQUIRED/TOO_LONG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标题为空/超 100 字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请填写公告标题/不能超过 100 字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公告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CONTENT_REQUIRED/TOO_LONG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正文为空/超 2000 字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请填写公告内容/不能超过 2000 字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后台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CODE_INVALID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课程代码格式错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格式应为「字母+数字」，如 CS101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后台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CODE_DUPLICATED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课程代码重复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课程代码 CS101 已被占用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后台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CREDITS_INVALID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学分越界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学分需在 0~20 之间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后台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CAPACITY_INVALID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容量越界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容量需为 0~500 的整数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后台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HAS_ENROLLMENTS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删除有选课记录的课程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还有 N 条生效中的选课记录，不能删除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窗口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INVALID_DATETIME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时间为空或格式错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请填写完整的开放与截止时间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窗口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INVALID_RANGE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截止早于开放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截止时间必须晚于开放时间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rPr>
          <w:cantSplit w:val="true"/>
        </w:trPr>
        <w:tc>
          <w:tcPr>
            <w:tcW w:type="dxa" w:w="753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认证</w:t>
            </w:r>
          </w:p>
        </w:tc>
        <w:tc>
          <w:tcPr>
            <w:tcW w:type="dxa" w:w="244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INVALID_CREDENTIALS</w:t>
            </w:r>
          </w:p>
        </w:tc>
        <w:tc>
          <w:tcPr>
            <w:tcW w:type="dxa" w:w="20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账号或密码错</w:t>
            </w:r>
          </w:p>
        </w:tc>
        <w:tc>
          <w:tcPr>
            <w:tcW w:type="dxa" w:w="31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学号/工号或密码错误</w:t>
            </w:r>
          </w:p>
        </w:tc>
        <w:tc>
          <w:tcPr>
            <w:tcW w:type="dxa" w:w="47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9.2 故障预防与补救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49  故障预防与补救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70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风险</w:t>
            </w:r>
          </w:p>
        </w:tc>
        <w:tc>
          <w:tcPr>
            <w:tcW w:type="dxa" w:w="362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预防措施</w:t>
            </w:r>
          </w:p>
        </w:tc>
        <w:tc>
          <w:tcPr>
            <w:tcW w:type="dxa" w:w="351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发现与补救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并发超卖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事务 + 实时计数 + 唯一约束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压测 10 抢 3 回归；异常回滚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数据库锁定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事务短、无网络 IO；启动清理残留锁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报错日志 + 重启自愈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数据库断连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15 秒后台探测、5 秒前端刷新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徽标显示离线；恢复后自动转绿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越权访问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路由级 requireRole + 查询内嵌条件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403 日志；名单 403/404 用例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开放重定向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safeInternalPath 校验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冒烟用例覆盖非法 next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重复提交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PRG + 唯一约束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重复选课返回 ALREADY_ENROLLED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会话固定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登录成功 regenerate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安全测试用例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9.3 系统维护设计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50  维护设计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39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4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设计</w:t>
            </w:r>
          </w:p>
        </w:tc>
      </w:tr>
      <w:tr>
        <w:trPr>
          <w:cantSplit w:val="true"/>
        </w:trPr>
        <w:tc>
          <w:tcPr>
            <w:tcW w:type="dxa" w:w="139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日志</w:t>
            </w:r>
          </w:p>
        </w:tc>
        <w:tc>
          <w:tcPr>
            <w:tcW w:type="dxa" w:w="74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4xx 记 [warn] 单行，5xx 记 [error] 带堆栈；启动打印库类型与版本</w:t>
            </w:r>
          </w:p>
        </w:tc>
      </w:tr>
      <w:tr>
        <w:trPr>
          <w:cantSplit w:val="true"/>
        </w:trPr>
        <w:tc>
          <w:tcPr>
            <w:tcW w:type="dxa" w:w="139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备份</w:t>
            </w:r>
          </w:p>
        </w:tc>
        <w:tc>
          <w:tcPr>
            <w:tcW w:type="dxa" w:w="74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Neon 自带时间点恢复；SQLite 文件可直接复制</w:t>
            </w:r>
          </w:p>
        </w:tc>
      </w:tr>
      <w:tr>
        <w:trPr>
          <w:cantSplit w:val="true"/>
        </w:trPr>
        <w:tc>
          <w:tcPr>
            <w:tcW w:type="dxa" w:w="139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升级</w:t>
            </w:r>
          </w:p>
        </w:tc>
        <w:tc>
          <w:tcPr>
            <w:tcW w:type="dxa" w:w="74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改版本号 → 更新 CHANGELOG → 推 main → Render 自动部署</w:t>
            </w:r>
          </w:p>
        </w:tc>
      </w:tr>
      <w:tr>
        <w:trPr>
          <w:cantSplit w:val="true"/>
        </w:trPr>
        <w:tc>
          <w:tcPr>
            <w:tcW w:type="dxa" w:w="139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监控</w:t>
            </w:r>
          </w:p>
        </w:tc>
        <w:tc>
          <w:tcPr>
            <w:tcW w:type="dxa" w:w="74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/health + 页面连接质量徽标；Render 日志面板</w:t>
            </w:r>
          </w:p>
        </w:tc>
      </w:tr>
      <w:tr>
        <w:trPr>
          <w:cantSplit w:val="true"/>
        </w:trPr>
        <w:tc>
          <w:tcPr>
            <w:tcW w:type="dxa" w:w="139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数据修复</w:t>
            </w:r>
          </w:p>
        </w:tc>
        <w:tc>
          <w:tcPr>
            <w:tcW w:type="dxa" w:w="74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seed.js 可重复执行；meta 表记录 seed_version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10 测试计划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测试按“单元—集成—系统”三层组织，按风险分配投入：冲突判定边界最多、并发正确性最关键、权限与文案靠端到端覆盖。详细用例与执行结果见 D5。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51  测试分层计划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95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层次</w:t>
            </w:r>
          </w:p>
        </w:tc>
        <w:tc>
          <w:tcPr>
            <w:tcW w:type="dxa" w:w="287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对象</w:t>
            </w:r>
          </w:p>
        </w:tc>
        <w:tc>
          <w:tcPr>
            <w:tcW w:type="dxa" w:w="85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数量</w:t>
            </w:r>
          </w:p>
        </w:tc>
        <w:tc>
          <w:tcPr>
            <w:tcW w:type="dxa" w:w="245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手段</w:t>
            </w:r>
          </w:p>
        </w:tc>
        <w:tc>
          <w:tcPr>
            <w:tcW w:type="dxa" w:w="170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通过准则</w:t>
            </w:r>
          </w:p>
        </w:tc>
      </w:tr>
      <w:tr>
        <w:trPr>
          <w:cantSplit w:val="true"/>
        </w:trPr>
        <w:tc>
          <w:tcPr>
            <w:tcW w:type="dxa" w:w="95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单元</w:t>
            </w:r>
          </w:p>
        </w:tc>
        <w:tc>
          <w:tcPr>
            <w:tcW w:type="dxa" w:w="287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ConflictService 纯函数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  <w:tc>
          <w:tcPr>
            <w:tcW w:type="dxa" w:w="245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node test/conflict-test.js</w:t>
            </w:r>
          </w:p>
        </w:tc>
        <w:tc>
          <w:tcPr>
            <w:tcW w:type="dxa" w:w="17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全部断言通过</w:t>
            </w:r>
          </w:p>
        </w:tc>
      </w:tr>
      <w:tr>
        <w:trPr>
          <w:cantSplit w:val="true"/>
        </w:trPr>
        <w:tc>
          <w:tcPr>
            <w:tcW w:type="dxa" w:w="95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集成</w:t>
            </w:r>
          </w:p>
        </w:tc>
        <w:tc>
          <w:tcPr>
            <w:tcW w:type="dxa" w:w="287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EnrollmentService + 真实事务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45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node test/stress-test.js（临时库）</w:t>
            </w:r>
          </w:p>
        </w:tc>
        <w:tc>
          <w:tcPr>
            <w:tcW w:type="dxa" w:w="17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并发不超卖、补位正确</w:t>
            </w:r>
          </w:p>
        </w:tc>
      </w:tr>
      <w:tr>
        <w:trPr>
          <w:cantSplit w:val="true"/>
        </w:trPr>
        <w:tc>
          <w:tcPr>
            <w:tcW w:type="dxa" w:w="95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系统</w:t>
            </w:r>
          </w:p>
        </w:tc>
        <w:tc>
          <w:tcPr>
            <w:tcW w:type="dxa" w:w="287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HTTP 全流程与页面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77</w:t>
            </w:r>
          </w:p>
        </w:tc>
        <w:tc>
          <w:tcPr>
            <w:tcW w:type="dxa" w:w="245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npm run smoke（临时库）</w:t>
            </w:r>
          </w:p>
        </w:tc>
        <w:tc>
          <w:tcPr>
            <w:tcW w:type="dxa" w:w="170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状态码、文案、权限全通过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10.1 单元测试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覆盖节次边界（相邻不算、包含、首尾相接）、星期与单双周、周次区间、三条件组合共 26 项；纯函数不依赖数据库，可反复执行。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10.2 集成测试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10 名学生并发抢容量 3 的课程，断言选中 3、候补 3、拒绝 4；退课触发补位、窗口关闭后退课仍成功且补位发生。SQLite 与 PostgreSQL 各跑一轮，PG 连跑 3 轮。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10.3 系统测试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按角色与模块分 8 组 77 项：鉴权、课程查询、选退课、公告、管理后台、教师端、权限隔离、错误处理与登出。使用临时库，避免污染演示数据。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10.4 准入与退出准则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52  测试准入/退出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39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4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准则</w:t>
            </w:r>
          </w:p>
        </w:tc>
      </w:tr>
      <w:tr>
        <w:trPr>
          <w:cantSplit w:val="true"/>
        </w:trPr>
        <w:tc>
          <w:tcPr>
            <w:tcW w:type="dxa" w:w="139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准入</w:t>
            </w:r>
          </w:p>
        </w:tc>
        <w:tc>
          <w:tcPr>
            <w:tcW w:type="dxa" w:w="74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代码可启动、数据库可初始化、演示数据完整</w:t>
            </w:r>
          </w:p>
        </w:tc>
      </w:tr>
      <w:tr>
        <w:trPr>
          <w:cantSplit w:val="true"/>
        </w:trPr>
        <w:tc>
          <w:tcPr>
            <w:tcW w:type="dxa" w:w="139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退出</w:t>
            </w:r>
          </w:p>
        </w:tc>
        <w:tc>
          <w:tcPr>
            <w:tcW w:type="dxa" w:w="74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118 项断言全部通过；无阻塞性缺陷；关键规则（不超卖、补位、窗口）有实测证据</w:t>
            </w:r>
          </w:p>
        </w:tc>
      </w:tr>
      <w:tr>
        <w:trPr>
          <w:cantSplit w:val="true"/>
        </w:trPr>
        <w:tc>
          <w:tcPr>
            <w:tcW w:type="dxa" w:w="139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回归</w:t>
            </w:r>
          </w:p>
        </w:tc>
        <w:tc>
          <w:tcPr>
            <w:tcW w:type="dxa" w:w="74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每次发版前重跑三层测试，记录版本与提交号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531" w:bottom="1361" w:left="1531" w:header="737" w:footer="73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422" w:val="center"/>
        <w:tab w:pos="8844" w:val="right"/>
      </w:tabs>
      <w:pBdr>
        <w:bottom w:val="single" w:sz="4" w:space="1" w:color="808080"/>
      </w:pBdr>
    </w:pPr>
    <w:r/>
    <w:r>
      <w:rPr>
        <w:rFonts w:ascii="宋体" w:hAnsi="宋体" w:eastAsia="宋体"/>
        <w:sz w:val="18"/>
      </w:rPr>
      <w:t>高校选课系统</w:t>
    </w:r>
    <w:r>
      <w:tab/>
    </w:r>
    <w:r>
      <w:rPr>
        <w:rFonts w:ascii="宋体" w:hAnsi="宋体" w:eastAsia="宋体"/>
        <w:sz w:val="18"/>
      </w:rPr>
      <w:t>软件设计说明书</w:t>
    </w:r>
    <w:r>
      <w:tab/>
    </w:r>
    <w:r>
      <w:rPr>
        <w:rFonts w:ascii="宋体" w:hAnsi="宋体" w:eastAsia="宋体"/>
        <w:sz w:val="18"/>
      </w:rPr>
      <w:t>v4.0.0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高校选课系统 软件设计说明书</dc:title>
  <dc:subject>软件设计说明书</dc:subject>
  <dc:creator>FHAZ-141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