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60"/>
        </w:rPr>
        <w:t>高校选课系统</w:t>
      </w:r>
    </w:p>
    <w:p>
      <w:pPr>
        <w:spacing w:before="360"/>
        <w:jc w:val="center"/>
      </w:pPr>
      <w:r>
        <w:rPr>
          <w:rFonts w:ascii="黑体" w:hAnsi="黑体" w:eastAsia="黑体"/>
          <w:b w:val="0"/>
          <w:sz w:val="44"/>
        </w:rPr>
        <w:t>软件测试分析报告</w:t>
      </w: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4422"/>
        <w:gridCol w:w="4422"/>
      </w:tblGrid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项目名称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高校选课系统（Course Selection System）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文档编号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D5-TEST-V4.0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版本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v4.0.0（GitHub Release v4.0）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编写日期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2026-10-22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编写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FHAZ-141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适用角色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学生 / 教师 / 管理员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文档状态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sz w:val="24"/>
              </w:rPr>
              <w:t>已定稿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目    录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1 概述</w:t>
      </w:r>
      <w:r>
        <w:tab/>
      </w:r>
      <w:r>
        <w:rPr>
          <w:rFonts w:ascii="宋体" w:hAnsi="宋体" w:eastAsia="宋体"/>
          <w:b/>
          <w:sz w:val="23"/>
        </w:rPr>
        <w:t>3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1.1 项目简介</w:t>
      </w:r>
      <w:r>
        <w:tab/>
      </w:r>
      <w:r>
        <w:rPr>
          <w:rFonts w:ascii="宋体" w:hAnsi="宋体" w:eastAsia="宋体"/>
          <w:b w:val="0"/>
          <w:sz w:val="22"/>
        </w:rPr>
        <w:t>3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1.2 术语定义</w:t>
      </w:r>
      <w:r>
        <w:tab/>
      </w:r>
      <w:r>
        <w:rPr>
          <w:rFonts w:ascii="宋体" w:hAnsi="宋体" w:eastAsia="宋体"/>
          <w:b w:val="0"/>
          <w:sz w:val="22"/>
        </w:rPr>
        <w:t>3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1.3 参考资料</w:t>
      </w:r>
      <w:r>
        <w:tab/>
      </w:r>
      <w:r>
        <w:rPr>
          <w:rFonts w:ascii="宋体" w:hAnsi="宋体" w:eastAsia="宋体"/>
          <w:b w:val="0"/>
          <w:sz w:val="22"/>
        </w:rPr>
        <w:t>4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1.4 相关文档</w:t>
      </w:r>
      <w:r>
        <w:tab/>
      </w:r>
      <w:r>
        <w:rPr>
          <w:rFonts w:ascii="宋体" w:hAnsi="宋体" w:eastAsia="宋体"/>
          <w:b w:val="0"/>
          <w:sz w:val="22"/>
        </w:rPr>
        <w:t>4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1.5 版本更新信息</w:t>
      </w:r>
      <w:r>
        <w:tab/>
      </w:r>
      <w:r>
        <w:rPr>
          <w:rFonts w:ascii="宋体" w:hAnsi="宋体" w:eastAsia="宋体"/>
          <w:b w:val="0"/>
          <w:sz w:val="22"/>
        </w:rPr>
        <w:t>4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2 目标系统功能需求</w:t>
      </w:r>
      <w:r>
        <w:tab/>
      </w:r>
      <w:r>
        <w:rPr>
          <w:rFonts w:ascii="宋体" w:hAnsi="宋体" w:eastAsia="宋体"/>
          <w:b/>
          <w:sz w:val="23"/>
        </w:rPr>
        <w:t>5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3 目标系统性能需求</w:t>
      </w:r>
      <w:r>
        <w:tab/>
      </w:r>
      <w:r>
        <w:rPr>
          <w:rFonts w:ascii="宋体" w:hAnsi="宋体" w:eastAsia="宋体"/>
          <w:b/>
          <w:sz w:val="23"/>
        </w:rPr>
        <w:t>7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4 目标系统接口需求</w:t>
      </w:r>
      <w:r>
        <w:tab/>
      </w:r>
      <w:r>
        <w:rPr>
          <w:rFonts w:ascii="宋体" w:hAnsi="宋体" w:eastAsia="宋体"/>
          <w:b/>
          <w:sz w:val="23"/>
        </w:rPr>
        <w:t>8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5 功能测试报告</w:t>
      </w:r>
      <w:r>
        <w:tab/>
      </w:r>
      <w:r>
        <w:rPr>
          <w:rFonts w:ascii="宋体" w:hAnsi="宋体" w:eastAsia="宋体"/>
          <w:b/>
          <w:sz w:val="23"/>
        </w:rPr>
        <w:t>9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5.1 测试环境</w:t>
      </w:r>
      <w:r>
        <w:tab/>
      </w:r>
      <w:r>
        <w:rPr>
          <w:rFonts w:ascii="宋体" w:hAnsi="宋体" w:eastAsia="宋体"/>
          <w:b w:val="0"/>
          <w:sz w:val="22"/>
        </w:rPr>
        <w:t>9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5.2 单元测试</w:t>
      </w:r>
      <w:r>
        <w:tab/>
      </w:r>
      <w:r>
        <w:rPr>
          <w:rFonts w:ascii="宋体" w:hAnsi="宋体" w:eastAsia="宋体"/>
          <w:b w:val="0"/>
          <w:sz w:val="22"/>
        </w:rPr>
        <w:t>9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5.3 集成测试</w:t>
      </w:r>
      <w:r>
        <w:tab/>
      </w:r>
      <w:r>
        <w:rPr>
          <w:rFonts w:ascii="宋体" w:hAnsi="宋体" w:eastAsia="宋体"/>
          <w:b w:val="0"/>
          <w:sz w:val="22"/>
        </w:rPr>
        <w:t>10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 系统测试</w:t>
      </w:r>
      <w:r>
        <w:tab/>
      </w:r>
      <w:r>
        <w:rPr>
          <w:rFonts w:ascii="宋体" w:hAnsi="宋体" w:eastAsia="宋体"/>
          <w:b w:val="0"/>
          <w:sz w:val="22"/>
        </w:rPr>
        <w:t>10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5.4.1 登录与鉴权</w:t>
      </w:r>
      <w:r>
        <w:tab/>
      </w:r>
      <w:r>
        <w:rPr>
          <w:rFonts w:ascii="宋体" w:hAnsi="宋体" w:eastAsia="宋体"/>
          <w:b w:val="0"/>
          <w:sz w:val="22"/>
        </w:rPr>
        <w:t>10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5.4.2 课程查询</w:t>
      </w:r>
      <w:r>
        <w:tab/>
      </w:r>
      <w:r>
        <w:rPr>
          <w:rFonts w:ascii="宋体" w:hAnsi="宋体" w:eastAsia="宋体"/>
          <w:b w:val="0"/>
          <w:sz w:val="22"/>
        </w:rPr>
        <w:t>12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5.4.3 选课</w:t>
      </w:r>
      <w:r>
        <w:tab/>
      </w:r>
      <w:r>
        <w:rPr>
          <w:rFonts w:ascii="宋体" w:hAnsi="宋体" w:eastAsia="宋体"/>
          <w:b w:val="0"/>
          <w:sz w:val="22"/>
        </w:rPr>
        <w:t>13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5.4.4 退课</w:t>
      </w:r>
      <w:r>
        <w:tab/>
      </w:r>
      <w:r>
        <w:rPr>
          <w:rFonts w:ascii="宋体" w:hAnsi="宋体" w:eastAsia="宋体"/>
          <w:b w:val="0"/>
          <w:sz w:val="22"/>
        </w:rPr>
        <w:t>14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5.4.5 人数限制</w:t>
      </w:r>
      <w:r>
        <w:tab/>
      </w:r>
      <w:r>
        <w:rPr>
          <w:rFonts w:ascii="宋体" w:hAnsi="宋体" w:eastAsia="宋体"/>
          <w:b w:val="0"/>
          <w:sz w:val="22"/>
        </w:rPr>
        <w:t>16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5.4.6 时间冲突检查</w:t>
      </w:r>
      <w:r>
        <w:tab/>
      </w:r>
      <w:r>
        <w:rPr>
          <w:rFonts w:ascii="宋体" w:hAnsi="宋体" w:eastAsia="宋体"/>
          <w:b w:val="0"/>
          <w:sz w:val="22"/>
        </w:rPr>
        <w:t>17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5.4.7 选课结果查询</w:t>
      </w:r>
      <w:r>
        <w:tab/>
      </w:r>
      <w:r>
        <w:rPr>
          <w:rFonts w:ascii="宋体" w:hAnsi="宋体" w:eastAsia="宋体"/>
          <w:b w:val="0"/>
          <w:sz w:val="22"/>
        </w:rPr>
        <w:t>18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5.4.8 候补队列与自动补位</w:t>
      </w:r>
      <w:r>
        <w:tab/>
      </w:r>
      <w:r>
        <w:rPr>
          <w:rFonts w:ascii="宋体" w:hAnsi="宋体" w:eastAsia="宋体"/>
          <w:b w:val="0"/>
          <w:sz w:val="22"/>
        </w:rPr>
        <w:t>19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5.4.9 公告通知</w:t>
      </w:r>
      <w:r>
        <w:tab/>
      </w:r>
      <w:r>
        <w:rPr>
          <w:rFonts w:ascii="宋体" w:hAnsi="宋体" w:eastAsia="宋体"/>
          <w:b w:val="0"/>
          <w:sz w:val="22"/>
        </w:rPr>
        <w:t>20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5.4.10 选课时间窗口配置</w:t>
      </w:r>
      <w:r>
        <w:tab/>
      </w:r>
      <w:r>
        <w:rPr>
          <w:rFonts w:ascii="宋体" w:hAnsi="宋体" w:eastAsia="宋体"/>
          <w:b w:val="0"/>
          <w:sz w:val="22"/>
        </w:rPr>
        <w:t>22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5.4.11 并发压测脚本</w:t>
      </w:r>
      <w:r>
        <w:tab/>
      </w:r>
      <w:r>
        <w:rPr>
          <w:rFonts w:ascii="宋体" w:hAnsi="宋体" w:eastAsia="宋体"/>
          <w:b w:val="0"/>
          <w:sz w:val="22"/>
        </w:rPr>
        <w:t>23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5.4.12 教师端</w:t>
      </w:r>
      <w:r>
        <w:tab/>
      </w:r>
      <w:r>
        <w:rPr>
          <w:rFonts w:ascii="宋体" w:hAnsi="宋体" w:eastAsia="宋体"/>
          <w:b w:val="0"/>
          <w:sz w:val="22"/>
        </w:rPr>
        <w:t>24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6 性能测试结果</w:t>
      </w:r>
      <w:r>
        <w:tab/>
      </w:r>
      <w:r>
        <w:rPr>
          <w:rFonts w:ascii="宋体" w:hAnsi="宋体" w:eastAsia="宋体"/>
          <w:b/>
          <w:sz w:val="23"/>
        </w:rPr>
        <w:t>26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7 其他测试结果</w:t>
      </w:r>
      <w:r>
        <w:tab/>
      </w:r>
      <w:r>
        <w:rPr>
          <w:rFonts w:ascii="宋体" w:hAnsi="宋体" w:eastAsia="宋体"/>
          <w:b/>
          <w:sz w:val="23"/>
        </w:rPr>
        <w:t>27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7.1 内容测试</w:t>
      </w:r>
      <w:r>
        <w:tab/>
      </w:r>
      <w:r>
        <w:rPr>
          <w:rFonts w:ascii="宋体" w:hAnsi="宋体" w:eastAsia="宋体"/>
          <w:b w:val="0"/>
          <w:sz w:val="22"/>
        </w:rPr>
        <w:t>27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7.2 界面测试</w:t>
      </w:r>
      <w:r>
        <w:tab/>
      </w:r>
      <w:r>
        <w:rPr>
          <w:rFonts w:ascii="宋体" w:hAnsi="宋体" w:eastAsia="宋体"/>
          <w:b w:val="0"/>
          <w:sz w:val="22"/>
        </w:rPr>
        <w:t>27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7.3 安全性需求</w:t>
      </w:r>
      <w:r>
        <w:tab/>
      </w:r>
      <w:r>
        <w:rPr>
          <w:rFonts w:ascii="宋体" w:hAnsi="宋体" w:eastAsia="宋体"/>
          <w:b w:val="0"/>
          <w:sz w:val="22"/>
        </w:rPr>
        <w:t>27</w:t>
      </w:r>
    </w:p>
    <w:p>
      <w:pPr>
        <w:tabs>
          <w:tab w:pos="8844" w:val="right" w:leader="dot"/>
        </w:tabs>
        <w:spacing w:line="276" w:lineRule="auto" w:before="0" w:after="0"/>
        <w:ind w:left="425"/>
      </w:pPr>
      <w:r>
        <w:rPr>
          <w:rFonts w:ascii="宋体" w:hAnsi="宋体" w:eastAsia="宋体"/>
          <w:b w:val="0"/>
          <w:sz w:val="22"/>
        </w:rPr>
        <w:t>7.4 可移植性需求</w:t>
      </w:r>
      <w:r>
        <w:tab/>
      </w:r>
      <w:r>
        <w:rPr>
          <w:rFonts w:ascii="宋体" w:hAnsi="宋体" w:eastAsia="宋体"/>
          <w:b w:val="0"/>
          <w:sz w:val="22"/>
        </w:rPr>
        <w:t>27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8 不符合项列表</w:t>
      </w:r>
      <w:r>
        <w:tab/>
      </w:r>
      <w:r>
        <w:rPr>
          <w:rFonts w:ascii="宋体" w:hAnsi="宋体" w:eastAsia="宋体"/>
          <w:b/>
          <w:sz w:val="23"/>
        </w:rPr>
        <w:t>28</w:t>
      </w:r>
    </w:p>
    <w:p>
      <w:pPr>
        <w:tabs>
          <w:tab w:pos="8844" w:val="right" w:leader="dot"/>
        </w:tabs>
        <w:spacing w:line="276" w:lineRule="auto" w:before="40" w:after="40"/>
      </w:pPr>
      <w:r>
        <w:rPr>
          <w:rFonts w:ascii="宋体" w:hAnsi="宋体" w:eastAsia="宋体"/>
          <w:b/>
          <w:sz w:val="23"/>
        </w:rPr>
        <w:t>9 测试结论</w:t>
      </w:r>
      <w:r>
        <w:tab/>
      </w:r>
      <w:r>
        <w:rPr>
          <w:rFonts w:ascii="宋体" w:hAnsi="宋体" w:eastAsia="宋体"/>
          <w:b/>
          <w:sz w:val="23"/>
        </w:rPr>
        <w:t>30</w:t>
      </w:r>
    </w:p>
    <w:p>
      <w:pPr>
        <w:pageBreakBefore/>
        <w:spacing w:before="0" w:after="0"/>
      </w:pPr>
      <w:r>
        <w:rPr>
          <w:color w:val="FFFFFF"/>
          <w:sz w:val="2"/>
        </w:rPr>
        <w:t>BODYSTART</w:t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1 概述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1.1 项目简介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“高校选课系统”是面向单学期、一轮选课窗口的教学演示系统，覆盖“课程查询 → 选课 → 容量与冲突校验 → 退课 → 结果查询”的完整闭环，并按角色提供教师端与管理后台。系统采用 Node.js + Express + EJS 的服务端渲染架构，数据层支持 PostgreSQL（Neon 云端库，生产与本地共用）与 SQLite（离线回退）双驱动。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被测版本为 v4.0.0（GitHub Release v4.0），共 12 条功能需求：登录鉴权、课程查询、选课、退课、人数限制、时间冲突检查、选课结果查询、候补队列与自动补位、公告通知、选课时间窗口配置、并发压测脚本、教师端。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本报告记录测试策略、用例设计、实际执行结果与缺陷，重点回答三个问题：需求是否真的实现、边界与并发是否可靠、还有哪些没测到。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1.2 术语定义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  术语定义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86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type="dxa" w:w="698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  <w:tc>
          <w:tcPr>
            <w:tcW w:type="dxa" w:w="69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只测纯函数，不碰数据库与网络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  <w:tc>
          <w:tcPr>
            <w:tcW w:type="dxa" w:w="69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走服务层与真实数据库事务，验证并发与业务规则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系统测试</w:t>
            </w:r>
          </w:p>
        </w:tc>
        <w:tc>
          <w:tcPr>
            <w:tcW w:type="dxa" w:w="69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走 HTTP，验证页面、权限与提示文案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断言</w:t>
            </w:r>
          </w:p>
        </w:tc>
        <w:tc>
          <w:tcPr>
            <w:tcW w:type="dxa" w:w="69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一条可判定的检查，脚本输出的一行通过/失败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候选队列</w:t>
            </w:r>
          </w:p>
        </w:tc>
        <w:tc>
          <w:tcPr>
            <w:tcW w:type="dxa" w:w="69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候补队列，按加入时间 FIFO，上限等于课程容量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跳位补位</w:t>
            </w:r>
          </w:p>
        </w:tc>
        <w:tc>
          <w:tcPr>
            <w:tcW w:type="dxa" w:w="69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补位遇冲突时跳过该生、顺延下一位，该生保留位置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PRG</w:t>
            </w:r>
          </w:p>
        </w:tc>
        <w:tc>
          <w:tcPr>
            <w:tcW w:type="dxa" w:w="69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Post-Redirect-Get，写操作后重定向，避免重复提交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1.3 参考资料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  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487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资料</w:t>
            </w:r>
          </w:p>
        </w:tc>
        <w:tc>
          <w:tcPr>
            <w:tcW w:type="dxa" w:w="396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《高校选课系统需求规格说明书》D1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功能需求与验收标准 AC-xx-n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《高校选课系统详细设计说明书》D3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关键算法与错误码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《高校选课系统数据库设计说明书》D4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约束与索引</w:t>
            </w:r>
          </w:p>
        </w:tc>
      </w:tr>
      <w:tr>
        <w:trPr>
          <w:cantSplit w:val="true"/>
        </w:trPr>
        <w:tc>
          <w:tcPr>
            <w:tcW w:type="dxa" w:w="487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Node.js test/conflict-test.js、stress-test.js、smoke.sh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本项目自动化测试脚本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1.4 相关文档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  相关文档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文档</w:t>
            </w:r>
          </w:p>
        </w:tc>
        <w:tc>
          <w:tcPr>
            <w:tcW w:type="dxa" w:w="589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与本文关系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D1 需求规格说明书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验收标准来源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D2 概要设计说明书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模块划分与接口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D3 详细设计说明书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算法、错误码与页面要素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D4 数据库设计说明书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表结构与约束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D5 测试用例与测试报告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本文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1.5 版本更新信息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  版本更新记录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版本号</w:t>
            </w:r>
          </w:p>
        </w:tc>
        <w:tc>
          <w:tcPr>
            <w:tcW w:type="dxa" w:w="113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创建者</w:t>
            </w:r>
          </w:p>
        </w:tc>
        <w:tc>
          <w:tcPr>
            <w:tcW w:type="dxa" w:w="124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创建日期</w:t>
            </w:r>
          </w:p>
        </w:tc>
        <w:tc>
          <w:tcPr>
            <w:tcW w:type="dxa" w:w="113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维护者</w:t>
            </w:r>
          </w:p>
        </w:tc>
        <w:tc>
          <w:tcPr>
            <w:tcW w:type="dxa" w:w="124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维护日期</w:t>
            </w:r>
          </w:p>
        </w:tc>
        <w:tc>
          <w:tcPr>
            <w:tcW w:type="dxa" w:w="3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维护纪要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SQLite 环境测试与缺陷记录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补 PostgreSQL 执行结果、v4.0 发布回归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2 目标系统功能需求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系统按角色划分为 12 个功能模块，整体用例关系见图 1。功能测试按模块组织：每个模块给出测试结果、等价类划分、测试用例与结果记录四张表，并与 D1 的验收标准逐条对应。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92606" cy="64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2606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黑体" w:hAnsi="黑体" w:eastAsia="黑体"/>
          <w:b/>
          <w:sz w:val="21"/>
        </w:rPr>
        <w:t>图 1  系统用例图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  功能模块与需求对照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5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137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需求编号</w:t>
            </w:r>
          </w:p>
        </w:tc>
        <w:tc>
          <w:tcPr>
            <w:tcW w:type="dxa" w:w="49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验收标准要点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登录与角色鉴权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FR-00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三角色登录、未登录跳转、越权 403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课程查询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FR-01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检索与筛选、空态、详情、404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FR-02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五步校验、成功/拒绝提示、PRG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退课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FR-03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释放名额、不受窗口影响、触发补位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人数限制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FR-04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不超卖、满员转候补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时间冲突检查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FR-05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三条件判定、单双周、区间边界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选课结果查询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FR-06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已选与候补位次、合计学分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候补队列与自动补位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FR-07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FIFO、上限=容量、跳位补位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公告通知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FR-08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置顶优先、发布/删除、正文转义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选课时间窗口配置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FR-09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四态、关闭只禁新选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并发压测脚本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FR-10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 抢 3、退课补位、窗口规则</w:t>
            </w:r>
          </w:p>
        </w:tc>
      </w:tr>
      <w:tr>
        <w:trPr>
          <w:cantSplit w:val="true"/>
        </w:trPr>
        <w:tc>
          <w:tcPr>
            <w:tcW w:type="dxa" w:w="25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教师端</w:t>
            </w:r>
          </w:p>
        </w:tc>
        <w:tc>
          <w:tcPr>
            <w:tcW w:type="dxa" w:w="13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FR-11</w:t>
            </w:r>
          </w:p>
        </w:tc>
        <w:tc>
          <w:tcPr>
            <w:tcW w:type="dxa" w:w="49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本人课程、名单、授课冲突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3 目标系统性能需求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演示级系统不追求高吞吐，性能目标集中在“并发正确”与“页面可用”：单机并发 10 人抢 3 个名额不超卖；课程列表与首页在本地 1 秒内返回；线上受跨境 RTT 影响可放宽到 3 秒。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6  性能需求点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 w:val="true"/>
        </w:trPr>
        <w:tc>
          <w:tcPr>
            <w:tcW w:type="dxa" w:w="6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14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性能名称</w:t>
            </w:r>
          </w:p>
        </w:tc>
        <w:tc>
          <w:tcPr>
            <w:tcW w:type="dxa" w:w="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使用部门</w:t>
            </w:r>
          </w:p>
        </w:tc>
        <w:tc>
          <w:tcPr>
            <w:tcW w:type="dxa" w:w="221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性能描述</w:t>
            </w:r>
          </w:p>
        </w:tc>
        <w:tc>
          <w:tcPr>
            <w:tcW w:type="dxa" w:w="136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12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系统响应</w:t>
            </w:r>
          </w:p>
        </w:tc>
        <w:tc>
          <w:tcPr>
            <w:tcW w:type="dxa" w:w="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输出</w:t>
            </w:r>
          </w:p>
        </w:tc>
      </w:tr>
      <w:tr>
        <w:trPr>
          <w:cantSplit w:val="true"/>
        </w:trPr>
        <w:tc>
          <w:tcPr>
            <w:tcW w:type="dxa" w:w="63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P-01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并发选课正确性</w:t>
            </w:r>
          </w:p>
        </w:tc>
        <w:tc>
          <w:tcPr>
            <w:tcW w:type="dxa" w:w="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</w:t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 人并发抢容量 3 的课程，选中数必须等于容量</w:t>
            </w:r>
          </w:p>
        </w:tc>
        <w:tc>
          <w:tcPr>
            <w:tcW w:type="dxa" w:w="136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 个并发 POST /enrollments</w:t>
            </w:r>
          </w:p>
        </w:tc>
        <w:tc>
          <w:tcPr>
            <w:tcW w:type="dxa" w:w="12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事务串行化，3 选中、3 候补、4 拒绝</w:t>
            </w:r>
          </w:p>
        </w:tc>
        <w:tc>
          <w:tcPr>
            <w:tcW w:type="dxa" w:w="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结果分布与提示</w:t>
            </w:r>
          </w:p>
        </w:tc>
      </w:tr>
      <w:tr>
        <w:trPr>
          <w:cantSplit w:val="true"/>
        </w:trPr>
        <w:tc>
          <w:tcPr>
            <w:tcW w:type="dxa" w:w="63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P-02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课程列表响应</w:t>
            </w:r>
          </w:p>
        </w:tc>
        <w:tc>
          <w:tcPr>
            <w:tcW w:type="dxa" w:w="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全部角色</w:t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本地 1 秒内返回 33 门课程</w:t>
            </w:r>
          </w:p>
        </w:tc>
        <w:tc>
          <w:tcPr>
            <w:tcW w:type="dxa" w:w="136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/courses</w:t>
            </w:r>
          </w:p>
        </w:tc>
        <w:tc>
          <w:tcPr>
            <w:tcW w:type="dxa" w:w="12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&lt; 1 s</w:t>
            </w:r>
          </w:p>
        </w:tc>
        <w:tc>
          <w:tcPr>
            <w:tcW w:type="dxa" w:w="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课程表格</w:t>
            </w:r>
          </w:p>
        </w:tc>
      </w:tr>
      <w:tr>
        <w:trPr>
          <w:cantSplit w:val="true"/>
        </w:trPr>
        <w:tc>
          <w:tcPr>
            <w:tcW w:type="dxa" w:w="63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P-03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首页与健康检查</w:t>
            </w:r>
          </w:p>
        </w:tc>
        <w:tc>
          <w:tcPr>
            <w:tcW w:type="dxa" w:w="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全部角色</w:t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本地 500 ms 内返回</w:t>
            </w:r>
          </w:p>
        </w:tc>
        <w:tc>
          <w:tcPr>
            <w:tcW w:type="dxa" w:w="136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 或 /health</w:t>
            </w:r>
          </w:p>
        </w:tc>
        <w:tc>
          <w:tcPr>
            <w:tcW w:type="dxa" w:w="12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&lt; 500 ms</w:t>
            </w:r>
          </w:p>
        </w:tc>
        <w:tc>
          <w:tcPr>
            <w:tcW w:type="dxa" w:w="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页面 / JSON</w:t>
            </w:r>
          </w:p>
        </w:tc>
      </w:tr>
      <w:tr>
        <w:trPr>
          <w:cantSplit w:val="true"/>
        </w:trPr>
        <w:tc>
          <w:tcPr>
            <w:tcW w:type="dxa" w:w="63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P-04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云端数据库延迟</w:t>
            </w:r>
          </w:p>
        </w:tc>
        <w:tc>
          <w:tcPr>
            <w:tcW w:type="dxa" w:w="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全部角色</w:t>
            </w:r>
          </w:p>
        </w:tc>
        <w:tc>
          <w:tcPr>
            <w:tcW w:type="dxa" w:w="221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Neon Singapore 跨境往返 60~210 ms 可接受</w:t>
            </w:r>
          </w:p>
        </w:tc>
        <w:tc>
          <w:tcPr>
            <w:tcW w:type="dxa" w:w="136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SELECT 1 / 页面查询</w:t>
            </w:r>
          </w:p>
        </w:tc>
        <w:tc>
          <w:tcPr>
            <w:tcW w:type="dxa" w:w="12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60~210 ms</w:t>
            </w:r>
          </w:p>
        </w:tc>
        <w:tc>
          <w:tcPr>
            <w:tcW w:type="dxa" w:w="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连接质量徽标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4 目标系统接口需求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系统不提供对外 REST API，接口分为页面表单、健康检查与数据库连接三类；测试重点是状态码、提示文案与权限边界。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7  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55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接口</w:t>
            </w:r>
          </w:p>
        </w:tc>
        <w:tc>
          <w:tcPr>
            <w:tcW w:type="dxa" w:w="117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245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测试关注点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/login、POST /login</w:t>
            </w:r>
          </w:p>
        </w:tc>
        <w:tc>
          <w:tcPr>
            <w:tcW w:type="dxa" w:w="117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页面</w:t>
            </w:r>
          </w:p>
        </w:tc>
        <w:tc>
          <w:tcPr>
            <w:tcW w:type="dxa" w:w="245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登录表单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302/401、next 安全跳转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/courses、/courses/:id</w:t>
            </w:r>
          </w:p>
        </w:tc>
        <w:tc>
          <w:tcPr>
            <w:tcW w:type="dxa" w:w="117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页面</w:t>
            </w:r>
          </w:p>
        </w:tc>
        <w:tc>
          <w:tcPr>
            <w:tcW w:type="dxa" w:w="245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课程列表与详情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检索参数、404、空态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 /enrollments</w:t>
            </w:r>
          </w:p>
        </w:tc>
        <w:tc>
          <w:tcPr>
            <w:tcW w:type="dxa" w:w="117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表单</w:t>
            </w:r>
          </w:p>
        </w:tc>
        <w:tc>
          <w:tcPr>
            <w:tcW w:type="dxa" w:w="245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五步拒绝提示、PRG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 /enrollments/:id/drop</w:t>
            </w:r>
          </w:p>
        </w:tc>
        <w:tc>
          <w:tcPr>
            <w:tcW w:type="dxa" w:w="117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表单</w:t>
            </w:r>
          </w:p>
        </w:tc>
        <w:tc>
          <w:tcPr>
            <w:tcW w:type="dxa" w:w="245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退课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释放名额、补位提示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/teacher/*、/admin/*</w:t>
            </w:r>
          </w:p>
        </w:tc>
        <w:tc>
          <w:tcPr>
            <w:tcW w:type="dxa" w:w="117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页面</w:t>
            </w:r>
          </w:p>
        </w:tc>
        <w:tc>
          <w:tcPr>
            <w:tcW w:type="dxa" w:w="245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教师端与管理后台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 越权、404 不存在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GET /health</w:t>
            </w:r>
          </w:p>
        </w:tc>
        <w:tc>
          <w:tcPr>
            <w:tcW w:type="dxa" w:w="117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JSON</w:t>
            </w:r>
          </w:p>
        </w:tc>
        <w:tc>
          <w:tcPr>
            <w:tcW w:type="dxa" w:w="245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健康检查与连接质量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ok、db、latencyMs、history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PostgreSQL（Neon）</w:t>
            </w:r>
          </w:p>
        </w:tc>
        <w:tc>
          <w:tcPr>
            <w:tcW w:type="dxa" w:w="117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245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连接串经 .env / 环境变量注入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断连降级、恢复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5 功能测试报告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5.1 测试环境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8  软件环境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2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651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3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651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Windows 10/11（本地）；Linux（Render 线上）</w:t>
            </w:r>
          </w:p>
        </w:tc>
      </w:tr>
      <w:tr>
        <w:trPr>
          <w:cantSplit w:val="true"/>
        </w:trPr>
        <w:tc>
          <w:tcPr>
            <w:tcW w:type="dxa" w:w="23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Node.js</w:t>
            </w:r>
          </w:p>
        </w:tc>
        <w:tc>
          <w:tcPr>
            <w:tcW w:type="dxa" w:w="651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v24.22.0（本地）、v22.23.4（Render）</w:t>
            </w:r>
          </w:p>
        </w:tc>
      </w:tr>
      <w:tr>
        <w:trPr>
          <w:cantSplit w:val="true"/>
        </w:trPr>
        <w:tc>
          <w:tcPr>
            <w:tcW w:type="dxa" w:w="23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651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SQLite（node-sqlite3-wasm）／ PostgreSQL 18（Neon Singapore）</w:t>
            </w:r>
          </w:p>
        </w:tc>
      </w:tr>
      <w:tr>
        <w:trPr>
          <w:cantSplit w:val="true"/>
        </w:trPr>
        <w:tc>
          <w:tcPr>
            <w:tcW w:type="dxa" w:w="23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浏览器</w:t>
            </w:r>
          </w:p>
        </w:tc>
        <w:tc>
          <w:tcPr>
            <w:tcW w:type="dxa" w:w="651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Chrome / Edge 最新版（人工验证）</w:t>
            </w:r>
          </w:p>
        </w:tc>
      </w:tr>
      <w:tr>
        <w:trPr>
          <w:cantSplit w:val="true"/>
        </w:trPr>
        <w:tc>
          <w:tcPr>
            <w:tcW w:type="dxa" w:w="23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测试工具</w:t>
            </w:r>
          </w:p>
        </w:tc>
        <w:tc>
          <w:tcPr>
            <w:tcW w:type="dxa" w:w="651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自研 Node/Shell 脚本，无第三方测试框架</w:t>
            </w:r>
          </w:p>
        </w:tc>
      </w:tr>
      <w:tr>
        <w:trPr>
          <w:cantSplit w:val="true"/>
        </w:trPr>
        <w:tc>
          <w:tcPr>
            <w:tcW w:type="dxa" w:w="2327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被测提交</w:t>
            </w:r>
          </w:p>
        </w:tc>
        <w:tc>
          <w:tcPr>
            <w:tcW w:type="dxa" w:w="651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v4.0.0（tag v4.0.0，Render 部署 24e40d4）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9  硬件环境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74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09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值</w:t>
            </w:r>
          </w:p>
        </w:tc>
      </w:tr>
      <w:tr>
        <w:trPr>
          <w:cantSplit w:val="true"/>
        </w:trPr>
        <w:tc>
          <w:tcPr>
            <w:tcW w:type="dxa" w:w="174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本地</w:t>
            </w:r>
          </w:p>
        </w:tc>
        <w:tc>
          <w:tcPr>
            <w:tcW w:type="dxa" w:w="709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x86_64 笔记本，4 核 8 GB 内存，SSD</w:t>
            </w:r>
          </w:p>
        </w:tc>
      </w:tr>
      <w:tr>
        <w:trPr>
          <w:cantSplit w:val="true"/>
        </w:trPr>
        <w:tc>
          <w:tcPr>
            <w:tcW w:type="dxa" w:w="174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线上</w:t>
            </w:r>
          </w:p>
        </w:tc>
        <w:tc>
          <w:tcPr>
            <w:tcW w:type="dxa" w:w="709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Render 免费实例，512 MB 内存</w:t>
            </w:r>
          </w:p>
        </w:tc>
      </w:tr>
      <w:tr>
        <w:trPr>
          <w:cantSplit w:val="true"/>
        </w:trPr>
        <w:tc>
          <w:tcPr>
            <w:tcW w:type="dxa" w:w="1746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网络</w:t>
            </w:r>
          </w:p>
        </w:tc>
        <w:tc>
          <w:tcPr>
            <w:tcW w:type="dxa" w:w="709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本地直连互联网；线上经跨境 RTT 访问 Neon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5.2 单元测试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单元测试针对 ConflictService 的纯函数（timesConflict / periodsOverlap / weeksOverlap），共 26 项，覆盖节次边界、星期与单双周、周次区间、三条件组合。执行命令 npm run test:conflict，耗时小于 1 秒。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10  单元测试分组结果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18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组别</w:t>
            </w:r>
          </w:p>
        </w:tc>
        <w:tc>
          <w:tcPr>
            <w:tcW w:type="dxa" w:w="103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用例数</w:t>
            </w:r>
          </w:p>
        </w:tc>
        <w:tc>
          <w:tcPr>
            <w:tcW w:type="dxa" w:w="447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覆盖点</w:t>
            </w:r>
          </w:p>
        </w:tc>
        <w:tc>
          <w:tcPr>
            <w:tcW w:type="dxa" w:w="114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18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节次边界</w:t>
            </w:r>
          </w:p>
        </w:tc>
        <w:tc>
          <w:tcPr>
            <w:tcW w:type="dxa" w:w="10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447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相同、相邻不算、部分重叠、包含、首尾相接</w:t>
            </w:r>
          </w:p>
        </w:tc>
        <w:tc>
          <w:tcPr>
            <w:tcW w:type="dxa" w:w="114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7/7 通过</w:t>
            </w:r>
          </w:p>
        </w:tc>
      </w:tr>
      <w:tr>
        <w:trPr>
          <w:cantSplit w:val="true"/>
        </w:trPr>
        <w:tc>
          <w:tcPr>
            <w:tcW w:type="dxa" w:w="218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星期与单双周</w:t>
            </w:r>
          </w:p>
        </w:tc>
        <w:tc>
          <w:tcPr>
            <w:tcW w:type="dxa" w:w="10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447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不同星期、单双错开、单周/每周、双周/每周</w:t>
            </w:r>
          </w:p>
        </w:tc>
        <w:tc>
          <w:tcPr>
            <w:tcW w:type="dxa" w:w="114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8/8 通过</w:t>
            </w:r>
          </w:p>
        </w:tc>
      </w:tr>
      <w:tr>
        <w:trPr>
          <w:cantSplit w:val="true"/>
        </w:trPr>
        <w:tc>
          <w:tcPr>
            <w:tcW w:type="dxa" w:w="2182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周次区间</w:t>
            </w:r>
          </w:p>
        </w:tc>
        <w:tc>
          <w:tcPr>
            <w:tcW w:type="dxa" w:w="10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447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不相交、部分相交、首尾相接、单双周无共同周</w:t>
            </w:r>
          </w:p>
        </w:tc>
        <w:tc>
          <w:tcPr>
            <w:tcW w:type="dxa" w:w="114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6/6 通过</w:t>
            </w:r>
          </w:p>
        </w:tc>
      </w:tr>
      <w:tr>
        <w:trPr>
          <w:cantSplit w:val="true"/>
        </w:trPr>
        <w:tc>
          <w:tcPr>
            <w:tcW w:type="dxa" w:w="218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三条件组合与函数级</w:t>
            </w:r>
          </w:p>
        </w:tc>
        <w:tc>
          <w:tcPr>
            <w:tcW w:type="dxa" w:w="10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447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三条件全满足、periodsOverlap/weeksOverlap 直调</w:t>
            </w:r>
          </w:p>
        </w:tc>
        <w:tc>
          <w:tcPr>
            <w:tcW w:type="dxa" w:w="114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5/5 通过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5.3 集成测试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集成测试走 EnrollmentService + 真实数据库事务，共 15 项：10 名学生并发抢容量 3 的课程（5 项）、退课触发补位（5 项）、窗口关闭后的行为（5 项）。执行命令 npm run stress，使用独立临时库，不污染演示数据。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11  集成测试结果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49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场景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断言数</w:t>
            </w:r>
          </w:p>
        </w:tc>
        <w:tc>
          <w:tcPr>
            <w:tcW w:type="dxa" w:w="430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关键结果</w:t>
            </w:r>
          </w:p>
        </w:tc>
        <w:tc>
          <w:tcPr>
            <w:tcW w:type="dxa" w:w="113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并发选课不超卖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 选中、3 候补、4 拒绝，闭合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5/5 通过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退课触发补位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队首周雨桐自动补位，候补 3→2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5/5 通过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窗口关闭后的行为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选课拒绝；退课仍成功；补位仍发生（吴梓涵）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5/5 通过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PostgreSQL 环境补充执行：15/15 连跑 3 轮稳定；加行锁前曾出现 6 选中（超卖一倍），加 SELECT ... FOR UPDATE 后恢复为 3 选中。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 系统测试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系统测试走真实 HTTP，共 77 项，按角色与模块分 8 组。每个模块给出四张表：测试结果、等价类划分、测试用例、测试结果记录。测试人 FHAZ-141，执行日期 2026-10-19（SQLite）与 2026-10-22（PostgreSQL 回归）。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5.4.1 登录与鉴权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12  登录与鉴权模块功能的测试结果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TC-E-01~08、71~77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登录与鉴权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使用学号/工号与密码登录，按角色进入首页；未登录访问受保护页跳转登录页，越权返回 403。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账号由管理员预置，系统运行中。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建立会话并跳转；或返回 401/403/302。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打开 /login；2. 输入账号与密码；3. 提交；4. 校验口令并注入会话；5. 跳转目标页或提示错误。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输入：正确账号密码、错误密码、空账号、非法 next、越权路径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输出：302 跳转 / 401 提示 / 403 拒绝 / 登录页重渲染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13  登录与鉴权模块等价类划分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账号格式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已存在的学号/工号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不存在的账号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密码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与散列匹配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错误或为空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E4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会话状态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已登录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E5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未登录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E6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14  登录与鉴权模块测试用例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TC-E-02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未登录访问 /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302 跳登录页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E6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AC-00-1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TC-E-04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错误密码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401 且提示错误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E4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AC-00-2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TC-E-05/07/08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管理员/学生/教师登录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302 进入首页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E1,E3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AC-00-1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TC-E-71~74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跨角色访问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 或本人可访问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E5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AC-00-3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TC-E-75~77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不存在路径与登出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404 / 302 / 302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E5,E6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AC-00-4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15  登录与鉴权模块测试结果记录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TC-E-04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401 提示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401「学号/工号或密码错误」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TC-E-08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教师登录成功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302 进入 /teacher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TC-E-76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登出后会话失效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302 /login，再访问 / 仍 302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5.4.2 课程查询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16  课程查询模块功能的测试结果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TC-E-09~19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课程查询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按关键词、院系、教师、星期检索课程，展示容量与余量，支持查看详情。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已登录；演示数据 33 门课程。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列表/详情展示；无结果为 0 条；不存在 404。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进入 /courses；2. 输入检索条件提交；3. 服务端查询并装饰余量；4. 点击课程进入详情。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输入：「数据结构」、CS10、数学学院、周一、无结果、非法 id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输出：1/9/8/6/0 条；详情 200；非法 id 404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17  课程查询模块等价类划分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命中课程名/代码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无匹配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筛选维度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合法院系/教师/星期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非法值忽略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Q4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 id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正整数且存在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Q5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非正整数/不存在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Q6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18  课程查询模块测试用例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TC-E-09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无条件列表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33 门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Q1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AC-01-1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TC-E-11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 CS10 检索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9 门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Q1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AC-01-1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TC-E-12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数学学院筛选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 门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Q3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AC-01-2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TC-E-13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周一筛选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 门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Q3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AC-01-2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TC-E-18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 id=99999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Q6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AC-01-3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19  课程查询模块测试结果记录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TC-E-09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33 门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33 门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TC-E-13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 门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 门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TC-E-18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404 错误页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5.4.3 选课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20  选课模块功能的测试结果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TC-E-23~27、TC-I-01~05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学生提交选课，系统在单一事务内依次校验窗口、课程状态、重复、冲突、余量，满员转候补。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学生已登录，窗口开放，课程存在。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写入 enrolled/waiting，或返回具体拒绝原因。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课程详情点击选课；2. POST /enrollments；3. 服务层五步校验；4. 成功或转候补；5. PRG 回显提示。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输入：有余量、满员、冲突、重复提交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输出：选课成功 / 加入候补 / 冲突提示 / 已选中提示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21  选课模块等价类划分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余量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已选&lt;容量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已选=容量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重复状态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无记录/已退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enrolled/waiting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S4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时间冲突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无冲突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S5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有冲突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S6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选课窗口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S7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未开放/已截止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S8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22  选课模块测试用例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TC-E-23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有余量课程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提示选课成功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S1,S3,S5,S7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AC-02-1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TC-E-24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重复提交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提示已选中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S4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AC-02-2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TC-E-25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与已选课冲突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提示时间冲突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S6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AC-02-3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TC-I-01~05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 人并发抢 3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3/3/4 分布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S2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AC-02-4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TC-E-26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候补已满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提示候补满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S2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AC-07-1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23  选课模块测试结果记录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TC-E-23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选课成功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成功并出现在我的选课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TC-E-25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冲突拒绝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提示「与已选课程时间冲突」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TC-I-01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选中=3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选中 3 人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5.4.4 退课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24  退课模块功能的测试结果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TC-E-28~30、TC-I-06~09、13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退课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学生退课释放名额，立即触发候补补位；退课与补位均不受选课窗口影响。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学生已选中课程；窗口可开放或关闭。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记录置 dropped，名额释放，可能补位一人。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我的选课点击退课并确认；2. POST drop；3. 状态置 dropped；4. 调 promoteNext；5. PRG 回显。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输入：已选课程、未选课程、窗口关闭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输出：退课成功 / 尚未选中 / 补位提示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25  退课模块等价类划分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选课状态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enrolled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dropped/无记录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选课窗口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关闭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D4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候补队列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非空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D5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空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D6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26  退课模块测试用例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TC-E-28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退已选课程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提示已退选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D1,D3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AC-03-1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TC-E-30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退未选课程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提示尚未选中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D2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AC-03-2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TC-I-11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窗口关闭后退课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仍然成功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D1,D4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AC-03-2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TC-I-12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窗口关闭后补位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吴梓涵被补位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D4,D5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AC-03-3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TC-E-29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退课后列表移除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不出现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D1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AC-06-2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27  退课模块测试结果记录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TC-E-28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退课成功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提示「已退选」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TC-I-11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窗口关闭仍退课成功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成功，未被窗口拦截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TC-I-12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补位发生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「吴梓涵 已自动补位」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5.4.5 人数限制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28  人数限制模块功能的测试结果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TC-I-01、TC-I-05、TC-E-17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人数限制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课程容量是硬约束：事务内实时计数，已选人数不得超过容量；满员转入候补。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容量 3 的课程，10 名学生并发。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选中人数恰为 3，未超卖。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10 个请求同时提交；2. 事务/行锁串行化；3. 实时 COUNT；4. 超容量转候补或拒绝。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输入：10 并发、容量 3、容量 0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输出：3 选中、3 候补、4 拒绝；容量 0 直接候补满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29  人数限制模块等价类划分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容量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≥1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余量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&gt;0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=0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C4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30  人数限制模块测试用例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TC-I-01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 抢 3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选中=3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C1,C3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AC-04-1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TC-I-05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候补满拒绝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 人拒绝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C4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AC-04-2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TC-E-17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满员课程显示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名额已满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C4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AC-04-3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31  人数限制模块测试结果记录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TC-I-01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TC-I-05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TC-E-17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显示满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显示「名额已满」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5.4.6 时间冲突检查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32  时间冲突检查模块功能的测试结果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TC-U-01~26、TC-E-25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时间冲突检查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两门课冲突当且仅当星期相同、节次闭区间真正重叠、周次集合有交集；支持单双周。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已有学生选课与课程排课数据。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返回冲突课程列表或放行。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取目标课与学生已选课排课；2. 两两调用 timesConflict；3. 汇总冲突课程名。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输入：26 组边界（相邻、包含、首尾相接、单双周错开等）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输出：冲突 / 不冲突，与预期一致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33  时间冲突检查模块等价类划分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星期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相同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不同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节次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真正重叠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相邻或不相交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T4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周次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有交集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T5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单双周错开/区间不相交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T6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34  时间冲突检查模块测试用例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TC-U-02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1-2 与 3-4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不冲突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T4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AC-05-1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TC-U-10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单周与双周同时段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不冲突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T6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AC-05-2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TC-U-16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1-8 与 8-16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冲突（第 8 周）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T5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AC-05-3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TC-U-01~26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全部边界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26/26 通过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T1~T6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AC-05-4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35  时间冲突检查模块测试结果记录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TC-U-02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不冲突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不冲突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TC-U-10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不冲突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不冲突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TC-U-16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冲突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冲突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5.4.7 选课结果查询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36  选课结果查询模块功能的测试结果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TC-E-20、27、29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选课结果查询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学生查看已选课程、学分合计、候补课程与当前位次。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学生已登录并有选课记录。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展示已选/候补两张表。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GET /enrollments/my；2. 查询 enrolled 与 waiting；3. 计算位次与学分；4. 渲染。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输入：有记录、无记录、教师访问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输出：列表/空态；教师 403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37  选课结果查询模块等价类划分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教师/管理员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记录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存在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不存在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R4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38  选课结果查询模块测试用例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TC-E-20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学生访问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R1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AC-06-1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TC-E-27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刚选课程出现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出现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R3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AC-06-2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TC-E-21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教师访问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R2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AC-06-3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39  选课结果查询模块测试结果记录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TC-E-20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200 且含两张表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TC-E-27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出现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出现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TC-E-21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5.4.8 候补队列与自动补位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40  候补队列与自动补位模块功能的测试结果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TC-I-02、04、06~09、13、TC-E-26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候补队列与自动补位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满员自动转候补，按加入时间 FIFO，上限等于容量；退课后自动补位，遇冲突跳过并保留位置。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课程满员、候补队列非空。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候补/补位成功，队列更新；补位只补一人。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满员选课入 waiting；2. 按 waitlist_joined_at、id 排序；3. 退课触发 promoteNext；4. 逐人判冲突；5. 补一人即停。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输入：容量 3 第 4~6 名候补、第 7 名拒绝、退课、全员冲突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输出：3 候补、4 拒绝、队首转已选、全员冲突则名额留空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41  候补队列与自动补位模块等价类划分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队列位置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≤容量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&gt;容量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补位冲突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无冲突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有冲突（跳过）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W4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窗口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关闭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W5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W6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42  候补队列与自动补位模块测试用例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TC-I-02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候补人数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=容量=3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W1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AC-07-1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TC-I-04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候补提示数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W1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AC-07-1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TC-I-08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退课后补位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周雨桐补位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W3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AC-07-2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TC-I-13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候补减少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W3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AC-07-2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TC-E-26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候补已满拒绝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提示候补满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W2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AC-07-3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43  候补队列与自动补位模块测试结果记录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TC-I-02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TC-I-08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周雨桐补位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「周雨桐 已自动补位」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TC-E-26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候补满提示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「名额已满，候补队列也已满」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5.4.9 公告通知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44  公告通知模块功能的测试结果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TC-E-31~38、55~58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公告通知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管理员发布、置顶、删除公告；所有角色可查看；正文保留换行且 HTML 被转义。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管理员已登录；演示数据 3 条公告。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列表更新，新公告出现在首位。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发布表单提交；2. 校验标题/正文长度；3. 写库；4. 列表置顶优先；5. 详情页转义输出。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输入：合法、空标题、超长、已删除 id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输出：发布成功 / 400 / 404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45  公告通知模块等价类划分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标题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1~100 字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空/超 100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正文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1~2000 字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空/超 2000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A4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公告 id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存在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A5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不存在/已删除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A6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46  公告通知模块测试用例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TC-E-32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公告列表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 条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A5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AC-08-1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TC-E-36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不存在公告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A6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AC-08-1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TC-E-55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发布公告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提示已发布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A1,A3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AC-08-2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TC-E-57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取消置顶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提示成功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A5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AC-08-2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47  公告通知模块测试结果记录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TC-E-32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TC-E-36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TC-E-55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发布成功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「公告已发布」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5.4.10 选课时间窗口配置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48  选课时间窗口配置模块功能的测试结果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TC-E-52~54、TC-I-10~12、15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选课时间窗口配置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管理员配置开放与截止时间；窗口四态；关闭只禁止新选课，退课与补位不受影响。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管理员已登录；存在当前学期。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窗口保存并即时生效。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GET /admin/semester；2. 填写 datetime-local；3. 校验格式与先后；4. 保存；5. 学生端按状态拦截。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输入：合法时间、截止早于开放、空值、关闭后选课/退课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输出：保存成功 / 400；选课拒绝；退课与补位成功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49  选课时间窗口配置模块等价类划分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时间格式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合法 datetime-local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空/非法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先后关系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截止&gt;开放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截止≤开放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K4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窗口状态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开放/关闭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K5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未配置/未开始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K6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50  选课时间窗口配置模块测试用例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TC-E-52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窗口页访问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K1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AC-09-1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TC-E-53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截止早于开放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K4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AC-09-1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TC-E-54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合法窗口保存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成功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K3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AC-09-1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TC-I-10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关闭后选课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拒绝并提示截止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K5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AC-09-2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TC-I-11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关闭后退课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成功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K5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AC-09-2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51  选课时间窗口配置模块测试结果记录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TC-E-53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400 且提示先后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TC-I-10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拒绝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「选课已于…截止」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TC-I-11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成功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退课成功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5.4.11 并发压测脚本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52  并发压测脚本模块功能的测试结果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TC-I-01~15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并发压测脚本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独立脚本在临时库上并发选课、退课与补位，验证不超卖、窗口规则与候补上限。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临时库初始化完成。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15 项断言全部通过并输出分布。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node test/stress-test.js；2. 建临时库与课程；3. 10 并发 enroll；4. 统计分布；5. 退课/补位；6. 关闭窗口再验证。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输入：SQLite、PostgreSQL 各执行；并发 10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输出：15/15 通过；分布 3/3/4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53  并发压测脚本模块等价类划分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SQLite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PostgreSQL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并发数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54  并发压测脚本模块测试用例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TC-I-01~05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并发选课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3/3/4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P1,P2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AC-02-4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TC-I-06~09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退课补位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补位成功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P1,P2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AC-07-2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TC-I-10~15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窗口规则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选课拒绝、退课补位成功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P1,P2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AC-09-2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55  并发压测脚本模块测试结果记录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TC-I-01~15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15 项通过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SQLite 15/15；PG 15/15（连跑 3 轮）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</w:tr>
    </w:tbl>
    <w:p>
      <w:pPr>
        <w:spacing w:after="0"/>
      </w:pP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5.4.12 教师端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56  教师端模块功能的测试结果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11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768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用例编号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TC-E-60~70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教师端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功能描述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教师查看所授课程、选课名单与候补位次、授课时间冲突；仅限本人课程，越权 403。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教师已登录，名下 5 门课。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展示统计/名单/冲突；他人课程 403。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活动步骤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/teacher 概览；2. /teacher/courses；3. 名单；4. 冲突页；5. 越权访问。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测试步骤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输入：本人课程、他人课程、不存在课程</w:t>
            </w:r>
          </w:p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输出：200 / 403 / 404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测试结果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发现问题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116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测试时间</w:t>
            </w:r>
          </w:p>
        </w:tc>
        <w:tc>
          <w:tcPr>
            <w:tcW w:type="dxa" w:w="768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 / 2026-10-22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57  教师端模块等价类划分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96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输入条件</w:t>
            </w:r>
          </w:p>
        </w:tc>
        <w:tc>
          <w:tcPr>
            <w:tcW w:type="dxa" w:w="29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有效等价类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40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无效等价类</w:t>
            </w:r>
          </w:p>
        </w:tc>
        <w:tc>
          <w:tcPr>
            <w:tcW w:type="dxa" w:w="7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归属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本人课程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H1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他人课程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H2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课程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存在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H3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不存在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H4</w:t>
            </w:r>
          </w:p>
        </w:tc>
      </w:tr>
      <w:tr>
        <w:trPr>
          <w:cantSplit w:val="true"/>
        </w:trPr>
        <w:tc>
          <w:tcPr>
            <w:tcW w:type="dxa" w:w="196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H5</w:t>
            </w:r>
          </w:p>
        </w:tc>
        <w:tc>
          <w:tcPr>
            <w:tcW w:type="dxa" w:w="240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学生/管理员</w:t>
            </w:r>
          </w:p>
        </w:tc>
        <w:tc>
          <w:tcPr>
            <w:tcW w:type="dxa" w:w="7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H6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58  教师端模块测试用例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54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87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43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1327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覆盖等价类</w:t>
            </w:r>
          </w:p>
        </w:tc>
        <w:tc>
          <w:tcPr>
            <w:tcW w:type="dxa" w:w="66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TC-E-61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教师端首页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H1,H5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AC-11-1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TC-E-64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我的课程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 门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H1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AC-11-1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TC-E-67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他人课程名单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H2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AC-11-2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TC-E-69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冲突检测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CS101 与 CS113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H1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AC-11-3</w:t>
            </w:r>
          </w:p>
        </w:tc>
      </w:tr>
      <w:tr>
        <w:trPr>
          <w:cantSplit w:val="true"/>
        </w:trPr>
        <w:tc>
          <w:tcPr>
            <w:tcW w:type="dxa" w:w="154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TC-E-60</w:t>
            </w:r>
          </w:p>
        </w:tc>
        <w:tc>
          <w:tcPr>
            <w:tcW w:type="dxa" w:w="287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学生访问教师端</w:t>
            </w:r>
          </w:p>
        </w:tc>
        <w:tc>
          <w:tcPr>
            <w:tcW w:type="dxa" w:w="243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  <w:tc>
          <w:tcPr>
            <w:tcW w:type="dxa" w:w="1327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H6</w:t>
            </w:r>
          </w:p>
        </w:tc>
        <w:tc>
          <w:tcPr>
            <w:tcW w:type="dxa" w:w="66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AC-11-4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59  教师端模块测试结果记录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38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223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66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实际输出</w:t>
            </w:r>
          </w:p>
        </w:tc>
        <w:tc>
          <w:tcPr>
            <w:tcW w:type="dxa" w:w="63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85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测试人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测试时间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TC-E-64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 门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 门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TC-E-67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  <w:tr>
        <w:trPr>
          <w:cantSplit w:val="true"/>
        </w:trPr>
        <w:tc>
          <w:tcPr>
            <w:tcW w:type="dxa" w:w="138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TC-E-69</w:t>
            </w:r>
          </w:p>
        </w:tc>
        <w:tc>
          <w:tcPr>
            <w:tcW w:type="dxa" w:w="223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检出冲突</w:t>
            </w:r>
          </w:p>
        </w:tc>
        <w:tc>
          <w:tcPr>
            <w:tcW w:type="dxa" w:w="266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检出 CS101/CS113，周一 1-2 节</w:t>
            </w:r>
          </w:p>
        </w:tc>
        <w:tc>
          <w:tcPr>
            <w:tcW w:type="dxa" w:w="639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85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2026-10-19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6 性能测试结果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性能测试不追求吞吐，重点验证并发正确性与可接受的响应时间。并发用例在 SQLite 与 PostgreSQL 上各执行一轮，PostgreSQL 连跑 3 轮稳定。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60  性能指标实测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69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197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186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目标</w:t>
            </w:r>
          </w:p>
        </w:tc>
        <w:tc>
          <w:tcPr>
            <w:tcW w:type="dxa" w:w="349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实测</w:t>
            </w:r>
          </w:p>
        </w:tc>
        <w:tc>
          <w:tcPr>
            <w:tcW w:type="dxa" w:w="81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69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P-01</w:t>
            </w:r>
          </w:p>
        </w:tc>
        <w:tc>
          <w:tcPr>
            <w:tcW w:type="dxa" w:w="19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并发选课正确性</w:t>
            </w:r>
          </w:p>
        </w:tc>
        <w:tc>
          <w:tcPr>
            <w:tcW w:type="dxa" w:w="186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 抢 3 不超卖</w:t>
            </w:r>
          </w:p>
        </w:tc>
        <w:tc>
          <w:tcPr>
            <w:tcW w:type="dxa" w:w="349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 选中、3 候补、4 拒绝（PG 连跑 3 轮一致）</w:t>
            </w:r>
          </w:p>
        </w:tc>
        <w:tc>
          <w:tcPr>
            <w:tcW w:type="dxa" w:w="8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  <w:tr>
        <w:trPr>
          <w:cantSplit w:val="true"/>
        </w:trPr>
        <w:tc>
          <w:tcPr>
            <w:tcW w:type="dxa" w:w="69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P-02</w:t>
            </w:r>
          </w:p>
        </w:tc>
        <w:tc>
          <w:tcPr>
            <w:tcW w:type="dxa" w:w="19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课程列表响应</w:t>
            </w:r>
          </w:p>
        </w:tc>
        <w:tc>
          <w:tcPr>
            <w:tcW w:type="dxa" w:w="186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&lt; 1 s（本地）</w:t>
            </w:r>
          </w:p>
        </w:tc>
        <w:tc>
          <w:tcPr>
            <w:tcW w:type="dxa" w:w="349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约 50~120 ms</w:t>
            </w:r>
          </w:p>
        </w:tc>
        <w:tc>
          <w:tcPr>
            <w:tcW w:type="dxa" w:w="8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  <w:tr>
        <w:trPr>
          <w:cantSplit w:val="true"/>
        </w:trPr>
        <w:tc>
          <w:tcPr>
            <w:tcW w:type="dxa" w:w="69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P-03</w:t>
            </w:r>
          </w:p>
        </w:tc>
        <w:tc>
          <w:tcPr>
            <w:tcW w:type="dxa" w:w="19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首页/健康检查</w:t>
            </w:r>
          </w:p>
        </w:tc>
        <w:tc>
          <w:tcPr>
            <w:tcW w:type="dxa" w:w="186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&lt; 500 ms（本地）</w:t>
            </w:r>
          </w:p>
        </w:tc>
        <w:tc>
          <w:tcPr>
            <w:tcW w:type="dxa" w:w="349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约 20~60 ms</w:t>
            </w:r>
          </w:p>
        </w:tc>
        <w:tc>
          <w:tcPr>
            <w:tcW w:type="dxa" w:w="8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  <w:tr>
        <w:trPr>
          <w:cantSplit w:val="true"/>
        </w:trPr>
        <w:tc>
          <w:tcPr>
            <w:tcW w:type="dxa" w:w="698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P-04</w:t>
            </w:r>
          </w:p>
        </w:tc>
        <w:tc>
          <w:tcPr>
            <w:tcW w:type="dxa" w:w="197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Neon 跨境延迟</w:t>
            </w:r>
          </w:p>
        </w:tc>
        <w:tc>
          <w:tcPr>
            <w:tcW w:type="dxa" w:w="186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60~210 ms</w:t>
            </w:r>
          </w:p>
        </w:tc>
        <w:tc>
          <w:tcPr>
            <w:tcW w:type="dxa" w:w="3491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79/7/2/2/3 ms（历史 5 次）</w:t>
            </w:r>
          </w:p>
        </w:tc>
        <w:tc>
          <w:tcPr>
            <w:tcW w:type="dxa" w:w="81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61  并发选课分布（10 人抢容量 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283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113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选中</w:t>
            </w:r>
          </w:p>
        </w:tc>
        <w:tc>
          <w:tcPr>
            <w:tcW w:type="dxa" w:w="113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候补</w:t>
            </w:r>
          </w:p>
        </w:tc>
        <w:tc>
          <w:tcPr>
            <w:tcW w:type="dxa" w:w="113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拒绝</w:t>
            </w:r>
          </w:p>
        </w:tc>
        <w:tc>
          <w:tcPr>
            <w:tcW w:type="dxa" w:w="2608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加行锁前（P2）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超卖一倍，失败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加行锁后（P3，SQLite）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加行锁后（P3，PostgreSQL）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连跑 3 轮通过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7 其他测试结果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7.1 内容测试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页面文案统一为中文，错误提示包含具体原因与对象（如「名额已满，候补队列也已满」）；公告正文保留换行且不解析 HTML；空列表均有空态提示，无空白页。人工核对未发现错别字与断链。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7.2 界面测试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在 Chrome/Edge 下逐页检查：导航按角色显示正确入口；表格数字列对齐；780px 以下表单单列、表格横向滚动；危险操作（退课、删除课程/公告）均有二次确认；连接质量徽标悬停可查看详情。未发现语义错误或功能性显示错误。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7.3 安全性需求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（1）口令使用 scrypt + 每用户独立盐存储，不存明文；（2）全部 SQL 参数绑定，无字符串拼接；（3）路由级 requireRole + 查询内嵌 teacher_id，越权返回 403；（4）safeInternalPath 拒绝绝对地址、// 与反斜杠，防开放重定向；（5）EJS 默认转义，公告正文不解析 HTML。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已知缺口：未实现 CSRF Token 与登录失败次数限制，已列入第 8 章不符合项与改进建议。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sz w:val="28"/>
        </w:rPr>
        <w:t>7.4 可移植性需求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同一套代码在 Windows 本地（SQLite/Neon）与 Render Linux（Neon）运行；依赖全部为纯 JS/WASM，无原生编译；数据库切换只改 DATABASE_URL，页面与业务代码不变。</w:t>
      </w: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8 不符合项列表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测试与验证过程中共记录 9 个问题，均已修复并回归；另有 6 项未覆盖内容，列为改进建议。当前无阻塞交付的缺陷。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62  已修复问题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905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61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现象</w:t>
            </w:r>
          </w:p>
        </w:tc>
        <w:tc>
          <w:tcPr>
            <w:tcW w:type="dxa" w:w="231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根因</w:t>
            </w:r>
          </w:p>
        </w:tc>
        <w:tc>
          <w:tcPr>
            <w:tcW w:type="dxa" w:w="2312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修复</w:t>
            </w:r>
          </w:p>
        </w:tc>
        <w:tc>
          <w:tcPr>
            <w:tcW w:type="dxa" w:w="704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90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BUG-01</w:t>
            </w:r>
          </w:p>
        </w:tc>
        <w:tc>
          <w:tcPr>
            <w:tcW w:type="dxa" w:w="261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数字参数入库变 NULL 且不报错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驱动只接受数组/对象参数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数据层统一 normalizeParams</w:t>
            </w:r>
          </w:p>
        </w:tc>
        <w:tc>
          <w:tcPr>
            <w:tcW w:type="dxa" w:w="70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</w:tr>
      <w:tr>
        <w:trPr>
          <w:cantSplit w:val="true"/>
        </w:trPr>
        <w:tc>
          <w:tcPr>
            <w:tcW w:type="dxa" w:w="90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BUG-02</w:t>
            </w:r>
          </w:p>
        </w:tc>
        <w:tc>
          <w:tcPr>
            <w:tcW w:type="dxa" w:w="261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启动报 database is locked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prepare 后未 finalize，残留锁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统一 run/get/all；启动清理锁</w:t>
            </w:r>
          </w:p>
        </w:tc>
        <w:tc>
          <w:tcPr>
            <w:tcW w:type="dxa" w:w="70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</w:tr>
      <w:tr>
        <w:trPr>
          <w:cantSplit w:val="true"/>
        </w:trPr>
        <w:tc>
          <w:tcPr>
            <w:tcW w:type="dxa" w:w="90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BUG-03</w:t>
            </w:r>
          </w:p>
        </w:tc>
        <w:tc>
          <w:tcPr>
            <w:tcW w:type="dxa" w:w="261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会话过期点选课看到裸 JSON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非 GET 一律返回 401 JSON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 Accept 分流：表单跳登录</w:t>
            </w:r>
          </w:p>
        </w:tc>
        <w:tc>
          <w:tcPr>
            <w:tcW w:type="dxa" w:w="70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</w:tr>
      <w:tr>
        <w:trPr>
          <w:cantSplit w:val="true"/>
        </w:trPr>
        <w:tc>
          <w:tcPr>
            <w:tcW w:type="dxa" w:w="90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BUG-04</w:t>
            </w:r>
          </w:p>
        </w:tc>
        <w:tc>
          <w:tcPr>
            <w:tcW w:type="dxa" w:w="261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冒烟期望「张伟 4 门课」失败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期望值凭印象，实际 5 门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以数据库实际值修正</w:t>
            </w:r>
          </w:p>
        </w:tc>
        <w:tc>
          <w:tcPr>
            <w:tcW w:type="dxa" w:w="70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</w:tr>
      <w:tr>
        <w:trPr>
          <w:cantSplit w:val="true"/>
        </w:trPr>
        <w:tc>
          <w:tcPr>
            <w:tcW w:type="dxa" w:w="90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BUG-05</w:t>
            </w:r>
          </w:p>
        </w:tc>
        <w:tc>
          <w:tcPr>
            <w:tcW w:type="dxa" w:w="261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文档功能编号与基线冲突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F1~F6 与 F 组技术栈混淆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统一改用 §2.1-N，修 50 处</w:t>
            </w:r>
          </w:p>
        </w:tc>
        <w:tc>
          <w:tcPr>
            <w:tcW w:type="dxa" w:w="70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</w:tr>
      <w:tr>
        <w:trPr>
          <w:cantSplit w:val="true"/>
        </w:trPr>
        <w:tc>
          <w:tcPr>
            <w:tcW w:type="dxa" w:w="90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BUG-06</w:t>
            </w:r>
          </w:p>
        </w:tc>
        <w:tc>
          <w:tcPr>
            <w:tcW w:type="dxa" w:w="261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文档写排课 36 段，实际 37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新增 CS113 未同步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修正为 37</w:t>
            </w:r>
          </w:p>
        </w:tc>
        <w:tc>
          <w:tcPr>
            <w:tcW w:type="dxa" w:w="70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</w:tr>
      <w:tr>
        <w:trPr>
          <w:cantSplit w:val="true"/>
        </w:trPr>
        <w:tc>
          <w:tcPr>
            <w:tcW w:type="dxa" w:w="90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BUG-07</w:t>
            </w:r>
          </w:p>
        </w:tc>
        <w:tc>
          <w:tcPr>
            <w:tcW w:type="dxa" w:w="261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SVG 报 tag mismatch: br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图表输出未闭合 HTML 标签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关闭 htmlLabels 并转义</w:t>
            </w:r>
          </w:p>
        </w:tc>
        <w:tc>
          <w:tcPr>
            <w:tcW w:type="dxa" w:w="70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</w:tr>
      <w:tr>
        <w:trPr>
          <w:cantSplit w:val="true"/>
        </w:trPr>
        <w:tc>
          <w:tcPr>
            <w:tcW w:type="dxa" w:w="90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BUG-08</w:t>
            </w:r>
          </w:p>
        </w:tc>
        <w:tc>
          <w:tcPr>
            <w:tcW w:type="dxa" w:w="261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状态图深色块文字不可读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复合状态在主题下渲染异常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改简单状态 + 迁移标签</w:t>
            </w:r>
          </w:p>
        </w:tc>
        <w:tc>
          <w:tcPr>
            <w:tcW w:type="dxa" w:w="70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</w:tr>
      <w:tr>
        <w:trPr>
          <w:cantSplit w:val="true"/>
        </w:trPr>
        <w:tc>
          <w:tcPr>
            <w:tcW w:type="dxa" w:w="905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BUG-09</w:t>
            </w:r>
          </w:p>
        </w:tc>
        <w:tc>
          <w:tcPr>
            <w:tcW w:type="dxa" w:w="261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活动图 867×2727 A4 放不下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三个判定串行菱形</w:t>
            </w:r>
          </w:p>
        </w:tc>
        <w:tc>
          <w:tcPr>
            <w:tcW w:type="dxa" w:w="2312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合并判定节点，445×1241</w:t>
            </w:r>
          </w:p>
        </w:tc>
        <w:tc>
          <w:tcPr>
            <w:tcW w:type="dxa" w:w="704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63  未覆盖项与改进建议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959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341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未覆盖内容</w:t>
            </w:r>
          </w:p>
        </w:tc>
        <w:tc>
          <w:tcPr>
            <w:tcW w:type="dxa" w:w="3410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风险</w:t>
            </w:r>
          </w:p>
        </w:tc>
        <w:tc>
          <w:tcPr>
            <w:tcW w:type="dxa" w:w="1066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95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GAP-01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浏览器 UI 自动化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样式改动可能点坏功能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</w:tr>
      <w:tr>
        <w:trPr>
          <w:cantSplit w:val="true"/>
        </w:trPr>
        <w:tc>
          <w:tcPr>
            <w:tcW w:type="dxa" w:w="95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GAP-02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代码行覆盖率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不知道哪些分支未测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</w:tr>
      <w:tr>
        <w:trPr>
          <w:cantSplit w:val="true"/>
        </w:trPr>
        <w:tc>
          <w:tcPr>
            <w:tcW w:type="dxa" w:w="95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GAP-03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CSRF 防护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跨站伪造表单理论上可行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</w:tr>
      <w:tr>
        <w:trPr>
          <w:cantSplit w:val="true"/>
        </w:trPr>
        <w:tc>
          <w:tcPr>
            <w:tcW w:type="dxa" w:w="95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GAP-04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登录失败次数限制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可被暴力尝试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</w:tr>
      <w:tr>
        <w:trPr>
          <w:cantSplit w:val="true"/>
        </w:trPr>
        <w:tc>
          <w:tcPr>
            <w:tcW w:type="dxa" w:w="95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GAP-05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多实例部署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已迁移 PG 并验证并发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rPr>
          <w:cantSplit w:val="true"/>
        </w:trPr>
        <w:tc>
          <w:tcPr>
            <w:tcW w:type="dxa" w:w="959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GAP-06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Firefox/Safari 兼容</w:t>
            </w:r>
          </w:p>
        </w:tc>
        <w:tc>
          <w:tcPr>
            <w:tcW w:type="dxa" w:w="3410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未验证非 Chromium 浏览器</w:t>
            </w:r>
          </w:p>
        </w:tc>
        <w:tc>
          <w:tcPr>
            <w:tcW w:type="dxa" w:w="1066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240" w:line="312" w:lineRule="auto"/>
      </w:pPr>
      <w:r>
        <w:rPr>
          <w:rFonts w:ascii="黑体" w:hAnsi="黑体" w:eastAsia="黑体"/>
          <w:b/>
          <w:sz w:val="32"/>
        </w:rPr>
        <w:t>9 测试结论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/>
          <w:sz w:val="21"/>
        </w:rPr>
        <w:t>表 64  测试结论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7" w:type="dxa"/>
          <w:left w:w="56" w:type="dxa"/>
          <w:bottom w:w="17" w:type="dxa"/>
          <w:right w:w="56" w:type="dxa"/>
        </w:tblCellMar>
      </w:tblPr>
      <w:tblGrid>
        <w:gridCol w:w="4422"/>
        <w:gridCol w:w="4422"/>
      </w:tblGrid>
      <w:tr>
        <w:trPr>
          <w:tblHeader w:val="true"/>
        </w:trPr>
        <w:tc>
          <w:tcPr>
            <w:tcW w:type="dxa" w:w="2041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6803"/>
            <w:shd w:val="clear" w:color="auto" w:fill="E7E6E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测试完成日期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2026-10-22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测试地点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本地开发机、Render 线上实例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测试环境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Windows 10/11 + Node v24.22.0；Neon PostgreSQL 18（Singapore）；Render Linux + Node v22.23.4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参与测试人员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FHAZ-141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系统强项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并发正确（不超卖）、规则集中可测、双库切换、三角色权限清晰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系统弱项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 UI 自动化与覆盖率统计；会话存内存；无 CSRF Token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不符合项统计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9 项已修复并回归；0 项阻塞；6 项未覆盖列入改进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总体结论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12/12 条功能需求实现，118 项断言全部通过，满足交付标准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结论：系统功能完整、关键规则（不超卖、退课不受窗口限制、补位跳过冲突者）均有可复现的实测证据，权限隔离与错误提示符合需求；遗留缺口不构成交付阻塞，建议在后续版本补充 UI 自动化、覆盖率工具与 CSRF 防护。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531" w:bottom="1361" w:left="1531" w:header="737" w:footer="73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422" w:val="center"/>
        <w:tab w:pos="8844" w:val="right"/>
      </w:tabs>
      <w:pBdr>
        <w:bottom w:val="single" w:sz="4" w:space="1" w:color="808080"/>
      </w:pBdr>
    </w:pPr>
    <w:r/>
    <w:r>
      <w:rPr>
        <w:rFonts w:ascii="宋体" w:hAnsi="宋体" w:eastAsia="宋体"/>
        <w:sz w:val="18"/>
      </w:rPr>
      <w:t>高校选课系统</w:t>
    </w:r>
    <w:r>
      <w:tab/>
    </w:r>
    <w:r>
      <w:rPr>
        <w:rFonts w:ascii="宋体" w:hAnsi="宋体" w:eastAsia="宋体"/>
        <w:sz w:val="18"/>
      </w:rPr>
      <w:t>软件测试分析报告</w:t>
    </w:r>
    <w:r>
      <w:tab/>
    </w:r>
    <w:r>
      <w:rPr>
        <w:rFonts w:ascii="宋体" w:hAnsi="宋体" w:eastAsia="宋体"/>
        <w:sz w:val="18"/>
      </w:rPr>
      <w:t>v4.0.0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高校选课系统 软件测试分析报告</dc:title>
  <dc:subject>软件测试分析报告</dc:subject>
  <dc:creator>FHAZ-141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