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71C" w:rsidRDefault="00D0171C" w:rsidP="00CD3F43">
      <w:pPr>
        <w:pStyle w:val="Heading1"/>
      </w:pPr>
      <w:r>
        <w:t>TERMS OF REFERENCE, DEFINITIONS</w:t>
      </w:r>
      <w:r w:rsidR="00C93507">
        <w:t>, and PARTIAL FRAMING</w:t>
      </w:r>
      <w:r w:rsidR="00D414C0">
        <w:t xml:space="preserve"> </w:t>
      </w:r>
      <w:r w:rsidR="00C93507">
        <w:t>for</w:t>
      </w:r>
      <w:r w:rsidR="00CD3F43">
        <w:t xml:space="preserve"> HIEA</w:t>
      </w:r>
      <w:r w:rsidR="00CD3F43" w:rsidRPr="00CD3F43">
        <w:t xml:space="preserve"> Technical Forum</w:t>
      </w:r>
      <w:r w:rsidR="00C93507">
        <w:t>, Aug 17-18</w:t>
      </w:r>
    </w:p>
    <w:p w:rsidR="004E14B5" w:rsidRPr="004E14B5" w:rsidRDefault="004E14B5" w:rsidP="004E14B5">
      <w:pPr>
        <w:rPr>
          <w:i/>
        </w:rPr>
      </w:pPr>
      <w:r>
        <w:rPr>
          <w:i/>
        </w:rPr>
        <w:t xml:space="preserve">From </w:t>
      </w:r>
      <w:r w:rsidRPr="004E14B5">
        <w:rPr>
          <w:i/>
        </w:rPr>
        <w:t>Mark Kramer and Ken Lord</w:t>
      </w:r>
    </w:p>
    <w:p w:rsidR="00CD3F43" w:rsidRPr="00CD3F43" w:rsidRDefault="00CD3F43" w:rsidP="00CD3F43"/>
    <w:p w:rsidR="009153EE" w:rsidRDefault="00335468" w:rsidP="002876A1">
      <w:r>
        <w:rPr>
          <w:b/>
          <w:color w:val="FF0000"/>
        </w:rPr>
        <w:t>D</w:t>
      </w:r>
      <w:r w:rsidR="00B873F5">
        <w:rPr>
          <w:b/>
          <w:color w:val="FF0000"/>
        </w:rPr>
        <w:t>omain model</w:t>
      </w:r>
      <w:r>
        <w:t xml:space="preserve">: An explicit description of a domain in terms of concepts, properties and attributes, and constraints, defining a common vocabulary. </w:t>
      </w:r>
      <w:r w:rsidR="002876A1">
        <w:t>Domain model c</w:t>
      </w:r>
      <w:r>
        <w:t xml:space="preserve">haracteristics: Closed (but extensible), </w:t>
      </w:r>
      <w:r w:rsidR="002876A1">
        <w:t xml:space="preserve">useful for defining objects, properties, and relationships, </w:t>
      </w:r>
      <w:r>
        <w:t>often (not exclusively) expressed in UML.</w:t>
      </w:r>
      <w:r w:rsidR="009153EE">
        <w:t xml:space="preserve"> </w:t>
      </w:r>
      <w:proofErr w:type="gramStart"/>
      <w:r w:rsidR="009153EE">
        <w:t>Sometimes called “conceptual” or “domain analysis” model.</w:t>
      </w:r>
      <w:proofErr w:type="gramEnd"/>
    </w:p>
    <w:p w:rsidR="00C93507" w:rsidRDefault="00C93507" w:rsidP="00C93507">
      <w:r>
        <w:t xml:space="preserve">In discussing any specific domain model, it is important to understand its </w:t>
      </w:r>
      <w:r w:rsidRPr="00C93507">
        <w:rPr>
          <w:b/>
        </w:rPr>
        <w:t>purpose</w:t>
      </w:r>
      <w:r>
        <w:t xml:space="preserve">, </w:t>
      </w:r>
      <w:r w:rsidRPr="00C93507">
        <w:rPr>
          <w:b/>
        </w:rPr>
        <w:t>scope</w:t>
      </w:r>
      <w:r>
        <w:t xml:space="preserve"> and </w:t>
      </w:r>
      <w:r w:rsidRPr="00C93507">
        <w:rPr>
          <w:b/>
        </w:rPr>
        <w:t>modeling perspective</w:t>
      </w:r>
      <w:r>
        <w:t xml:space="preserve">. </w:t>
      </w:r>
    </w:p>
    <w:p w:rsidR="00C93507" w:rsidRDefault="00243B98" w:rsidP="00C93507">
      <w:pPr>
        <w:pStyle w:val="ListParagraph"/>
        <w:numPr>
          <w:ilvl w:val="0"/>
          <w:numId w:val="6"/>
        </w:numPr>
      </w:pPr>
      <w:r w:rsidRPr="00243B98">
        <w:rPr>
          <w:b/>
        </w:rPr>
        <w:t>Purpose</w:t>
      </w:r>
      <w:r>
        <w:t xml:space="preserve"> </w:t>
      </w:r>
      <w:r w:rsidR="00C93507">
        <w:t>can be defined in terms of a certain set of use cases, such as medication management, and the intended users (e.g.,</w:t>
      </w:r>
      <w:r w:rsidR="00C93507" w:rsidRPr="00C93507">
        <w:t xml:space="preserve"> </w:t>
      </w:r>
      <w:r w:rsidR="000F028C">
        <w:t>PCP</w:t>
      </w:r>
      <w:r w:rsidR="00C93507">
        <w:t xml:space="preserve">, </w:t>
      </w:r>
      <w:r w:rsidR="000F028C">
        <w:t xml:space="preserve">hospitalist, </w:t>
      </w:r>
      <w:r w:rsidR="00C93507">
        <w:t>payer, or patient)</w:t>
      </w:r>
      <w:r w:rsidR="000F028C">
        <w:t>.</w:t>
      </w:r>
    </w:p>
    <w:p w:rsidR="00C93507" w:rsidRDefault="00C93507" w:rsidP="00C93507">
      <w:pPr>
        <w:pStyle w:val="ListParagraph"/>
        <w:numPr>
          <w:ilvl w:val="0"/>
          <w:numId w:val="6"/>
        </w:numPr>
      </w:pPr>
      <w:r w:rsidRPr="00243B98">
        <w:rPr>
          <w:b/>
        </w:rPr>
        <w:t>Scope</w:t>
      </w:r>
      <w:r>
        <w:t xml:space="preserve"> </w:t>
      </w:r>
      <w:r w:rsidR="00243B98">
        <w:t>defines</w:t>
      </w:r>
      <w:r>
        <w:t xml:space="preserve"> the breadth of the model; </w:t>
      </w:r>
      <w:r w:rsidR="000F028C">
        <w:t>e.g.,</w:t>
      </w:r>
      <w:r>
        <w:t xml:space="preserve"> </w:t>
      </w:r>
      <w:r w:rsidR="000F028C">
        <w:t xml:space="preserve">whether </w:t>
      </w:r>
      <w:r>
        <w:t>to include or exclude over-the-counter medications</w:t>
      </w:r>
    </w:p>
    <w:p w:rsidR="00C93507" w:rsidRDefault="00C93507" w:rsidP="00C93507">
      <w:pPr>
        <w:pStyle w:val="ListParagraph"/>
        <w:numPr>
          <w:ilvl w:val="0"/>
          <w:numId w:val="6"/>
        </w:numPr>
      </w:pPr>
      <w:r w:rsidRPr="00243B98">
        <w:rPr>
          <w:b/>
        </w:rPr>
        <w:t>Perspective</w:t>
      </w:r>
      <w:r>
        <w:t xml:space="preserve"> </w:t>
      </w:r>
      <w:r w:rsidR="000F028C">
        <w:t xml:space="preserve">deals with how the same thing </w:t>
      </w:r>
      <w:r w:rsidR="00243B98">
        <w:t xml:space="preserve">can be </w:t>
      </w:r>
      <w:r w:rsidR="00273184">
        <w:t>seen</w:t>
      </w:r>
      <w:r w:rsidR="00243B98">
        <w:t xml:space="preserve"> from different</w:t>
      </w:r>
      <w:r w:rsidR="000F028C">
        <w:t xml:space="preserve"> point</w:t>
      </w:r>
      <w:r w:rsidR="00243B98">
        <w:t>s</w:t>
      </w:r>
      <w:r w:rsidR="000F028C">
        <w:t xml:space="preserve"> of view</w:t>
      </w:r>
      <w:r w:rsidR="00243B98">
        <w:t>;</w:t>
      </w:r>
      <w:r w:rsidR="000F028C">
        <w:t xml:space="preserve"> for </w:t>
      </w:r>
      <w:proofErr w:type="gramStart"/>
      <w:r w:rsidR="000F028C">
        <w:t>example</w:t>
      </w:r>
      <w:proofErr w:type="gramEnd"/>
      <w:r w:rsidR="000F028C">
        <w:t xml:space="preserve">, hospital operations can be modeled from </w:t>
      </w:r>
      <w:r w:rsidR="00273184">
        <w:t xml:space="preserve">the perspectives of </w:t>
      </w:r>
      <w:r w:rsidR="000F028C">
        <w:t>resource</w:t>
      </w:r>
      <w:r w:rsidR="00273184">
        <w:t xml:space="preserve"> management</w:t>
      </w:r>
      <w:r w:rsidR="00243B98">
        <w:t xml:space="preserve">, </w:t>
      </w:r>
      <w:r w:rsidR="00273184">
        <w:t xml:space="preserve">patient treatment, </w:t>
      </w:r>
      <w:r w:rsidR="000F028C">
        <w:t>safety and quality,</w:t>
      </w:r>
      <w:r w:rsidR="00273184">
        <w:t xml:space="preserve"> finance,</w:t>
      </w:r>
      <w:r w:rsidR="000F028C">
        <w:t xml:space="preserve"> etc.</w:t>
      </w:r>
    </w:p>
    <w:p w:rsidR="00657904" w:rsidRPr="00DC2AF4" w:rsidRDefault="00DC2AF4" w:rsidP="00DC2AF4">
      <w:pPr>
        <w:rPr>
          <w:i/>
        </w:rPr>
      </w:pPr>
      <w:r w:rsidRPr="00DE084F">
        <w:rPr>
          <w:i/>
        </w:rPr>
        <w:t xml:space="preserve">Example: </w:t>
      </w:r>
      <w:r w:rsidR="00FA3A91">
        <w:rPr>
          <w:i/>
        </w:rPr>
        <w:t>Pressure Ulcer Prevention Domain Analysis Model (</w:t>
      </w:r>
      <w:r w:rsidR="00FA3A91" w:rsidRPr="00FA3A91">
        <w:rPr>
          <w:i/>
        </w:rPr>
        <w:t>http://wiki.hl7.org/images/b/be/PressureUlcerPreventionDomainAnalysisModel_May2011.pdf</w:t>
      </w:r>
      <w:r w:rsidR="00FA3A91">
        <w:rPr>
          <w:i/>
        </w:rPr>
        <w:t>)</w:t>
      </w:r>
    </w:p>
    <w:p w:rsidR="00AC2042" w:rsidRDefault="00CF323D">
      <w:r w:rsidRPr="003D65F5">
        <w:rPr>
          <w:b/>
          <w:color w:val="FF0000"/>
        </w:rPr>
        <w:t>Information model</w:t>
      </w:r>
      <w:r w:rsidR="002876A1">
        <w:rPr>
          <w:color w:val="FF0000"/>
        </w:rPr>
        <w:t xml:space="preserve">: </w:t>
      </w:r>
      <w:r w:rsidR="00FA3A91">
        <w:t>A</w:t>
      </w:r>
      <w:r w:rsidR="004758F7">
        <w:t xml:space="preserve"> representation</w:t>
      </w:r>
      <w:r w:rsidR="00AC2042" w:rsidRPr="00AC2042">
        <w:t xml:space="preserve"> </w:t>
      </w:r>
      <w:r w:rsidR="002876A1">
        <w:t xml:space="preserve">of </w:t>
      </w:r>
      <w:r w:rsidR="00657904">
        <w:t>what data is associated with a domain and how that data is structured</w:t>
      </w:r>
      <w:r w:rsidR="002876A1">
        <w:t xml:space="preserve">. </w:t>
      </w:r>
      <w:r w:rsidR="00FA3A91">
        <w:t xml:space="preserve">Similar to a domain model, but with a focus on representing the information associated with the domain, rather than the domain objects themselves. </w:t>
      </w:r>
      <w:r w:rsidR="007D1C48">
        <w:t xml:space="preserve">Information models commonly are developed at the logical level, that is, they are specific about what data is captured, but do not specify database structures. </w:t>
      </w:r>
      <w:proofErr w:type="gramStart"/>
      <w:r w:rsidR="00FA3A91">
        <w:t>Should include metadata (information about the information collected).</w:t>
      </w:r>
      <w:proofErr w:type="gramEnd"/>
      <w:r w:rsidR="00FA3A91">
        <w:t xml:space="preserve"> </w:t>
      </w:r>
      <w:r w:rsidR="00273184">
        <w:t xml:space="preserve">Information model characteristics: Closed, </w:t>
      </w:r>
      <w:r w:rsidR="00FA3A91">
        <w:t>includes metadata</w:t>
      </w:r>
      <w:r w:rsidR="00273184">
        <w:t>, useful for constructing artifacts using Model-Driven Architecture.</w:t>
      </w:r>
    </w:p>
    <w:p w:rsidR="00DE084F" w:rsidRDefault="00DE084F">
      <w:pPr>
        <w:rPr>
          <w:i/>
        </w:rPr>
      </w:pPr>
      <w:r w:rsidRPr="009153EE">
        <w:rPr>
          <w:i/>
        </w:rPr>
        <w:t xml:space="preserve">Example: </w:t>
      </w:r>
      <w:r w:rsidR="00FA3A91">
        <w:rPr>
          <w:i/>
        </w:rPr>
        <w:t xml:space="preserve">FHIM, </w:t>
      </w:r>
      <w:r w:rsidR="00DC2AF4">
        <w:rPr>
          <w:i/>
        </w:rPr>
        <w:t>FHIR</w:t>
      </w:r>
    </w:p>
    <w:p w:rsidR="00C93507" w:rsidRDefault="00C93507" w:rsidP="00C93507">
      <w:r w:rsidRPr="003D65F5">
        <w:rPr>
          <w:b/>
          <w:color w:val="FF0000"/>
        </w:rPr>
        <w:t>Ontology</w:t>
      </w:r>
      <w:r>
        <w:rPr>
          <w:b/>
          <w:color w:val="FF0000"/>
        </w:rPr>
        <w:t xml:space="preserve">: </w:t>
      </w:r>
      <w:r>
        <w:t>A</w:t>
      </w:r>
      <w:r w:rsidRPr="00AC2042">
        <w:t xml:space="preserve"> formal naming and definition of the types, properties, and interrelationships of the </w:t>
      </w:r>
      <w:r w:rsidR="00243B98">
        <w:t xml:space="preserve">concepts </w:t>
      </w:r>
      <w:r w:rsidRPr="00AC2042">
        <w:t>that really or fundamentally exist for a</w:t>
      </w:r>
      <w:r>
        <w:t xml:space="preserve"> particular domain. </w:t>
      </w:r>
      <w:proofErr w:type="gramStart"/>
      <w:r w:rsidR="00657904">
        <w:t>An ontology</w:t>
      </w:r>
      <w:proofErr w:type="gramEnd"/>
      <w:r w:rsidR="00657904">
        <w:t xml:space="preserve"> can be developed for specific domain model or it can also be used across multiple domain models</w:t>
      </w:r>
      <w:r w:rsidR="004453C5">
        <w:t>.</w:t>
      </w:r>
      <w:r w:rsidR="00273184" w:rsidRPr="00273184">
        <w:t xml:space="preserve"> </w:t>
      </w:r>
      <w:r w:rsidR="00273184">
        <w:t>Ontology characteristics: Open, useful for automated reasoning, often (but not exclusively) expressed in OWL.</w:t>
      </w:r>
    </w:p>
    <w:p w:rsidR="009A0AE0" w:rsidRDefault="009A0AE0" w:rsidP="00C93507">
      <w:r w:rsidRPr="00DE084F">
        <w:rPr>
          <w:i/>
        </w:rPr>
        <w:t xml:space="preserve">Example: </w:t>
      </w:r>
      <w:r>
        <w:rPr>
          <w:i/>
        </w:rPr>
        <w:t>SNOMED-CT</w:t>
      </w:r>
    </w:p>
    <w:p w:rsidR="00DC2AF4" w:rsidRPr="00DC2AF4" w:rsidRDefault="00DC2AF4" w:rsidP="00C93507">
      <w:r w:rsidRPr="00DC2AF4">
        <w:rPr>
          <w:b/>
          <w:color w:val="FF0000"/>
        </w:rPr>
        <w:t>Taxonomy:</w:t>
      </w:r>
      <w:r>
        <w:rPr>
          <w:b/>
          <w:color w:val="FF0000"/>
        </w:rPr>
        <w:t xml:space="preserve"> </w:t>
      </w:r>
      <w:proofErr w:type="gramStart"/>
      <w:r>
        <w:t>A taxonomy</w:t>
      </w:r>
      <w:proofErr w:type="gramEnd"/>
      <w:r>
        <w:t xml:space="preserve"> is similar to an ontology, but </w:t>
      </w:r>
      <w:r w:rsidRPr="00DC2AF4">
        <w:t>taxonomy is usually only a hierarchy of concepts</w:t>
      </w:r>
      <w:r>
        <w:t xml:space="preserve">, while an ontology supports complex relationships between concepts. </w:t>
      </w:r>
    </w:p>
    <w:p w:rsidR="00C93507" w:rsidRDefault="00C93507">
      <w:pPr>
        <w:rPr>
          <w:i/>
        </w:rPr>
      </w:pPr>
      <w:r w:rsidRPr="00DE084F">
        <w:rPr>
          <w:i/>
        </w:rPr>
        <w:t xml:space="preserve">Example: </w:t>
      </w:r>
      <w:r w:rsidR="009A0AE0">
        <w:rPr>
          <w:i/>
        </w:rPr>
        <w:t xml:space="preserve">CMS </w:t>
      </w:r>
      <w:r w:rsidR="009A0AE0" w:rsidRPr="009A0AE0">
        <w:rPr>
          <w:i/>
        </w:rPr>
        <w:t>Healthcare Provider Taxonomy Code Set</w:t>
      </w:r>
      <w:r w:rsidR="00FA3A91">
        <w:rPr>
          <w:i/>
        </w:rPr>
        <w:t xml:space="preserve"> (</w:t>
      </w:r>
      <w:r w:rsidR="00FA3A91" w:rsidRPr="00FA3A91">
        <w:rPr>
          <w:i/>
        </w:rPr>
        <w:t>https://www.cms.gov/medicare/provider-enrollment-and-certification/medicareprovidersupenroll/taxonomy.html</w:t>
      </w:r>
      <w:r w:rsidR="00FA3A91">
        <w:rPr>
          <w:i/>
        </w:rPr>
        <w:t>)</w:t>
      </w:r>
    </w:p>
    <w:p w:rsidR="00273184" w:rsidRDefault="00273184" w:rsidP="00273184">
      <w:r>
        <w:rPr>
          <w:b/>
          <w:color w:val="FF0000"/>
        </w:rPr>
        <w:t xml:space="preserve">Data Element: </w:t>
      </w:r>
      <w:r w:rsidRPr="009153EE">
        <w:t>A unit of data for which the definition, identification, representation, and permissible values are specified</w:t>
      </w:r>
      <w:r>
        <w:t>.</w:t>
      </w:r>
      <w:r w:rsidR="00E42D8C">
        <w:t xml:space="preserve"> </w:t>
      </w:r>
      <w:proofErr w:type="gramStart"/>
      <w:r w:rsidR="00E42D8C">
        <w:t>May not, in itself, provide complete context.</w:t>
      </w:r>
      <w:proofErr w:type="gramEnd"/>
      <w:r w:rsidR="00E42D8C">
        <w:t xml:space="preserve"> </w:t>
      </w:r>
      <w:proofErr w:type="gramStart"/>
      <w:r w:rsidR="00E42D8C">
        <w:t>May also be posed as a question-answer pair.</w:t>
      </w:r>
      <w:proofErr w:type="gramEnd"/>
    </w:p>
    <w:p w:rsidR="00273184" w:rsidRPr="000209F5" w:rsidRDefault="00FA3A91" w:rsidP="00273184">
      <w:pPr>
        <w:rPr>
          <w:b/>
          <w:i/>
        </w:rPr>
      </w:pPr>
      <w:r>
        <w:rPr>
          <w:i/>
        </w:rPr>
        <w:t>Example: US National Library of Medicine Data Element Catalog (</w:t>
      </w:r>
      <w:r w:rsidRPr="00FA3A91">
        <w:rPr>
          <w:i/>
        </w:rPr>
        <w:t>https://www.nlm.nih.gov/healthit/dec/</w:t>
      </w:r>
      <w:r>
        <w:rPr>
          <w:i/>
        </w:rPr>
        <w:t>)</w:t>
      </w:r>
    </w:p>
    <w:p w:rsidR="009153EE" w:rsidRDefault="00DE084F" w:rsidP="009153EE">
      <w:r>
        <w:rPr>
          <w:b/>
          <w:color w:val="FF0000"/>
        </w:rPr>
        <w:t xml:space="preserve">Exchange package: </w:t>
      </w:r>
      <w:r>
        <w:t xml:space="preserve">A set of information </w:t>
      </w:r>
      <w:r w:rsidR="009153EE">
        <w:t xml:space="preserve">that is transferred between systems. The </w:t>
      </w:r>
      <w:r w:rsidR="004453C5">
        <w:t xml:space="preserve">logical </w:t>
      </w:r>
      <w:r w:rsidR="009153EE">
        <w:t xml:space="preserve">contents of exchange packages will be defined </w:t>
      </w:r>
      <w:r w:rsidR="004453C5">
        <w:t xml:space="preserve">in terms of </w:t>
      </w:r>
      <w:r w:rsidR="00273184">
        <w:t xml:space="preserve">individual or groups of </w:t>
      </w:r>
      <w:r w:rsidR="004453C5">
        <w:t xml:space="preserve">data </w:t>
      </w:r>
      <w:r w:rsidR="00273184">
        <w:t xml:space="preserve">elements. </w:t>
      </w:r>
      <w:r w:rsidR="00657904">
        <w:t xml:space="preserve">The </w:t>
      </w:r>
      <w:r w:rsidR="004453C5">
        <w:t xml:space="preserve">logical </w:t>
      </w:r>
      <w:r w:rsidR="00657904">
        <w:t>content is independent of the wire format (syntax), but often the definition of an exchange package includes a specific syntax (how the information is serialized for transport).</w:t>
      </w:r>
    </w:p>
    <w:p w:rsidR="000209F5" w:rsidRDefault="00455588" w:rsidP="009153EE">
      <w:pPr>
        <w:rPr>
          <w:i/>
        </w:rPr>
      </w:pPr>
      <w:r>
        <w:rPr>
          <w:i/>
        </w:rPr>
        <w:t xml:space="preserve">Example: </w:t>
      </w:r>
      <w:r w:rsidR="000209F5" w:rsidRPr="000209F5">
        <w:rPr>
          <w:i/>
        </w:rPr>
        <w:t xml:space="preserve">HL7 V2.5 </w:t>
      </w:r>
      <w:r w:rsidR="000209F5">
        <w:rPr>
          <w:i/>
        </w:rPr>
        <w:t xml:space="preserve">ADT </w:t>
      </w:r>
      <w:r w:rsidR="000209F5" w:rsidRPr="000209F5">
        <w:rPr>
          <w:i/>
        </w:rPr>
        <w:t>message</w:t>
      </w:r>
      <w:r w:rsidR="00657904">
        <w:rPr>
          <w:i/>
        </w:rPr>
        <w:t xml:space="preserve">, </w:t>
      </w:r>
      <w:r>
        <w:rPr>
          <w:i/>
        </w:rPr>
        <w:t>Continuity of Care Document</w:t>
      </w:r>
    </w:p>
    <w:p w:rsidR="00FC005B" w:rsidRPr="00FC005B" w:rsidRDefault="00FC005B">
      <w:pPr>
        <w:rPr>
          <w:color w:val="000000" w:themeColor="text1"/>
        </w:rPr>
      </w:pPr>
      <w:r>
        <w:rPr>
          <w:b/>
          <w:color w:val="FF0000"/>
        </w:rPr>
        <w:t xml:space="preserve">Transformation (often just called mapping) </w:t>
      </w:r>
      <w:r>
        <w:rPr>
          <w:color w:val="000000" w:themeColor="text1"/>
        </w:rPr>
        <w:t xml:space="preserve">is the process of mapping between data fields and the translation of terminology needed when the source information model, the local contents of the exchange package, or the target information models are not identical. </w:t>
      </w:r>
    </w:p>
    <w:p w:rsidR="00FC005B" w:rsidRDefault="00FC005B">
      <w:pPr>
        <w:rPr>
          <w:b/>
          <w:color w:val="FF0000"/>
        </w:rPr>
      </w:pPr>
    </w:p>
    <w:p w:rsidR="00CD3F43" w:rsidRDefault="00CD3F43" w:rsidP="00CD3F43">
      <w:pPr>
        <w:pStyle w:val="Heading2"/>
      </w:pPr>
      <w:r>
        <w:t>Questions and Answers</w:t>
      </w:r>
      <w:r w:rsidR="00364EFF">
        <w:t xml:space="preserve"> (Open for Discussion)</w:t>
      </w:r>
    </w:p>
    <w:p w:rsidR="00364EFF" w:rsidRDefault="00364EFF">
      <w:pPr>
        <w:rPr>
          <w:b/>
          <w:color w:val="FF0000"/>
        </w:rPr>
      </w:pPr>
    </w:p>
    <w:p w:rsidR="00455588" w:rsidRDefault="00455588">
      <w:pPr>
        <w:rPr>
          <w:b/>
          <w:color w:val="FF0000"/>
        </w:rPr>
      </w:pPr>
      <w:r>
        <w:rPr>
          <w:b/>
          <w:color w:val="FF0000"/>
        </w:rPr>
        <w:t>What is required for data exchange between systems?</w:t>
      </w:r>
    </w:p>
    <w:p w:rsidR="00455588" w:rsidRDefault="00455588" w:rsidP="00455588">
      <w:r w:rsidRPr="00455588">
        <w:t xml:space="preserve">To transfer data between systems, </w:t>
      </w:r>
      <w:r>
        <w:t>and to use the data that is transferred, the exchange partners need to decide on:</w:t>
      </w:r>
    </w:p>
    <w:p w:rsidR="00455588" w:rsidRDefault="00455588" w:rsidP="00455588">
      <w:pPr>
        <w:pStyle w:val="ListParagraph"/>
        <w:numPr>
          <w:ilvl w:val="0"/>
          <w:numId w:val="3"/>
        </w:numPr>
      </w:pPr>
      <w:r>
        <w:t xml:space="preserve">The logical contents of the exchange package(s) </w:t>
      </w:r>
    </w:p>
    <w:p w:rsidR="00455588" w:rsidRDefault="00455588" w:rsidP="00455588">
      <w:pPr>
        <w:pStyle w:val="ListParagraph"/>
        <w:numPr>
          <w:ilvl w:val="0"/>
          <w:numId w:val="3"/>
        </w:numPr>
      </w:pPr>
      <w:r>
        <w:t>The wire format of exchange packages (how the logical contents are rendered for exchange) – e.g. FHIR JSON or FHIR XML</w:t>
      </w:r>
    </w:p>
    <w:p w:rsidR="00455588" w:rsidRDefault="00455588" w:rsidP="00455588">
      <w:pPr>
        <w:pStyle w:val="ListParagraph"/>
        <w:numPr>
          <w:ilvl w:val="0"/>
          <w:numId w:val="3"/>
        </w:numPr>
      </w:pPr>
      <w:r>
        <w:t>Mechanism by which exchange packages are requested, sent, and secured (API, transport, encryption, etc.)</w:t>
      </w:r>
    </w:p>
    <w:p w:rsidR="00455588" w:rsidRDefault="00455588" w:rsidP="00455588">
      <w:pPr>
        <w:pStyle w:val="ListParagraph"/>
        <w:numPr>
          <w:ilvl w:val="0"/>
          <w:numId w:val="3"/>
        </w:numPr>
      </w:pPr>
      <w:r>
        <w:t xml:space="preserve">Any business rules associated with sending and receiving exchange packages </w:t>
      </w:r>
    </w:p>
    <w:p w:rsidR="00455588" w:rsidRPr="00FC005B" w:rsidRDefault="00455588" w:rsidP="00455588">
      <w:r>
        <w:t>Exchange partners then must provide data transformation between the local information model and the information required by the exchange package.</w:t>
      </w:r>
    </w:p>
    <w:p w:rsidR="000209F5" w:rsidRPr="000209F5" w:rsidRDefault="00364EFF">
      <w:pPr>
        <w:rPr>
          <w:b/>
          <w:color w:val="FF0000"/>
        </w:rPr>
      </w:pPr>
      <w:r>
        <w:rPr>
          <w:b/>
          <w:color w:val="FF0000"/>
        </w:rPr>
        <w:t>Are common models</w:t>
      </w:r>
      <w:r w:rsidR="000209F5" w:rsidRPr="000209F5">
        <w:rPr>
          <w:b/>
          <w:color w:val="FF0000"/>
        </w:rPr>
        <w:t xml:space="preserve"> required for data exchange?</w:t>
      </w:r>
    </w:p>
    <w:p w:rsidR="00305689" w:rsidRDefault="000209F5">
      <w:r>
        <w:t>No. Defining</w:t>
      </w:r>
      <w:r w:rsidR="00B873F5">
        <w:t xml:space="preserve"> exchange pack</w:t>
      </w:r>
      <w:r>
        <w:t xml:space="preserve">ages requires definition of data elements </w:t>
      </w:r>
      <w:r w:rsidR="00364EFF">
        <w:t>to be exchanged</w:t>
      </w:r>
      <w:r w:rsidR="00B9349A">
        <w:t xml:space="preserve">, </w:t>
      </w:r>
      <w:r w:rsidR="00455588">
        <w:t xml:space="preserve">and must be enough in-band or out-of-band </w:t>
      </w:r>
      <w:r w:rsidR="00B9349A">
        <w:t xml:space="preserve">context </w:t>
      </w:r>
      <w:r w:rsidR="00455588">
        <w:t>to use that information</w:t>
      </w:r>
      <w:r w:rsidR="00364EFF">
        <w:t xml:space="preserve">, </w:t>
      </w:r>
      <w:r>
        <w:t xml:space="preserve">but </w:t>
      </w:r>
      <w:r w:rsidR="00455588">
        <w:t xml:space="preserve">that </w:t>
      </w:r>
      <w:r>
        <w:t>does not require a model.</w:t>
      </w:r>
      <w:r w:rsidR="00455588">
        <w:t xml:space="preserve"> HL7 V2 messages communicate very effectively without requiring an explicit healthcare model. </w:t>
      </w:r>
    </w:p>
    <w:p w:rsidR="00D0171C" w:rsidRDefault="000209F5" w:rsidP="00D0171C">
      <w:pPr>
        <w:rPr>
          <w:b/>
          <w:color w:val="FF0000"/>
        </w:rPr>
      </w:pPr>
      <w:r>
        <w:rPr>
          <w:b/>
          <w:color w:val="FF0000"/>
        </w:rPr>
        <w:t>Then w</w:t>
      </w:r>
      <w:r w:rsidR="00364EFF">
        <w:rPr>
          <w:b/>
          <w:color w:val="FF0000"/>
        </w:rPr>
        <w:t xml:space="preserve">hy have </w:t>
      </w:r>
      <w:r w:rsidR="008E37EC">
        <w:rPr>
          <w:b/>
          <w:color w:val="FF0000"/>
        </w:rPr>
        <w:t>c</w:t>
      </w:r>
      <w:r w:rsidR="008E37EC" w:rsidRPr="008E37EC">
        <w:rPr>
          <w:b/>
          <w:color w:val="FF0000"/>
        </w:rPr>
        <w:t xml:space="preserve">ommon </w:t>
      </w:r>
      <w:r w:rsidR="00D414C0">
        <w:rPr>
          <w:b/>
          <w:color w:val="FF0000"/>
        </w:rPr>
        <w:t>model</w:t>
      </w:r>
      <w:r w:rsidR="00364EFF">
        <w:rPr>
          <w:b/>
          <w:color w:val="FF0000"/>
        </w:rPr>
        <w:t>s</w:t>
      </w:r>
      <w:r w:rsidR="008E37EC">
        <w:rPr>
          <w:b/>
          <w:color w:val="FF0000"/>
        </w:rPr>
        <w:t>?</w:t>
      </w:r>
    </w:p>
    <w:p w:rsidR="00FC005B" w:rsidRDefault="008E37EC" w:rsidP="00D0171C">
      <w:pPr>
        <w:rPr>
          <w:color w:val="000000" w:themeColor="text1"/>
        </w:rPr>
      </w:pPr>
      <w:r>
        <w:rPr>
          <w:color w:val="000000" w:themeColor="text1"/>
        </w:rPr>
        <w:t>A common domain model</w:t>
      </w:r>
      <w:r w:rsidR="007D1C48">
        <w:rPr>
          <w:color w:val="000000" w:themeColor="text1"/>
        </w:rPr>
        <w:t xml:space="preserve"> </w:t>
      </w:r>
      <w:r w:rsidR="00455588">
        <w:rPr>
          <w:color w:val="000000" w:themeColor="text1"/>
        </w:rPr>
        <w:t xml:space="preserve">(also called a reference model, federated model) </w:t>
      </w:r>
      <w:r>
        <w:rPr>
          <w:color w:val="000000" w:themeColor="text1"/>
        </w:rPr>
        <w:t xml:space="preserve">is useful for aligning </w:t>
      </w:r>
      <w:r w:rsidR="004453C5">
        <w:rPr>
          <w:color w:val="000000" w:themeColor="text1"/>
        </w:rPr>
        <w:t>different domain models</w:t>
      </w:r>
      <w:r w:rsidR="000209F5">
        <w:rPr>
          <w:color w:val="000000" w:themeColor="text1"/>
        </w:rPr>
        <w:t xml:space="preserve">, </w:t>
      </w:r>
      <w:r w:rsidR="00455588">
        <w:rPr>
          <w:color w:val="000000" w:themeColor="text1"/>
        </w:rPr>
        <w:t>helping</w:t>
      </w:r>
      <w:r w:rsidR="000209F5">
        <w:rPr>
          <w:color w:val="000000" w:themeColor="text1"/>
        </w:rPr>
        <w:t xml:space="preserve"> people understand exactly how things relate to </w:t>
      </w:r>
      <w:r w:rsidR="006414A8">
        <w:rPr>
          <w:color w:val="000000" w:themeColor="text1"/>
        </w:rPr>
        <w:t>in other</w:t>
      </w:r>
      <w:r w:rsidR="00364EFF">
        <w:rPr>
          <w:color w:val="000000" w:themeColor="text1"/>
        </w:rPr>
        <w:t xml:space="preserve"> domain</w:t>
      </w:r>
      <w:r w:rsidR="006414A8">
        <w:rPr>
          <w:color w:val="000000" w:themeColor="text1"/>
        </w:rPr>
        <w:t xml:space="preserve"> models</w:t>
      </w:r>
      <w:r w:rsidR="00364EFF">
        <w:rPr>
          <w:color w:val="000000" w:themeColor="text1"/>
        </w:rPr>
        <w:t xml:space="preserve">. </w:t>
      </w:r>
      <w:proofErr w:type="gramStart"/>
      <w:r w:rsidR="007D1C48">
        <w:rPr>
          <w:color w:val="000000" w:themeColor="text1"/>
        </w:rPr>
        <w:t>A common information model, aka the common logical model (CLM), shows how different information models relate to each other.</w:t>
      </w:r>
      <w:proofErr w:type="gramEnd"/>
      <w:r w:rsidR="007D1C48">
        <w:rPr>
          <w:color w:val="000000" w:themeColor="text1"/>
        </w:rPr>
        <w:t xml:space="preserve"> </w:t>
      </w:r>
      <w:r w:rsidR="00FC005B">
        <w:rPr>
          <w:color w:val="000000" w:themeColor="text1"/>
        </w:rPr>
        <w:t>A common ontological model has similar value in relating concepts built can also be used by applications required to support reasoning across multiple domain models.</w:t>
      </w:r>
    </w:p>
    <w:p w:rsidR="00D414C0" w:rsidRDefault="00D414C0" w:rsidP="00D0171C">
      <w:pPr>
        <w:rPr>
          <w:b/>
          <w:color w:val="FF0000"/>
        </w:rPr>
      </w:pPr>
      <w:r w:rsidRPr="00D414C0">
        <w:rPr>
          <w:b/>
          <w:color w:val="FF0000"/>
        </w:rPr>
        <w:t xml:space="preserve">In what ways can a common logical model (CLM) be </w:t>
      </w:r>
      <w:r w:rsidR="00C235FF">
        <w:rPr>
          <w:b/>
          <w:color w:val="FF0000"/>
        </w:rPr>
        <w:t>“</w:t>
      </w:r>
      <w:r w:rsidRPr="00D414C0">
        <w:rPr>
          <w:b/>
          <w:color w:val="FF0000"/>
        </w:rPr>
        <w:t>common</w:t>
      </w:r>
      <w:r w:rsidR="00C235FF">
        <w:rPr>
          <w:b/>
          <w:color w:val="FF0000"/>
        </w:rPr>
        <w:t>”</w:t>
      </w:r>
      <w:r w:rsidRPr="00D414C0">
        <w:rPr>
          <w:b/>
          <w:color w:val="FF0000"/>
        </w:rPr>
        <w:t>?</w:t>
      </w:r>
    </w:p>
    <w:p w:rsidR="00D414C0" w:rsidRPr="00D414C0" w:rsidRDefault="00D414C0" w:rsidP="00D0171C">
      <w:proofErr w:type="gramStart"/>
      <w:r>
        <w:t xml:space="preserve">In </w:t>
      </w:r>
      <w:r w:rsidR="00C235FF">
        <w:t>three</w:t>
      </w:r>
      <w:r>
        <w:t xml:space="preserve"> ways.</w:t>
      </w:r>
      <w:proofErr w:type="gramEnd"/>
      <w:r>
        <w:t xml:space="preserve"> The CLM can be adopted for </w:t>
      </w:r>
      <w:r w:rsidRPr="00A2731E">
        <w:rPr>
          <w:b/>
          <w:i/>
          <w:color w:val="000000" w:themeColor="text1"/>
        </w:rPr>
        <w:t>data at rest</w:t>
      </w:r>
      <w:r>
        <w:rPr>
          <w:color w:val="000000" w:themeColor="text1"/>
        </w:rPr>
        <w:t xml:space="preserve">, adopted for </w:t>
      </w:r>
      <w:r w:rsidRPr="00D414C0">
        <w:rPr>
          <w:b/>
          <w:i/>
          <w:color w:val="000000" w:themeColor="text1"/>
        </w:rPr>
        <w:t>data in motion</w:t>
      </w:r>
      <w:r>
        <w:rPr>
          <w:color w:val="000000" w:themeColor="text1"/>
        </w:rPr>
        <w:t xml:space="preserve">, or both. </w:t>
      </w:r>
    </w:p>
    <w:p w:rsidR="00A249CF" w:rsidRPr="00A2731E" w:rsidRDefault="00A2731E" w:rsidP="00D0171C">
      <w:pPr>
        <w:rPr>
          <w:b/>
          <w:color w:val="FF0000"/>
        </w:rPr>
      </w:pPr>
      <w:r w:rsidRPr="00A2731E">
        <w:rPr>
          <w:b/>
          <w:color w:val="FF0000"/>
        </w:rPr>
        <w:t xml:space="preserve">Does </w:t>
      </w:r>
      <w:r w:rsidR="007D1C48">
        <w:rPr>
          <w:b/>
          <w:color w:val="FF0000"/>
        </w:rPr>
        <w:t>adopting</w:t>
      </w:r>
      <w:r w:rsidRPr="00A2731E">
        <w:rPr>
          <w:b/>
          <w:color w:val="FF0000"/>
        </w:rPr>
        <w:t xml:space="preserve"> a </w:t>
      </w:r>
      <w:r w:rsidR="007D1C48">
        <w:rPr>
          <w:b/>
          <w:color w:val="FF0000"/>
        </w:rPr>
        <w:t>CLM</w:t>
      </w:r>
      <w:r w:rsidRPr="00A2731E">
        <w:rPr>
          <w:b/>
          <w:color w:val="FF0000"/>
        </w:rPr>
        <w:t xml:space="preserve"> </w:t>
      </w:r>
      <w:r>
        <w:rPr>
          <w:b/>
          <w:color w:val="FF0000"/>
        </w:rPr>
        <w:t xml:space="preserve">make </w:t>
      </w:r>
      <w:r w:rsidRPr="00A2731E">
        <w:rPr>
          <w:b/>
          <w:color w:val="FF0000"/>
        </w:rPr>
        <w:t>data exchange</w:t>
      </w:r>
      <w:r>
        <w:rPr>
          <w:b/>
          <w:color w:val="FF0000"/>
        </w:rPr>
        <w:t xml:space="preserve"> easier</w:t>
      </w:r>
      <w:r w:rsidRPr="00A2731E">
        <w:rPr>
          <w:b/>
          <w:color w:val="FF0000"/>
        </w:rPr>
        <w:t>?</w:t>
      </w:r>
    </w:p>
    <w:p w:rsidR="00957D1E" w:rsidRDefault="00A2731E" w:rsidP="00A2731E">
      <w:pPr>
        <w:rPr>
          <w:color w:val="000000" w:themeColor="text1"/>
        </w:rPr>
      </w:pPr>
      <w:r>
        <w:rPr>
          <w:color w:val="000000" w:themeColor="text1"/>
        </w:rPr>
        <w:t xml:space="preserve">If the </w:t>
      </w:r>
      <w:r w:rsidR="007D1C48">
        <w:rPr>
          <w:color w:val="000000" w:themeColor="text1"/>
        </w:rPr>
        <w:t>CLM</w:t>
      </w:r>
      <w:r>
        <w:rPr>
          <w:color w:val="000000" w:themeColor="text1"/>
        </w:rPr>
        <w:t xml:space="preserve"> </w:t>
      </w:r>
      <w:r w:rsidR="00957D1E">
        <w:rPr>
          <w:color w:val="000000" w:themeColor="text1"/>
        </w:rPr>
        <w:t>is used to align</w:t>
      </w:r>
      <w:r>
        <w:rPr>
          <w:color w:val="000000" w:themeColor="text1"/>
        </w:rPr>
        <w:t xml:space="preserve"> </w:t>
      </w:r>
      <w:r w:rsidRPr="00A2731E">
        <w:rPr>
          <w:b/>
          <w:i/>
          <w:color w:val="000000" w:themeColor="text1"/>
        </w:rPr>
        <w:t>data at rest</w:t>
      </w:r>
      <w:r>
        <w:rPr>
          <w:color w:val="000000" w:themeColor="text1"/>
        </w:rPr>
        <w:t>, the</w:t>
      </w:r>
      <w:r w:rsidR="00784DED">
        <w:rPr>
          <w:color w:val="000000" w:themeColor="text1"/>
        </w:rPr>
        <w:t xml:space="preserve">n </w:t>
      </w:r>
      <w:r w:rsidR="007D1C48">
        <w:rPr>
          <w:color w:val="000000" w:themeColor="text1"/>
        </w:rPr>
        <w:t>data exchange can be greatly simplified. I</w:t>
      </w:r>
      <w:r w:rsidR="00784DED">
        <w:rPr>
          <w:color w:val="000000" w:themeColor="text1"/>
        </w:rPr>
        <w:t>f the CLM is only</w:t>
      </w:r>
      <w:r>
        <w:rPr>
          <w:color w:val="000000" w:themeColor="text1"/>
        </w:rPr>
        <w:t xml:space="preserve"> used to</w:t>
      </w:r>
      <w:r w:rsidR="00D414C0">
        <w:rPr>
          <w:color w:val="000000" w:themeColor="text1"/>
        </w:rPr>
        <w:t xml:space="preserve"> define</w:t>
      </w:r>
      <w:r>
        <w:rPr>
          <w:color w:val="000000" w:themeColor="text1"/>
        </w:rPr>
        <w:t xml:space="preserve"> a </w:t>
      </w:r>
      <w:r w:rsidRPr="00957D1E">
        <w:rPr>
          <w:b/>
          <w:i/>
          <w:color w:val="000000" w:themeColor="text1"/>
        </w:rPr>
        <w:t>common exchange standard</w:t>
      </w:r>
      <w:r>
        <w:rPr>
          <w:color w:val="000000" w:themeColor="text1"/>
        </w:rPr>
        <w:t xml:space="preserve">, </w:t>
      </w:r>
      <w:r w:rsidR="00364EFF">
        <w:rPr>
          <w:color w:val="000000" w:themeColor="text1"/>
        </w:rPr>
        <w:t>but data at rest</w:t>
      </w:r>
      <w:r w:rsidR="00137FEF">
        <w:rPr>
          <w:color w:val="000000" w:themeColor="text1"/>
        </w:rPr>
        <w:t xml:space="preserve"> (local data store)</w:t>
      </w:r>
      <w:r w:rsidR="00364EFF">
        <w:rPr>
          <w:color w:val="000000" w:themeColor="text1"/>
        </w:rPr>
        <w:t xml:space="preserve"> is not aligned, </w:t>
      </w:r>
      <w:r w:rsidR="00957D1E">
        <w:rPr>
          <w:color w:val="000000" w:themeColor="text1"/>
        </w:rPr>
        <w:t>it doesn’t necessarily help. The</w:t>
      </w:r>
      <w:r w:rsidR="007D1C48">
        <w:rPr>
          <w:color w:val="000000" w:themeColor="text1"/>
        </w:rPr>
        <w:t xml:space="preserve"> difficulty</w:t>
      </w:r>
      <w:r w:rsidR="00957D1E">
        <w:rPr>
          <w:color w:val="000000" w:themeColor="text1"/>
        </w:rPr>
        <w:t xml:space="preserve"> of exchanging information (and being able to use the information that is exchanged)</w:t>
      </w:r>
      <w:r w:rsidR="007D1C48">
        <w:rPr>
          <w:color w:val="000000" w:themeColor="text1"/>
        </w:rPr>
        <w:t xml:space="preserve"> is</w:t>
      </w:r>
      <w:r w:rsidR="00137FEF">
        <w:rPr>
          <w:color w:val="000000" w:themeColor="text1"/>
        </w:rPr>
        <w:t xml:space="preserve"> </w:t>
      </w:r>
      <w:r w:rsidR="00957D1E">
        <w:rPr>
          <w:color w:val="000000" w:themeColor="text1"/>
        </w:rPr>
        <w:t xml:space="preserve">primarily </w:t>
      </w:r>
      <w:r w:rsidR="00137FEF">
        <w:rPr>
          <w:color w:val="000000" w:themeColor="text1"/>
        </w:rPr>
        <w:t xml:space="preserve">controlled by the </w:t>
      </w:r>
      <w:r w:rsidR="007D1C48">
        <w:rPr>
          <w:color w:val="000000" w:themeColor="text1"/>
        </w:rPr>
        <w:t>semantic distance between the at-rest</w:t>
      </w:r>
      <w:r w:rsidR="00957D1E">
        <w:rPr>
          <w:color w:val="000000" w:themeColor="text1"/>
        </w:rPr>
        <w:t xml:space="preserve"> data</w:t>
      </w:r>
      <w:r w:rsidR="007D1C48">
        <w:rPr>
          <w:color w:val="000000" w:themeColor="text1"/>
        </w:rPr>
        <w:t xml:space="preserve"> representations. </w:t>
      </w:r>
    </w:p>
    <w:p w:rsidR="00957D1E" w:rsidRPr="00957D1E" w:rsidRDefault="00957D1E" w:rsidP="00A2731E">
      <w:pPr>
        <w:rPr>
          <w:b/>
          <w:color w:val="000000" w:themeColor="text1"/>
        </w:rPr>
      </w:pPr>
      <w:r w:rsidRPr="00957D1E">
        <w:rPr>
          <w:b/>
          <w:color w:val="FF0000"/>
        </w:rPr>
        <w:t xml:space="preserve">But </w:t>
      </w:r>
      <w:r w:rsidR="008B66D9">
        <w:rPr>
          <w:b/>
          <w:color w:val="FF0000"/>
        </w:rPr>
        <w:t>isn’t a</w:t>
      </w:r>
      <w:r w:rsidRPr="00957D1E">
        <w:rPr>
          <w:b/>
          <w:color w:val="FF0000"/>
        </w:rPr>
        <w:t xml:space="preserve"> common exchange standard </w:t>
      </w:r>
      <w:r w:rsidR="008B66D9">
        <w:rPr>
          <w:b/>
          <w:color w:val="FF0000"/>
        </w:rPr>
        <w:t>good thing, in and of itself</w:t>
      </w:r>
      <w:r w:rsidRPr="00957D1E">
        <w:rPr>
          <w:b/>
          <w:color w:val="FF0000"/>
        </w:rPr>
        <w:t>?</w:t>
      </w:r>
    </w:p>
    <w:p w:rsidR="008B66D9" w:rsidRDefault="008B66D9" w:rsidP="00A2731E">
      <w:pPr>
        <w:rPr>
          <w:color w:val="000000" w:themeColor="text1"/>
        </w:rPr>
      </w:pPr>
      <w:r>
        <w:rPr>
          <w:color w:val="000000" w:themeColor="text1"/>
        </w:rPr>
        <w:t xml:space="preserve">The theory is that having a common exchange standard reduces the overall mapping effort from </w:t>
      </w:r>
      <w:proofErr w:type="gramStart"/>
      <w:r>
        <w:rPr>
          <w:color w:val="000000" w:themeColor="text1"/>
        </w:rPr>
        <w:t>O(</w:t>
      </w:r>
      <w:proofErr w:type="gramEnd"/>
      <w:r>
        <w:rPr>
          <w:color w:val="000000" w:themeColor="text1"/>
        </w:rPr>
        <w:t>N</w:t>
      </w:r>
      <w:r w:rsidRPr="008B66D9">
        <w:rPr>
          <w:color w:val="000000" w:themeColor="text1"/>
          <w:vertAlign w:val="superscript"/>
        </w:rPr>
        <w:t>2</w:t>
      </w:r>
      <w:r>
        <w:rPr>
          <w:color w:val="000000" w:themeColor="text1"/>
        </w:rPr>
        <w:t xml:space="preserve">) to O(N). But in practice, it is more complicated. </w:t>
      </w:r>
    </w:p>
    <w:p w:rsidR="00957D1E" w:rsidRPr="008B66D9" w:rsidRDefault="008B66D9" w:rsidP="00A2731E">
      <w:pPr>
        <w:rPr>
          <w:b/>
          <w:color w:val="FF0000"/>
        </w:rPr>
      </w:pPr>
      <w:r w:rsidRPr="008B66D9">
        <w:rPr>
          <w:b/>
          <w:color w:val="FF0000"/>
        </w:rPr>
        <w:t xml:space="preserve">How so? </w:t>
      </w:r>
    </w:p>
    <w:p w:rsidR="008B66D9" w:rsidRDefault="008B66D9" w:rsidP="008B66D9">
      <w:pPr>
        <w:rPr>
          <w:color w:val="000000" w:themeColor="text1"/>
        </w:rPr>
      </w:pPr>
      <w:r>
        <w:rPr>
          <w:color w:val="000000" w:themeColor="text1"/>
        </w:rPr>
        <w:t xml:space="preserve">It all depends on the </w:t>
      </w:r>
      <w:r w:rsidRPr="0033485A">
        <w:rPr>
          <w:b/>
          <w:i/>
          <w:color w:val="000000" w:themeColor="text1"/>
        </w:rPr>
        <w:t>permissiveness</w:t>
      </w:r>
      <w:r>
        <w:rPr>
          <w:color w:val="000000" w:themeColor="text1"/>
        </w:rPr>
        <w:t xml:space="preserve"> of the exchange standard. A standard can be more or less flexible in terms of how it represents data. For example, it might permit multiple vocabularies (e.g., allowing diagnosis codes from SNOMED, ICD-9, or ICD-10), or it might be restrictive, and only allow one. In general, the more the flexible standard, the harder it is for the information receiver to use the information that is exchanged. A system based on C32 (an earlier version of C-CDA) may require a special adaptor for each exchange partner</w:t>
      </w:r>
      <w:r w:rsidR="00DC0A3B">
        <w:rPr>
          <w:color w:val="000000" w:themeColor="text1"/>
        </w:rPr>
        <w:t xml:space="preserve">. Then we are back to </w:t>
      </w:r>
      <w:r>
        <w:rPr>
          <w:color w:val="000000" w:themeColor="text1"/>
        </w:rPr>
        <w:t>N</w:t>
      </w:r>
      <w:r w:rsidRPr="008B66D9">
        <w:rPr>
          <w:color w:val="000000" w:themeColor="text1"/>
          <w:vertAlign w:val="superscript"/>
        </w:rPr>
        <w:t>2</w:t>
      </w:r>
      <w:r w:rsidR="00DC0A3B">
        <w:rPr>
          <w:color w:val="000000" w:themeColor="text1"/>
        </w:rPr>
        <w:t>, rather than N</w:t>
      </w:r>
      <w:r>
        <w:rPr>
          <w:color w:val="000000" w:themeColor="text1"/>
        </w:rPr>
        <w:t>.</w:t>
      </w:r>
    </w:p>
    <w:p w:rsidR="008B66D9" w:rsidRPr="00DC0A3B" w:rsidRDefault="00DC0A3B" w:rsidP="00A2731E">
      <w:pPr>
        <w:rPr>
          <w:b/>
          <w:color w:val="FF0000"/>
        </w:rPr>
      </w:pPr>
      <w:r w:rsidRPr="00DC0A3B">
        <w:rPr>
          <w:b/>
          <w:color w:val="FF0000"/>
        </w:rPr>
        <w:t>Are current standards that permissive?</w:t>
      </w:r>
    </w:p>
    <w:p w:rsidR="007D1C48" w:rsidRDefault="00137FEF" w:rsidP="00A2731E">
      <w:pPr>
        <w:rPr>
          <w:color w:val="000000" w:themeColor="text1"/>
        </w:rPr>
      </w:pPr>
      <w:r w:rsidRPr="00137FEF">
        <w:rPr>
          <w:color w:val="000000" w:themeColor="text1"/>
        </w:rPr>
        <w:t xml:space="preserve">The lack of consistency in healthcare data has led to exchange standards that are purposefully left extremely flexible in how they represent data.  </w:t>
      </w:r>
      <w:r w:rsidR="00DC0A3B">
        <w:rPr>
          <w:color w:val="000000" w:themeColor="text1"/>
        </w:rPr>
        <w:t xml:space="preserve">Even very recent standards like FHIR </w:t>
      </w:r>
      <w:r w:rsidRPr="00137FEF">
        <w:rPr>
          <w:color w:val="000000" w:themeColor="text1"/>
        </w:rPr>
        <w:t xml:space="preserve">have made the decision to remain </w:t>
      </w:r>
      <w:r w:rsidR="00DC0A3B">
        <w:rPr>
          <w:color w:val="000000" w:themeColor="text1"/>
        </w:rPr>
        <w:t xml:space="preserve">very </w:t>
      </w:r>
      <w:r w:rsidRPr="00137FEF">
        <w:rPr>
          <w:color w:val="000000" w:themeColor="text1"/>
        </w:rPr>
        <w:t xml:space="preserve">flexible because the </w:t>
      </w:r>
      <w:r w:rsidR="00DC0A3B">
        <w:rPr>
          <w:color w:val="000000" w:themeColor="text1"/>
        </w:rPr>
        <w:t xml:space="preserve">inconsistency of healthcare data. </w:t>
      </w:r>
      <w:r w:rsidR="008B66D9">
        <w:rPr>
          <w:color w:val="000000" w:themeColor="text1"/>
        </w:rPr>
        <w:t>A</w:t>
      </w:r>
      <w:r w:rsidRPr="00137FEF">
        <w:rPr>
          <w:color w:val="000000" w:themeColor="text1"/>
        </w:rPr>
        <w:t xml:space="preserve">chieving consistency in healthcare data </w:t>
      </w:r>
      <w:r w:rsidR="008B66D9">
        <w:rPr>
          <w:color w:val="000000" w:themeColor="text1"/>
        </w:rPr>
        <w:t>is</w:t>
      </w:r>
      <w:r w:rsidRPr="00137FEF">
        <w:rPr>
          <w:color w:val="000000" w:themeColor="text1"/>
        </w:rPr>
        <w:t xml:space="preserve"> an extremely difficult problem to solve.</w:t>
      </w:r>
      <w:r w:rsidR="00DC0A3B">
        <w:rPr>
          <w:color w:val="000000" w:themeColor="text1"/>
        </w:rPr>
        <w:t xml:space="preserve"> </w:t>
      </w:r>
    </w:p>
    <w:p w:rsidR="00137FEF" w:rsidRPr="00137FEF" w:rsidRDefault="00137FEF" w:rsidP="00A2731E">
      <w:pPr>
        <w:rPr>
          <w:b/>
          <w:color w:val="FF0000"/>
        </w:rPr>
      </w:pPr>
      <w:r w:rsidRPr="00137FEF">
        <w:rPr>
          <w:b/>
          <w:color w:val="FF0000"/>
        </w:rPr>
        <w:t xml:space="preserve">How did this </w:t>
      </w:r>
      <w:r w:rsidR="00DC0A3B">
        <w:rPr>
          <w:b/>
          <w:color w:val="FF0000"/>
        </w:rPr>
        <w:t>come about</w:t>
      </w:r>
      <w:r w:rsidRPr="00137FEF">
        <w:rPr>
          <w:b/>
          <w:color w:val="FF0000"/>
        </w:rPr>
        <w:t>?</w:t>
      </w:r>
    </w:p>
    <w:p w:rsidR="00137FEF" w:rsidRDefault="00137FEF" w:rsidP="00A2731E">
      <w:pPr>
        <w:rPr>
          <w:color w:val="000000" w:themeColor="text1"/>
        </w:rPr>
      </w:pPr>
      <w:r w:rsidRPr="00137FEF">
        <w:rPr>
          <w:color w:val="000000" w:themeColor="text1"/>
        </w:rPr>
        <w:t>Healthcare was a paper based system long after most other domains had embraced modern IT infrastructure and electronic data capture. It is only in the last 10 years that electronic specificat</w:t>
      </w:r>
      <w:r w:rsidR="00957D1E">
        <w:rPr>
          <w:color w:val="000000" w:themeColor="text1"/>
        </w:rPr>
        <w:t xml:space="preserve">ion of data has been the norm. </w:t>
      </w:r>
      <w:r w:rsidRPr="00137FEF">
        <w:rPr>
          <w:color w:val="000000" w:themeColor="text1"/>
        </w:rPr>
        <w:t xml:space="preserve">While the adoption of this IT infrastructure is an excellent step forward, the opportunity for an evolutionary process towards data consensus was not possible. Where other industries shifted to electronic records and data gradually, healthcare very rapidly made the shift with many provider organizations and vendors developing capabilities in parallel. This rapid progress </w:t>
      </w:r>
      <w:r w:rsidR="00DC0A3B">
        <w:rPr>
          <w:color w:val="000000" w:themeColor="text1"/>
        </w:rPr>
        <w:t xml:space="preserve">locked in </w:t>
      </w:r>
      <w:r w:rsidR="00A813B9">
        <w:rPr>
          <w:color w:val="000000" w:themeColor="text1"/>
        </w:rPr>
        <w:t>many</w:t>
      </w:r>
      <w:r w:rsidR="00DC0A3B">
        <w:rPr>
          <w:color w:val="000000" w:themeColor="text1"/>
        </w:rPr>
        <w:t xml:space="preserve"> in</w:t>
      </w:r>
      <w:r w:rsidRPr="00137FEF">
        <w:rPr>
          <w:color w:val="000000" w:themeColor="text1"/>
        </w:rPr>
        <w:t>consistenc</w:t>
      </w:r>
      <w:r w:rsidR="00A813B9">
        <w:rPr>
          <w:color w:val="000000" w:themeColor="text1"/>
        </w:rPr>
        <w:t>ies</w:t>
      </w:r>
      <w:r w:rsidRPr="00137FEF">
        <w:rPr>
          <w:color w:val="000000" w:themeColor="text1"/>
        </w:rPr>
        <w:t xml:space="preserve"> in data capture and representation. As a result, exchange standards are not enough to solve the </w:t>
      </w:r>
      <w:r w:rsidR="00DC0A3B">
        <w:rPr>
          <w:color w:val="000000" w:themeColor="text1"/>
        </w:rPr>
        <w:t xml:space="preserve">interoperability </w:t>
      </w:r>
      <w:r w:rsidRPr="00137FEF">
        <w:rPr>
          <w:color w:val="000000" w:themeColor="text1"/>
        </w:rPr>
        <w:t>problem in healthcare.</w:t>
      </w:r>
      <w:r w:rsidR="00DC0A3B">
        <w:rPr>
          <w:color w:val="000000" w:themeColor="text1"/>
        </w:rPr>
        <w:t xml:space="preserve"> We have to look at the data itself. </w:t>
      </w:r>
    </w:p>
    <w:p w:rsidR="00784DED" w:rsidRPr="00356B82" w:rsidRDefault="00356B82">
      <w:pPr>
        <w:rPr>
          <w:b/>
          <w:color w:val="FF0000"/>
        </w:rPr>
      </w:pPr>
      <w:r w:rsidRPr="00356B82">
        <w:rPr>
          <w:b/>
          <w:color w:val="FF0000"/>
        </w:rPr>
        <w:t xml:space="preserve">Does </w:t>
      </w:r>
      <w:r w:rsidR="00DC0A3B">
        <w:rPr>
          <w:b/>
          <w:color w:val="FF0000"/>
        </w:rPr>
        <w:t>“</w:t>
      </w:r>
      <w:r w:rsidRPr="00356B82">
        <w:rPr>
          <w:b/>
          <w:color w:val="FF0000"/>
        </w:rPr>
        <w:t>permissiveness</w:t>
      </w:r>
      <w:r w:rsidR="00DC0A3B">
        <w:rPr>
          <w:b/>
          <w:color w:val="FF0000"/>
        </w:rPr>
        <w:t>”</w:t>
      </w:r>
      <w:r w:rsidRPr="00356B82">
        <w:rPr>
          <w:b/>
          <w:color w:val="FF0000"/>
        </w:rPr>
        <w:t xml:space="preserve"> have something to do with FHIR Profiling?</w:t>
      </w:r>
    </w:p>
    <w:p w:rsidR="00356B82" w:rsidRDefault="00DC0A3B">
      <w:r>
        <w:rPr>
          <w:color w:val="000000" w:themeColor="text1"/>
        </w:rPr>
        <w:t xml:space="preserve">It does. </w:t>
      </w:r>
      <w:r w:rsidRPr="00DC0A3B">
        <w:rPr>
          <w:color w:val="000000" w:themeColor="text1"/>
        </w:rPr>
        <w:t xml:space="preserve">FHIR is not a perfect solution for solving the exchange problem, but it provides a far more solid foundation then previous standards. </w:t>
      </w:r>
      <w:r w:rsidR="00356B82">
        <w:t>FHIR out of the box, without profiles, it is very easy to use</w:t>
      </w:r>
      <w:r w:rsidR="00364EFF">
        <w:t xml:space="preserve"> because it is very flexible. But t</w:t>
      </w:r>
      <w:r w:rsidR="00356B82">
        <w:t>here is a high risk of an information receiver not being able to interpret information they</w:t>
      </w:r>
      <w:r>
        <w:t xml:space="preserve">. </w:t>
      </w:r>
      <w:r w:rsidR="00356B82">
        <w:t xml:space="preserve">If we </w:t>
      </w:r>
      <w:r>
        <w:t>create</w:t>
      </w:r>
      <w:r w:rsidR="00356B82">
        <w:t xml:space="preserve"> specific</w:t>
      </w:r>
      <w:r w:rsidR="004312BC">
        <w:t>, constrained</w:t>
      </w:r>
      <w:r>
        <w:t xml:space="preserve"> profiles, </w:t>
      </w:r>
      <w:r w:rsidR="00356B82">
        <w:t xml:space="preserve">there are many more rules to comply to, but </w:t>
      </w:r>
      <w:r>
        <w:t xml:space="preserve">if senders and receivers are </w:t>
      </w:r>
      <w:r w:rsidR="00356B82">
        <w:t xml:space="preserve">able to comply </w:t>
      </w:r>
      <w:proofErr w:type="gramStart"/>
      <w:r w:rsidR="00356B82">
        <w:t>to</w:t>
      </w:r>
      <w:proofErr w:type="gramEnd"/>
      <w:r w:rsidR="00356B82">
        <w:t xml:space="preserve"> those rules, </w:t>
      </w:r>
      <w:r>
        <w:t xml:space="preserve">the increased predictability </w:t>
      </w:r>
      <w:r w:rsidR="00356B82">
        <w:t>it easier for the receiver to pro</w:t>
      </w:r>
      <w:r>
        <w:t xml:space="preserve">cess the information exchanged. </w:t>
      </w:r>
    </w:p>
    <w:p w:rsidR="00DC0A3B" w:rsidRPr="00DC0A3B" w:rsidRDefault="00DC0A3B">
      <w:pPr>
        <w:rPr>
          <w:b/>
          <w:color w:val="FF0000"/>
        </w:rPr>
      </w:pPr>
      <w:r w:rsidRPr="00DC0A3B">
        <w:rPr>
          <w:b/>
          <w:color w:val="FF0000"/>
        </w:rPr>
        <w:t>That sounds like a classic tradeoff</w:t>
      </w:r>
    </w:p>
    <w:p w:rsidR="009A3334" w:rsidRDefault="00A813B9">
      <w:proofErr w:type="gramStart"/>
      <w:r>
        <w:t>A</w:t>
      </w:r>
      <w:r w:rsidR="00DC0A3B">
        <w:t>bsolutely.</w:t>
      </w:r>
      <w:proofErr w:type="gramEnd"/>
      <w:r w:rsidR="00DC0A3B">
        <w:t xml:space="preserve"> A tight exchange standard makes it harder to join the exchange, but the result is a greater level of semantic interoperability. A looser, more permissive exchange standard makes it easier to join the exchange, but lowers semantic interoperability. </w:t>
      </w:r>
    </w:p>
    <w:p w:rsidR="00C93B07" w:rsidRPr="00C93B07" w:rsidRDefault="00C93B07">
      <w:pPr>
        <w:rPr>
          <w:b/>
          <w:color w:val="FF0000"/>
        </w:rPr>
      </w:pPr>
      <w:r>
        <w:rPr>
          <w:b/>
          <w:color w:val="FF0000"/>
        </w:rPr>
        <w:t>W</w:t>
      </w:r>
      <w:r w:rsidRPr="00C93B07">
        <w:rPr>
          <w:b/>
          <w:color w:val="FF0000"/>
        </w:rPr>
        <w:t>here is the optimal point on that tradeoff?</w:t>
      </w:r>
    </w:p>
    <w:p w:rsidR="00DC0A3B" w:rsidRDefault="00C93B07">
      <w:r>
        <w:t xml:space="preserve">No one really knows. But the only way to fundamentally break the tradeoff is to move towards standardizing healthcare data across providers. </w:t>
      </w:r>
      <w:r w:rsidRPr="00C93B07">
        <w:t>There will be significant resistance and building consensus will</w:t>
      </w:r>
      <w:r>
        <w:t xml:space="preserve"> be an enormous challenge. If this</w:t>
      </w:r>
      <w:r w:rsidRPr="00C93B07">
        <w:t xml:space="preserve"> were easy to solve</w:t>
      </w:r>
      <w:r>
        <w:t xml:space="preserve">, we wouldn’t have the </w:t>
      </w:r>
      <w:r w:rsidRPr="00C93B07">
        <w:t xml:space="preserve">massive problem </w:t>
      </w:r>
      <w:r>
        <w:t>we have today</w:t>
      </w:r>
      <w:r w:rsidRPr="00C93B07">
        <w:t xml:space="preserve">. However, if we can provide a target and start working towards achieving </w:t>
      </w:r>
      <w:r w:rsidR="00A813B9">
        <w:t xml:space="preserve">fundamental data </w:t>
      </w:r>
      <w:r w:rsidRPr="00C93B07">
        <w:t>consistency, the benefits will be significant</w:t>
      </w:r>
      <w:r w:rsidR="00A813B9">
        <w:t>.</w:t>
      </w:r>
    </w:p>
    <w:p w:rsidR="00C93B07" w:rsidRDefault="00C93B07"/>
    <w:p w:rsidR="00C93B07" w:rsidRDefault="00C93B07"/>
    <w:p w:rsidR="009A3334" w:rsidRPr="009A3334" w:rsidRDefault="009A3334">
      <w:pPr>
        <w:rPr>
          <w:b/>
          <w:color w:val="FF0000"/>
        </w:rPr>
      </w:pPr>
      <w:r w:rsidRPr="009A3334">
        <w:rPr>
          <w:b/>
          <w:color w:val="FF0000"/>
        </w:rPr>
        <w:t>Other terms of possible interest:</w:t>
      </w:r>
    </w:p>
    <w:p w:rsidR="009A3334" w:rsidRDefault="009A3334" w:rsidP="009A3334">
      <w:r w:rsidRPr="00364EFF">
        <w:rPr>
          <w:b/>
        </w:rPr>
        <w:t>Abstraction</w:t>
      </w:r>
      <w:r>
        <w:t>: a reduction in information content for the purpose of emphasizing what’s most important and removing the details that matter less.</w:t>
      </w:r>
    </w:p>
    <w:p w:rsidR="009A3334" w:rsidRDefault="009A3334">
      <w:proofErr w:type="gramStart"/>
      <w:r w:rsidRPr="00364EFF">
        <w:rPr>
          <w:b/>
        </w:rPr>
        <w:t>Encoding</w:t>
      </w:r>
      <w:r>
        <w:t>: A representation, or a change in representation, without a difference in information content.</w:t>
      </w:r>
      <w:proofErr w:type="gramEnd"/>
      <w:r>
        <w:t xml:space="preserve"> (For example, a number can be represented in base 10 or base 2, but it is still the same number). </w:t>
      </w:r>
    </w:p>
    <w:p w:rsidR="009A3334" w:rsidRDefault="009A3334">
      <w:r w:rsidRPr="00364EFF">
        <w:rPr>
          <w:b/>
        </w:rPr>
        <w:t>Vagueness</w:t>
      </w:r>
      <w:r>
        <w:t>: N</w:t>
      </w:r>
      <w:r w:rsidRPr="009A3334">
        <w:t>ot clearly or explicitly stated or expressed</w:t>
      </w:r>
      <w:r>
        <w:t>; not clear in meaning</w:t>
      </w:r>
    </w:p>
    <w:p w:rsidR="009A3334" w:rsidRDefault="009A3334">
      <w:r w:rsidRPr="00364EFF">
        <w:rPr>
          <w:b/>
        </w:rPr>
        <w:t>Granularity</w:t>
      </w:r>
      <w:r>
        <w:t xml:space="preserve">: The level of detail that can be represented in an information model; the degree to which different concepts are distinguishable. </w:t>
      </w:r>
      <w:r w:rsidR="003F56DE">
        <w:t xml:space="preserve">High granularity means fine details are visible; low granularity hides these details. </w:t>
      </w:r>
      <w:r>
        <w:t xml:space="preserve">For example, to describe a geographic area, zip+4 is more granular than a 5-digit </w:t>
      </w:r>
      <w:proofErr w:type="spellStart"/>
      <w:r>
        <w:t>zipcode</w:t>
      </w:r>
      <w:proofErr w:type="spellEnd"/>
      <w:r>
        <w:t>.</w:t>
      </w:r>
    </w:p>
    <w:p w:rsidR="009A3334" w:rsidRPr="009A3334" w:rsidRDefault="009A3334">
      <w:pPr>
        <w:rPr>
          <w:b/>
        </w:rPr>
      </w:pPr>
      <w:r w:rsidRPr="00364EFF">
        <w:rPr>
          <w:b/>
        </w:rPr>
        <w:t>Approximation</w:t>
      </w:r>
      <w:r>
        <w:t xml:space="preserve">: </w:t>
      </w:r>
      <w:r w:rsidR="003F56DE" w:rsidRPr="003F56DE">
        <w:t>value or quantity that is nearly but not exactly correct.</w:t>
      </w:r>
      <w:r w:rsidR="003F56DE">
        <w:t xml:space="preserve"> In terms of semantics, a term that is close but does not exactly capture what is meant.</w:t>
      </w:r>
    </w:p>
    <w:p w:rsidR="00CD3F43" w:rsidRDefault="00CD3F43">
      <w:pPr>
        <w:rPr>
          <w:rFonts w:asciiTheme="majorHAnsi" w:eastAsiaTheme="majorEastAsia" w:hAnsiTheme="majorHAnsi" w:cstheme="majorBidi"/>
          <w:color w:val="2E74B5" w:themeColor="accent1" w:themeShade="BF"/>
          <w:sz w:val="26"/>
          <w:szCs w:val="26"/>
        </w:rPr>
      </w:pPr>
      <w:r>
        <w:br w:type="page"/>
      </w:r>
    </w:p>
    <w:p w:rsidR="00CD3F43" w:rsidRDefault="00CD3F43" w:rsidP="00CD3F43">
      <w:pPr>
        <w:pStyle w:val="Heading2"/>
      </w:pPr>
      <w:r>
        <w:t xml:space="preserve">Interoperability Levels: </w:t>
      </w:r>
    </w:p>
    <w:p w:rsidR="00CD3F43" w:rsidRDefault="00CD3F43">
      <w:r>
        <w:t>HIMSS, HL7, ISO and other organizations have defined different levels of interoperability. This table is an attempt to align</w:t>
      </w:r>
      <w:r w:rsidR="00364EFF">
        <w:t xml:space="preserve"> a few of</w:t>
      </w:r>
      <w:r>
        <w:t xml:space="preserve"> those definitions. </w:t>
      </w:r>
    </w:p>
    <w:tbl>
      <w:tblPr>
        <w:tblW w:w="9350" w:type="dxa"/>
        <w:tblCellMar>
          <w:left w:w="0" w:type="dxa"/>
          <w:right w:w="0" w:type="dxa"/>
        </w:tblCellMar>
        <w:tblLook w:val="0420" w:firstRow="1" w:lastRow="0" w:firstColumn="0" w:lastColumn="0" w:noHBand="0" w:noVBand="1"/>
      </w:tblPr>
      <w:tblGrid>
        <w:gridCol w:w="501"/>
        <w:gridCol w:w="1241"/>
        <w:gridCol w:w="1129"/>
        <w:gridCol w:w="1535"/>
        <w:gridCol w:w="1156"/>
        <w:gridCol w:w="3788"/>
      </w:tblGrid>
      <w:tr w:rsidR="00CD3F43" w:rsidRPr="00EA5ACD" w:rsidTr="00CD3F43">
        <w:trPr>
          <w:trHeight w:val="268"/>
        </w:trPr>
        <w:tc>
          <w:tcPr>
            <w:tcW w:w="501" w:type="dxa"/>
            <w:tcBorders>
              <w:top w:val="single" w:sz="8" w:space="0" w:color="00B3DC"/>
              <w:left w:val="single" w:sz="8" w:space="0" w:color="00B3DC"/>
              <w:bottom w:val="single" w:sz="8" w:space="0" w:color="000000"/>
              <w:right w:val="nil"/>
            </w:tcBorders>
            <w:shd w:val="clear" w:color="auto" w:fill="00B3DC"/>
            <w:tcMar>
              <w:top w:w="72" w:type="dxa"/>
              <w:left w:w="144" w:type="dxa"/>
              <w:bottom w:w="72" w:type="dxa"/>
              <w:right w:w="144" w:type="dxa"/>
            </w:tcMar>
            <w:hideMark/>
          </w:tcPr>
          <w:p w:rsidR="00CD3F43" w:rsidRPr="00D65215" w:rsidRDefault="00CD3F43" w:rsidP="00D65215">
            <w:pPr>
              <w:spacing w:after="0"/>
              <w:rPr>
                <w:rFonts w:ascii="Times New Roman" w:hAnsi="Times New Roman"/>
                <w:sz w:val="28"/>
                <w:szCs w:val="24"/>
              </w:rPr>
            </w:pPr>
          </w:p>
        </w:tc>
        <w:tc>
          <w:tcPr>
            <w:tcW w:w="1241" w:type="dxa"/>
            <w:tcBorders>
              <w:top w:val="single" w:sz="8" w:space="0" w:color="00B3DC"/>
              <w:left w:val="nil"/>
              <w:bottom w:val="single" w:sz="8" w:space="0" w:color="000000"/>
              <w:right w:val="nil"/>
            </w:tcBorders>
            <w:shd w:val="clear" w:color="auto" w:fill="00B3DC"/>
            <w:tcMar>
              <w:top w:w="72" w:type="dxa"/>
              <w:left w:w="144" w:type="dxa"/>
              <w:bottom w:w="72" w:type="dxa"/>
              <w:right w:w="144" w:type="dxa"/>
            </w:tcMar>
            <w:vAlign w:val="center"/>
            <w:hideMark/>
          </w:tcPr>
          <w:p w:rsidR="00CD3F43" w:rsidRPr="00D65215" w:rsidRDefault="00CD3F43" w:rsidP="00D65215">
            <w:pPr>
              <w:spacing w:after="0"/>
              <w:rPr>
                <w:rFonts w:cs="Arial"/>
                <w:sz w:val="28"/>
                <w:szCs w:val="36"/>
              </w:rPr>
            </w:pPr>
            <w:r w:rsidRPr="00D65215">
              <w:rPr>
                <w:rFonts w:ascii="Calibri" w:hAnsi="Calibri" w:cs="Arial"/>
                <w:b/>
                <w:bCs/>
                <w:color w:val="FFFFFF" w:themeColor="light1"/>
                <w:kern w:val="24"/>
                <w:sz w:val="28"/>
                <w:szCs w:val="40"/>
              </w:rPr>
              <w:t>HIMSS</w:t>
            </w:r>
          </w:p>
        </w:tc>
        <w:tc>
          <w:tcPr>
            <w:tcW w:w="1129" w:type="dxa"/>
            <w:tcBorders>
              <w:top w:val="single" w:sz="8" w:space="0" w:color="00B3DC"/>
              <w:left w:val="nil"/>
              <w:bottom w:val="single" w:sz="8" w:space="0" w:color="000000"/>
              <w:right w:val="nil"/>
            </w:tcBorders>
            <w:shd w:val="clear" w:color="auto" w:fill="00B3DC"/>
            <w:tcMar>
              <w:top w:w="72" w:type="dxa"/>
              <w:left w:w="144" w:type="dxa"/>
              <w:bottom w:w="72" w:type="dxa"/>
              <w:right w:w="144" w:type="dxa"/>
            </w:tcMar>
            <w:vAlign w:val="center"/>
            <w:hideMark/>
          </w:tcPr>
          <w:p w:rsidR="00CD3F43" w:rsidRPr="00D65215" w:rsidRDefault="00CD3F43" w:rsidP="00D65215">
            <w:pPr>
              <w:spacing w:after="0"/>
              <w:rPr>
                <w:rFonts w:cs="Arial"/>
                <w:sz w:val="28"/>
                <w:szCs w:val="36"/>
              </w:rPr>
            </w:pPr>
            <w:r w:rsidRPr="00D65215">
              <w:rPr>
                <w:rFonts w:ascii="Calibri" w:hAnsi="Calibri" w:cs="Arial"/>
                <w:b/>
                <w:bCs/>
                <w:color w:val="FFFFFF" w:themeColor="light1"/>
                <w:kern w:val="24"/>
                <w:sz w:val="28"/>
                <w:szCs w:val="40"/>
              </w:rPr>
              <w:t xml:space="preserve">HL7 </w:t>
            </w:r>
          </w:p>
        </w:tc>
        <w:tc>
          <w:tcPr>
            <w:tcW w:w="1535" w:type="dxa"/>
            <w:tcBorders>
              <w:top w:val="single" w:sz="8" w:space="0" w:color="00B3DC"/>
              <w:left w:val="nil"/>
              <w:bottom w:val="single" w:sz="8" w:space="0" w:color="000000"/>
              <w:right w:val="nil"/>
            </w:tcBorders>
            <w:shd w:val="clear" w:color="auto" w:fill="00B3DC"/>
            <w:tcMar>
              <w:top w:w="72" w:type="dxa"/>
              <w:left w:w="144" w:type="dxa"/>
              <w:bottom w:w="72" w:type="dxa"/>
              <w:right w:w="144" w:type="dxa"/>
            </w:tcMar>
            <w:vAlign w:val="center"/>
            <w:hideMark/>
          </w:tcPr>
          <w:p w:rsidR="00CD3F43" w:rsidRPr="00D65215" w:rsidRDefault="00CD3F43" w:rsidP="00D65215">
            <w:pPr>
              <w:spacing w:after="0"/>
              <w:rPr>
                <w:rFonts w:cs="Arial"/>
                <w:sz w:val="28"/>
                <w:szCs w:val="36"/>
              </w:rPr>
            </w:pPr>
            <w:r w:rsidRPr="00D65215">
              <w:rPr>
                <w:rFonts w:ascii="Calibri" w:eastAsiaTheme="minorEastAsia" w:hAnsi="Calibri"/>
                <w:b/>
                <w:bCs/>
                <w:color w:val="FFFFFF" w:themeColor="light1"/>
                <w:kern w:val="24"/>
                <w:sz w:val="28"/>
                <w:szCs w:val="40"/>
              </w:rPr>
              <w:t>CITL</w:t>
            </w:r>
          </w:p>
        </w:tc>
        <w:tc>
          <w:tcPr>
            <w:tcW w:w="1156" w:type="dxa"/>
            <w:tcBorders>
              <w:top w:val="single" w:sz="8" w:space="0" w:color="00B3DC"/>
              <w:left w:val="nil"/>
              <w:bottom w:val="single" w:sz="8" w:space="0" w:color="000000"/>
              <w:right w:val="nil"/>
            </w:tcBorders>
            <w:shd w:val="clear" w:color="auto" w:fill="00B3DC"/>
            <w:tcMar>
              <w:top w:w="72" w:type="dxa"/>
              <w:left w:w="144" w:type="dxa"/>
              <w:bottom w:w="72" w:type="dxa"/>
              <w:right w:w="144" w:type="dxa"/>
            </w:tcMar>
            <w:vAlign w:val="center"/>
            <w:hideMark/>
          </w:tcPr>
          <w:p w:rsidR="00CD3F43" w:rsidRPr="00D65215" w:rsidRDefault="00CD3F43" w:rsidP="00D65215">
            <w:pPr>
              <w:spacing w:after="0"/>
              <w:rPr>
                <w:rFonts w:cs="Arial"/>
                <w:sz w:val="28"/>
                <w:szCs w:val="36"/>
              </w:rPr>
            </w:pPr>
            <w:r w:rsidRPr="00D65215">
              <w:rPr>
                <w:rFonts w:ascii="Calibri" w:eastAsiaTheme="minorEastAsia" w:hAnsi="Calibri"/>
                <w:b/>
                <w:bCs/>
                <w:color w:val="FFFFFF" w:themeColor="light1"/>
                <w:kern w:val="24"/>
                <w:sz w:val="28"/>
                <w:szCs w:val="40"/>
              </w:rPr>
              <w:t>ISO</w:t>
            </w:r>
          </w:p>
        </w:tc>
        <w:tc>
          <w:tcPr>
            <w:tcW w:w="3788" w:type="dxa"/>
            <w:tcBorders>
              <w:top w:val="single" w:sz="8" w:space="0" w:color="00B3DC"/>
              <w:left w:val="nil"/>
              <w:bottom w:val="single" w:sz="8" w:space="0" w:color="000000"/>
              <w:right w:val="single" w:sz="8" w:space="0" w:color="00B3DC"/>
            </w:tcBorders>
            <w:shd w:val="clear" w:color="auto" w:fill="00B3DC"/>
            <w:tcMar>
              <w:top w:w="72" w:type="dxa"/>
              <w:left w:w="144" w:type="dxa"/>
              <w:bottom w:w="72" w:type="dxa"/>
              <w:right w:w="144" w:type="dxa"/>
            </w:tcMar>
            <w:vAlign w:val="center"/>
            <w:hideMark/>
          </w:tcPr>
          <w:p w:rsidR="00CD3F43" w:rsidRPr="00D65215" w:rsidRDefault="00CD3F43" w:rsidP="00D65215">
            <w:pPr>
              <w:spacing w:after="0"/>
              <w:rPr>
                <w:rFonts w:cs="Arial"/>
                <w:sz w:val="28"/>
                <w:szCs w:val="36"/>
              </w:rPr>
            </w:pPr>
            <w:r w:rsidRPr="00D65215">
              <w:rPr>
                <w:rFonts w:ascii="Calibri" w:hAnsi="Calibri" w:cs="Arial"/>
                <w:b/>
                <w:bCs/>
                <w:color w:val="FFFFFF" w:themeColor="light1"/>
                <w:kern w:val="24"/>
                <w:sz w:val="28"/>
                <w:szCs w:val="48"/>
              </w:rPr>
              <w:t>Description</w:t>
            </w:r>
          </w:p>
        </w:tc>
      </w:tr>
      <w:tr w:rsidR="00CD3F43" w:rsidRPr="00EA5ACD" w:rsidTr="00D65215">
        <w:trPr>
          <w:trHeight w:val="463"/>
        </w:trPr>
        <w:tc>
          <w:tcPr>
            <w:tcW w:w="501"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cs="Arial"/>
                <w:color w:val="000000" w:themeColor="dark1"/>
                <w:kern w:val="24"/>
                <w:szCs w:val="32"/>
              </w:rPr>
              <w:t>1</w:t>
            </w:r>
          </w:p>
        </w:tc>
        <w:tc>
          <w:tcPr>
            <w:tcW w:w="1241"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proofErr w:type="spellStart"/>
            <w:r w:rsidRPr="00D65215">
              <w:rPr>
                <w:rFonts w:ascii="Calibri" w:hAnsi="Calibri" w:cs="Arial"/>
                <w:color w:val="000000" w:themeColor="dark1"/>
                <w:kern w:val="24"/>
                <w:szCs w:val="32"/>
              </w:rPr>
              <w:t>Founda-tional</w:t>
            </w:r>
            <w:proofErr w:type="spellEnd"/>
          </w:p>
        </w:tc>
        <w:tc>
          <w:tcPr>
            <w:tcW w:w="1129"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ascii="Calibri" w:hAnsi="Calibri" w:cs="Arial"/>
                <w:color w:val="000000" w:themeColor="dark1"/>
                <w:kern w:val="24"/>
                <w:szCs w:val="32"/>
              </w:rPr>
              <w:t>Technical</w:t>
            </w:r>
          </w:p>
        </w:tc>
        <w:tc>
          <w:tcPr>
            <w:tcW w:w="1535"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ascii="Calibri" w:hAnsi="Calibri" w:cs="Arial"/>
                <w:color w:val="000000" w:themeColor="dark1"/>
                <w:kern w:val="24"/>
                <w:szCs w:val="32"/>
              </w:rPr>
              <w:t>Machine transportable</w:t>
            </w:r>
          </w:p>
        </w:tc>
        <w:tc>
          <w:tcPr>
            <w:tcW w:w="1156" w:type="dxa"/>
            <w:vMerge w:val="restart"/>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vAlign w:val="center"/>
            <w:hideMark/>
          </w:tcPr>
          <w:p w:rsidR="00CD3F43" w:rsidRPr="00D65215" w:rsidRDefault="00CD3F43" w:rsidP="00D65215">
            <w:pPr>
              <w:spacing w:after="0"/>
              <w:rPr>
                <w:rFonts w:cs="Arial"/>
                <w:szCs w:val="36"/>
              </w:rPr>
            </w:pPr>
            <w:r w:rsidRPr="00D65215">
              <w:rPr>
                <w:rFonts w:ascii="Calibri" w:eastAsiaTheme="minorEastAsia" w:hAnsi="Calibri"/>
                <w:color w:val="000000" w:themeColor="dark1"/>
                <w:kern w:val="24"/>
                <w:szCs w:val="32"/>
              </w:rPr>
              <w:t>Technical</w:t>
            </w:r>
          </w:p>
        </w:tc>
        <w:tc>
          <w:tcPr>
            <w:tcW w:w="3788"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ascii="Calibri" w:hAnsi="Calibri" w:cs="Arial"/>
                <w:color w:val="000000" w:themeColor="dark1"/>
                <w:kern w:val="24"/>
                <w:szCs w:val="32"/>
              </w:rPr>
              <w:t>Data sent electronically; could be fax or email</w:t>
            </w:r>
          </w:p>
        </w:tc>
      </w:tr>
      <w:tr w:rsidR="00CD3F43" w:rsidRPr="00EA5ACD" w:rsidTr="00D65215">
        <w:trPr>
          <w:trHeight w:val="835"/>
        </w:trPr>
        <w:tc>
          <w:tcPr>
            <w:tcW w:w="5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cs="Arial"/>
                <w:color w:val="000000" w:themeColor="dark1"/>
                <w:kern w:val="24"/>
                <w:szCs w:val="32"/>
              </w:rPr>
              <w:t>2</w:t>
            </w:r>
          </w:p>
        </w:tc>
        <w:tc>
          <w:tcPr>
            <w:tcW w:w="1241" w:type="dxa"/>
            <w:vMerge w:val="restart"/>
            <w:tcBorders>
              <w:top w:val="single" w:sz="8" w:space="0" w:color="000000"/>
              <w:left w:val="single" w:sz="8" w:space="0" w:color="000000"/>
              <w:right w:val="single" w:sz="8" w:space="0" w:color="000000"/>
            </w:tcBorders>
            <w:shd w:val="clear" w:color="auto" w:fill="FFFFFF"/>
            <w:tcMar>
              <w:top w:w="72" w:type="dxa"/>
              <w:left w:w="144" w:type="dxa"/>
              <w:bottom w:w="72" w:type="dxa"/>
              <w:right w:w="144" w:type="dxa"/>
            </w:tcMar>
            <w:vAlign w:val="center"/>
            <w:hideMark/>
          </w:tcPr>
          <w:p w:rsidR="00CD3F43" w:rsidRPr="00D65215" w:rsidRDefault="00CD3F43" w:rsidP="00D65215">
            <w:pPr>
              <w:spacing w:after="0"/>
              <w:rPr>
                <w:rFonts w:cs="Arial"/>
                <w:szCs w:val="36"/>
              </w:rPr>
            </w:pPr>
            <w:r w:rsidRPr="00D65215">
              <w:rPr>
                <w:rFonts w:ascii="Calibri" w:hAnsi="Calibri" w:cs="Arial"/>
                <w:color w:val="000000" w:themeColor="dark1"/>
                <w:kern w:val="24"/>
                <w:szCs w:val="32"/>
              </w:rPr>
              <w:t>Structural (Syntactic)</w:t>
            </w:r>
          </w:p>
        </w:tc>
        <w:tc>
          <w:tcPr>
            <w:tcW w:w="1129" w:type="dxa"/>
            <w:vMerge w:val="restart"/>
            <w:tcBorders>
              <w:top w:val="single" w:sz="8" w:space="0" w:color="000000"/>
              <w:left w:val="single" w:sz="8" w:space="0" w:color="000000"/>
              <w:right w:val="single" w:sz="8" w:space="0" w:color="000000"/>
            </w:tcBorders>
            <w:shd w:val="clear" w:color="auto" w:fill="FFFFFF"/>
            <w:tcMar>
              <w:top w:w="72" w:type="dxa"/>
              <w:left w:w="144" w:type="dxa"/>
              <w:bottom w:w="72" w:type="dxa"/>
              <w:right w:w="144" w:type="dxa"/>
            </w:tcMar>
            <w:vAlign w:val="center"/>
            <w:hideMark/>
          </w:tcPr>
          <w:p w:rsidR="00CD3F43" w:rsidRPr="00D65215" w:rsidRDefault="00CD3F43" w:rsidP="00D65215">
            <w:pPr>
              <w:spacing w:after="0"/>
              <w:rPr>
                <w:rFonts w:cs="Arial"/>
                <w:szCs w:val="36"/>
              </w:rPr>
            </w:pPr>
            <w:r w:rsidRPr="00C4501E">
              <w:rPr>
                <w:rFonts w:ascii="Calibri" w:hAnsi="Calibri" w:cs="Arial"/>
                <w:color w:val="000000" w:themeColor="dark1"/>
                <w:kern w:val="24"/>
                <w:szCs w:val="32"/>
              </w:rPr>
              <w:t>Semantic</w:t>
            </w:r>
          </w:p>
        </w:tc>
        <w:tc>
          <w:tcPr>
            <w:tcW w:w="1535" w:type="dxa"/>
            <w:vMerge w:val="restart"/>
            <w:tcBorders>
              <w:top w:val="single" w:sz="8" w:space="0" w:color="000000"/>
              <w:left w:val="single" w:sz="8" w:space="0" w:color="000000"/>
              <w:right w:val="single" w:sz="8" w:space="0" w:color="000000"/>
            </w:tcBorders>
            <w:shd w:val="clear" w:color="auto" w:fill="FFFFFF"/>
            <w:tcMar>
              <w:top w:w="72" w:type="dxa"/>
              <w:left w:w="144" w:type="dxa"/>
              <w:bottom w:w="72" w:type="dxa"/>
              <w:right w:w="144" w:type="dxa"/>
            </w:tcMar>
            <w:vAlign w:val="center"/>
            <w:hideMark/>
          </w:tcPr>
          <w:p w:rsidR="00CD3F43" w:rsidRPr="00D65215" w:rsidRDefault="00CD3F43" w:rsidP="00D65215">
            <w:pPr>
              <w:spacing w:after="0"/>
              <w:rPr>
                <w:rFonts w:cs="Arial"/>
                <w:szCs w:val="36"/>
              </w:rPr>
            </w:pPr>
            <w:r w:rsidRPr="00D65215">
              <w:rPr>
                <w:rFonts w:ascii="Calibri" w:hAnsi="Calibri" w:cs="Arial"/>
                <w:color w:val="000000" w:themeColor="dark1"/>
                <w:kern w:val="24"/>
                <w:szCs w:val="32"/>
              </w:rPr>
              <w:t xml:space="preserve">Machine </w:t>
            </w:r>
            <w:proofErr w:type="spellStart"/>
            <w:r w:rsidRPr="00D65215">
              <w:rPr>
                <w:rFonts w:ascii="Calibri" w:hAnsi="Calibri" w:cs="Arial"/>
                <w:color w:val="000000" w:themeColor="dark1"/>
                <w:kern w:val="24"/>
                <w:szCs w:val="32"/>
              </w:rPr>
              <w:t>organizable</w:t>
            </w:r>
            <w:proofErr w:type="spellEnd"/>
          </w:p>
        </w:tc>
        <w:tc>
          <w:tcPr>
            <w:tcW w:w="1156" w:type="dxa"/>
            <w:vMerge/>
            <w:tcBorders>
              <w:top w:val="single" w:sz="8" w:space="0" w:color="000000"/>
              <w:left w:val="single" w:sz="8" w:space="0" w:color="000000"/>
              <w:bottom w:val="single" w:sz="8" w:space="0" w:color="000000"/>
              <w:right w:val="single" w:sz="8" w:space="0" w:color="000000"/>
            </w:tcBorders>
            <w:vAlign w:val="center"/>
            <w:hideMark/>
          </w:tcPr>
          <w:p w:rsidR="00CD3F43" w:rsidRPr="00D65215" w:rsidRDefault="00CD3F43" w:rsidP="00D65215">
            <w:pPr>
              <w:spacing w:after="0"/>
              <w:rPr>
                <w:rFonts w:cs="Arial"/>
                <w:szCs w:val="36"/>
              </w:rPr>
            </w:pPr>
          </w:p>
        </w:tc>
        <w:tc>
          <w:tcPr>
            <w:tcW w:w="37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3F43" w:rsidRPr="00D65215" w:rsidRDefault="00CD3F43" w:rsidP="00D65215">
            <w:pPr>
              <w:spacing w:after="0"/>
              <w:rPr>
                <w:rFonts w:cs="Arial"/>
                <w:szCs w:val="36"/>
              </w:rPr>
            </w:pPr>
            <w:r>
              <w:rPr>
                <w:rFonts w:ascii="Calibri" w:hAnsi="Calibri" w:cs="Arial"/>
                <w:color w:val="000000" w:themeColor="dark1"/>
                <w:kern w:val="24"/>
                <w:szCs w:val="32"/>
              </w:rPr>
              <w:t xml:space="preserve">Information is serialized for transport </w:t>
            </w:r>
            <w:r w:rsidRPr="00D65215">
              <w:rPr>
                <w:rFonts w:ascii="Calibri" w:hAnsi="Calibri" w:cs="Arial"/>
                <w:color w:val="000000" w:themeColor="dark1"/>
                <w:kern w:val="24"/>
                <w:szCs w:val="32"/>
              </w:rPr>
              <w:t>using a defined, structured format</w:t>
            </w:r>
          </w:p>
        </w:tc>
      </w:tr>
      <w:tr w:rsidR="00CD3F43" w:rsidRPr="00EA5ACD" w:rsidTr="00D65215">
        <w:trPr>
          <w:trHeight w:val="916"/>
        </w:trPr>
        <w:tc>
          <w:tcPr>
            <w:tcW w:w="501"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tcPr>
          <w:p w:rsidR="00CD3F43" w:rsidRPr="00EA5ACD" w:rsidRDefault="00CD3F43" w:rsidP="00D65215">
            <w:pPr>
              <w:spacing w:after="0"/>
              <w:rPr>
                <w:rFonts w:cs="Arial"/>
                <w:color w:val="000000" w:themeColor="dark1"/>
                <w:kern w:val="24"/>
                <w:szCs w:val="32"/>
              </w:rPr>
            </w:pPr>
            <w:r>
              <w:rPr>
                <w:rFonts w:cs="Arial"/>
                <w:color w:val="000000" w:themeColor="dark1"/>
                <w:kern w:val="24"/>
                <w:szCs w:val="32"/>
              </w:rPr>
              <w:t>3</w:t>
            </w:r>
          </w:p>
        </w:tc>
        <w:tc>
          <w:tcPr>
            <w:tcW w:w="1241" w:type="dxa"/>
            <w:vMerge/>
            <w:tcBorders>
              <w:left w:val="single" w:sz="8" w:space="0" w:color="000000"/>
              <w:bottom w:val="single" w:sz="8" w:space="0" w:color="auto"/>
              <w:right w:val="single" w:sz="8" w:space="0" w:color="000000"/>
            </w:tcBorders>
            <w:shd w:val="clear" w:color="auto" w:fill="E7F2F9"/>
            <w:tcMar>
              <w:top w:w="72" w:type="dxa"/>
              <w:left w:w="144" w:type="dxa"/>
              <w:bottom w:w="72" w:type="dxa"/>
              <w:right w:w="144" w:type="dxa"/>
            </w:tcMar>
          </w:tcPr>
          <w:p w:rsidR="00CD3F43" w:rsidRPr="00EA5ACD" w:rsidRDefault="00CD3F43" w:rsidP="00D65215">
            <w:pPr>
              <w:spacing w:after="0"/>
              <w:rPr>
                <w:rFonts w:ascii="Calibri" w:hAnsi="Calibri" w:cs="Arial"/>
                <w:color w:val="000000" w:themeColor="dark1"/>
                <w:kern w:val="24"/>
                <w:szCs w:val="32"/>
              </w:rPr>
            </w:pPr>
          </w:p>
        </w:tc>
        <w:tc>
          <w:tcPr>
            <w:tcW w:w="1129" w:type="dxa"/>
            <w:vMerge/>
            <w:tcBorders>
              <w:left w:val="single" w:sz="8" w:space="0" w:color="000000"/>
              <w:right w:val="single" w:sz="8" w:space="0" w:color="000000"/>
            </w:tcBorders>
            <w:shd w:val="clear" w:color="auto" w:fill="E7F2F9"/>
            <w:tcMar>
              <w:top w:w="72" w:type="dxa"/>
              <w:left w:w="144" w:type="dxa"/>
              <w:bottom w:w="72" w:type="dxa"/>
              <w:right w:w="144" w:type="dxa"/>
            </w:tcMar>
            <w:vAlign w:val="center"/>
          </w:tcPr>
          <w:p w:rsidR="00CD3F43" w:rsidRPr="00EA5ACD" w:rsidRDefault="00CD3F43" w:rsidP="00D65215">
            <w:pPr>
              <w:spacing w:after="0"/>
              <w:rPr>
                <w:rFonts w:ascii="Calibri" w:hAnsi="Calibri" w:cs="Arial"/>
                <w:color w:val="000000" w:themeColor="dark1"/>
                <w:kern w:val="24"/>
                <w:szCs w:val="32"/>
              </w:rPr>
            </w:pPr>
          </w:p>
        </w:tc>
        <w:tc>
          <w:tcPr>
            <w:tcW w:w="1535" w:type="dxa"/>
            <w:vMerge/>
            <w:tcBorders>
              <w:left w:val="single" w:sz="8" w:space="0" w:color="000000"/>
              <w:bottom w:val="single" w:sz="8" w:space="0" w:color="auto"/>
              <w:right w:val="single" w:sz="8" w:space="0" w:color="000000"/>
            </w:tcBorders>
            <w:shd w:val="clear" w:color="auto" w:fill="E7F2F9"/>
            <w:tcMar>
              <w:top w:w="72" w:type="dxa"/>
              <w:left w:w="144" w:type="dxa"/>
              <w:bottom w:w="72" w:type="dxa"/>
              <w:right w:w="144" w:type="dxa"/>
            </w:tcMar>
          </w:tcPr>
          <w:p w:rsidR="00CD3F43" w:rsidRPr="00EA5ACD" w:rsidRDefault="00CD3F43" w:rsidP="00D65215">
            <w:pPr>
              <w:spacing w:after="0"/>
              <w:rPr>
                <w:rFonts w:ascii="Calibri" w:hAnsi="Calibri" w:cs="Arial"/>
                <w:color w:val="000000" w:themeColor="dark1"/>
                <w:kern w:val="24"/>
                <w:szCs w:val="32"/>
              </w:rPr>
            </w:pPr>
          </w:p>
        </w:tc>
        <w:tc>
          <w:tcPr>
            <w:tcW w:w="1156" w:type="dxa"/>
            <w:vMerge w:val="restart"/>
            <w:tcBorders>
              <w:top w:val="single" w:sz="8" w:space="0" w:color="000000"/>
              <w:left w:val="single" w:sz="8" w:space="0" w:color="000000"/>
              <w:right w:val="single" w:sz="8" w:space="0" w:color="000000"/>
            </w:tcBorders>
            <w:shd w:val="clear" w:color="auto" w:fill="E7F2F9"/>
            <w:tcMar>
              <w:top w:w="72" w:type="dxa"/>
              <w:left w:w="144" w:type="dxa"/>
              <w:bottom w:w="72" w:type="dxa"/>
              <w:right w:w="144" w:type="dxa"/>
            </w:tcMar>
            <w:vAlign w:val="center"/>
          </w:tcPr>
          <w:p w:rsidR="00CD3F43" w:rsidRPr="00EA5ACD" w:rsidRDefault="00CD3F43" w:rsidP="00D65215">
            <w:pPr>
              <w:spacing w:after="0"/>
              <w:rPr>
                <w:rFonts w:ascii="Calibri" w:eastAsiaTheme="minorEastAsia" w:hAnsi="Calibri"/>
                <w:color w:val="000000" w:themeColor="dark1"/>
                <w:kern w:val="24"/>
                <w:szCs w:val="32"/>
              </w:rPr>
            </w:pPr>
            <w:r>
              <w:rPr>
                <w:rFonts w:ascii="Calibri" w:hAnsi="Calibri" w:cs="Arial"/>
                <w:color w:val="000000" w:themeColor="dark1"/>
                <w:kern w:val="24"/>
                <w:szCs w:val="32"/>
              </w:rPr>
              <w:t>Semantic</w:t>
            </w:r>
          </w:p>
        </w:tc>
        <w:tc>
          <w:tcPr>
            <w:tcW w:w="3788"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tcPr>
          <w:p w:rsidR="00CD3F43" w:rsidRPr="00EA5ACD" w:rsidRDefault="00CD3F43" w:rsidP="00D65215">
            <w:pPr>
              <w:spacing w:after="0"/>
              <w:rPr>
                <w:rFonts w:ascii="Calibri" w:hAnsi="Calibri" w:cs="Arial"/>
                <w:color w:val="000000" w:themeColor="dark1"/>
                <w:kern w:val="24"/>
                <w:szCs w:val="32"/>
              </w:rPr>
            </w:pPr>
            <w:r>
              <w:rPr>
                <w:rFonts w:ascii="Calibri" w:hAnsi="Calibri" w:cs="Arial"/>
                <w:color w:val="000000" w:themeColor="dark1"/>
                <w:kern w:val="24"/>
                <w:szCs w:val="32"/>
              </w:rPr>
              <w:t>Information is apportioned to defined data fields, each field with defined content</w:t>
            </w:r>
            <w:r w:rsidR="00364EFF">
              <w:rPr>
                <w:rFonts w:ascii="Calibri" w:hAnsi="Calibri" w:cs="Arial"/>
                <w:color w:val="000000" w:themeColor="dark1"/>
                <w:kern w:val="24"/>
                <w:szCs w:val="32"/>
              </w:rPr>
              <w:t>s</w:t>
            </w:r>
            <w:r>
              <w:rPr>
                <w:rFonts w:ascii="Calibri" w:hAnsi="Calibri" w:cs="Arial"/>
                <w:color w:val="000000" w:themeColor="dark1"/>
                <w:kern w:val="24"/>
                <w:szCs w:val="32"/>
              </w:rPr>
              <w:t xml:space="preserve"> and restrictions</w:t>
            </w:r>
          </w:p>
        </w:tc>
      </w:tr>
      <w:tr w:rsidR="00CD3F43" w:rsidRPr="00EA5ACD" w:rsidTr="00D65215">
        <w:trPr>
          <w:trHeight w:val="637"/>
        </w:trPr>
        <w:tc>
          <w:tcPr>
            <w:tcW w:w="501"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EA5ACD">
              <w:rPr>
                <w:rFonts w:cs="Arial"/>
                <w:color w:val="000000" w:themeColor="dark1"/>
                <w:kern w:val="24"/>
                <w:szCs w:val="32"/>
              </w:rPr>
              <w:t>4</w:t>
            </w:r>
          </w:p>
        </w:tc>
        <w:tc>
          <w:tcPr>
            <w:tcW w:w="1241" w:type="dxa"/>
            <w:tcBorders>
              <w:top w:val="single" w:sz="8" w:space="0" w:color="auto"/>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C4501E">
              <w:rPr>
                <w:rFonts w:ascii="Calibri" w:hAnsi="Calibri" w:cs="Arial"/>
                <w:color w:val="000000" w:themeColor="dark1"/>
                <w:kern w:val="24"/>
                <w:szCs w:val="32"/>
              </w:rPr>
              <w:t>Semantic</w:t>
            </w:r>
          </w:p>
        </w:tc>
        <w:tc>
          <w:tcPr>
            <w:tcW w:w="1129" w:type="dxa"/>
            <w:vMerge/>
            <w:tcBorders>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p>
        </w:tc>
        <w:tc>
          <w:tcPr>
            <w:tcW w:w="1535" w:type="dxa"/>
            <w:tcBorders>
              <w:top w:val="single" w:sz="8" w:space="0" w:color="auto"/>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C4501E">
              <w:rPr>
                <w:rFonts w:ascii="Calibri" w:hAnsi="Calibri" w:cs="Arial"/>
                <w:color w:val="000000" w:themeColor="dark1"/>
                <w:kern w:val="24"/>
                <w:szCs w:val="32"/>
              </w:rPr>
              <w:t>Machine interpretable</w:t>
            </w:r>
          </w:p>
        </w:tc>
        <w:tc>
          <w:tcPr>
            <w:tcW w:w="1156" w:type="dxa"/>
            <w:vMerge/>
            <w:tcBorders>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ascii="Calibri" w:hAnsi="Calibri" w:cs="Arial"/>
                <w:color w:val="000000" w:themeColor="dark1"/>
                <w:kern w:val="24"/>
                <w:szCs w:val="32"/>
              </w:rPr>
            </w:pPr>
          </w:p>
        </w:tc>
        <w:tc>
          <w:tcPr>
            <w:tcW w:w="3788"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Pr>
                <w:rFonts w:ascii="Calibri" w:hAnsi="Calibri" w:cs="Arial"/>
                <w:color w:val="000000" w:themeColor="dark1"/>
                <w:kern w:val="24"/>
                <w:szCs w:val="32"/>
              </w:rPr>
              <w:t>Information</w:t>
            </w:r>
            <w:r w:rsidRPr="00D65215">
              <w:rPr>
                <w:rFonts w:ascii="Calibri" w:hAnsi="Calibri" w:cs="Arial"/>
                <w:color w:val="000000" w:themeColor="dark1"/>
                <w:kern w:val="24"/>
                <w:szCs w:val="32"/>
              </w:rPr>
              <w:t xml:space="preserve"> is communicated with unambiguous, shared meaning, using controlled vocabularies and taxonomies</w:t>
            </w:r>
          </w:p>
        </w:tc>
      </w:tr>
      <w:tr w:rsidR="00CD3F43" w:rsidRPr="00EA5ACD" w:rsidTr="00D65215">
        <w:trPr>
          <w:trHeight w:val="1012"/>
        </w:trPr>
        <w:tc>
          <w:tcPr>
            <w:tcW w:w="5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3F43" w:rsidRPr="00D65215" w:rsidRDefault="00CD3F43" w:rsidP="00D65215">
            <w:pPr>
              <w:spacing w:after="0"/>
              <w:rPr>
                <w:rFonts w:cs="Arial"/>
                <w:szCs w:val="36"/>
              </w:rPr>
            </w:pPr>
            <w:r w:rsidRPr="00EA5ACD">
              <w:rPr>
                <w:rFonts w:cs="Arial"/>
                <w:color w:val="000000" w:themeColor="dark1"/>
                <w:kern w:val="24"/>
                <w:szCs w:val="32"/>
              </w:rPr>
              <w:t>5</w:t>
            </w:r>
          </w:p>
        </w:tc>
        <w:tc>
          <w:tcPr>
            <w:tcW w:w="124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ascii="Calibri" w:hAnsi="Calibri" w:cs="Arial"/>
                <w:color w:val="000000" w:themeColor="dark1"/>
                <w:kern w:val="24"/>
                <w:szCs w:val="32"/>
              </w:rPr>
              <w:t>------</w:t>
            </w:r>
          </w:p>
        </w:tc>
        <w:tc>
          <w:tcPr>
            <w:tcW w:w="112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ascii="Calibri" w:hAnsi="Calibri" w:cs="Arial"/>
                <w:color w:val="000000" w:themeColor="dark1"/>
                <w:kern w:val="24"/>
                <w:szCs w:val="32"/>
              </w:rPr>
              <w:t>Process</w:t>
            </w:r>
          </w:p>
        </w:tc>
        <w:tc>
          <w:tcPr>
            <w:tcW w:w="153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ascii="Calibri" w:hAnsi="Calibri" w:cs="Arial"/>
                <w:color w:val="000000" w:themeColor="dark1"/>
                <w:kern w:val="24"/>
                <w:szCs w:val="32"/>
              </w:rPr>
              <w:t>------</w:t>
            </w:r>
          </w:p>
        </w:tc>
        <w:tc>
          <w:tcPr>
            <w:tcW w:w="115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3F43" w:rsidRPr="00D65215" w:rsidRDefault="00CD3F43" w:rsidP="00D65215">
            <w:pPr>
              <w:spacing w:after="0"/>
              <w:rPr>
                <w:rFonts w:cs="Arial"/>
                <w:szCs w:val="36"/>
              </w:rPr>
            </w:pPr>
            <w:proofErr w:type="spellStart"/>
            <w:r w:rsidRPr="00D65215">
              <w:rPr>
                <w:rFonts w:ascii="Calibri" w:eastAsiaTheme="minorEastAsia" w:hAnsi="Calibri"/>
                <w:color w:val="000000" w:themeColor="dark1"/>
                <w:kern w:val="24"/>
                <w:szCs w:val="32"/>
              </w:rPr>
              <w:t>Organiza-tional</w:t>
            </w:r>
            <w:proofErr w:type="spellEnd"/>
          </w:p>
        </w:tc>
        <w:tc>
          <w:tcPr>
            <w:tcW w:w="37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ascii="Calibri" w:hAnsi="Calibri" w:cs="Arial"/>
                <w:color w:val="000000" w:themeColor="dark1"/>
                <w:kern w:val="24"/>
                <w:szCs w:val="32"/>
              </w:rPr>
              <w:t>System interactions implement workflows and are coordinated under agreed business rules</w:t>
            </w:r>
          </w:p>
        </w:tc>
      </w:tr>
      <w:tr w:rsidR="00CD3F43" w:rsidRPr="00EA5ACD" w:rsidTr="00D65215">
        <w:trPr>
          <w:trHeight w:val="1012"/>
        </w:trPr>
        <w:tc>
          <w:tcPr>
            <w:tcW w:w="501"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EA5ACD">
              <w:rPr>
                <w:rFonts w:cs="Arial"/>
                <w:color w:val="000000" w:themeColor="dark1"/>
                <w:kern w:val="24"/>
                <w:szCs w:val="32"/>
              </w:rPr>
              <w:t>6</w:t>
            </w:r>
          </w:p>
        </w:tc>
        <w:tc>
          <w:tcPr>
            <w:tcW w:w="1241"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cs="Arial"/>
                <w:color w:val="000000" w:themeColor="dark1"/>
                <w:kern w:val="24"/>
                <w:szCs w:val="32"/>
              </w:rPr>
              <w:t>-------</w:t>
            </w:r>
          </w:p>
        </w:tc>
        <w:tc>
          <w:tcPr>
            <w:tcW w:w="1129"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cs="Arial"/>
                <w:color w:val="000000" w:themeColor="dark1"/>
                <w:kern w:val="24"/>
                <w:szCs w:val="32"/>
              </w:rPr>
              <w:t>-------</w:t>
            </w:r>
          </w:p>
        </w:tc>
        <w:tc>
          <w:tcPr>
            <w:tcW w:w="1535"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cs="Arial"/>
                <w:color w:val="000000" w:themeColor="text1"/>
                <w:kern w:val="24"/>
                <w:szCs w:val="32"/>
              </w:rPr>
              <w:t>-------</w:t>
            </w:r>
          </w:p>
        </w:tc>
        <w:tc>
          <w:tcPr>
            <w:tcW w:w="1156"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ascii="Calibri" w:eastAsiaTheme="minorEastAsia" w:hAnsi="Calibri"/>
                <w:color w:val="000000" w:themeColor="dark1"/>
                <w:kern w:val="24"/>
                <w:szCs w:val="32"/>
              </w:rPr>
              <w:t>Legal</w:t>
            </w:r>
          </w:p>
        </w:tc>
        <w:tc>
          <w:tcPr>
            <w:tcW w:w="3788" w:type="dxa"/>
            <w:tcBorders>
              <w:top w:val="single" w:sz="8" w:space="0" w:color="000000"/>
              <w:left w:val="single" w:sz="8" w:space="0" w:color="000000"/>
              <w:bottom w:val="single" w:sz="8" w:space="0" w:color="000000"/>
              <w:right w:val="single" w:sz="8" w:space="0" w:color="000000"/>
            </w:tcBorders>
            <w:shd w:val="clear" w:color="auto" w:fill="E7F2F9"/>
            <w:tcMar>
              <w:top w:w="72" w:type="dxa"/>
              <w:left w:w="144" w:type="dxa"/>
              <w:bottom w:w="72" w:type="dxa"/>
              <w:right w:w="144" w:type="dxa"/>
            </w:tcMar>
            <w:hideMark/>
          </w:tcPr>
          <w:p w:rsidR="00CD3F43" w:rsidRPr="00D65215" w:rsidRDefault="00CD3F43" w:rsidP="00D65215">
            <w:pPr>
              <w:spacing w:after="0"/>
              <w:rPr>
                <w:rFonts w:cs="Arial"/>
                <w:szCs w:val="36"/>
              </w:rPr>
            </w:pPr>
            <w:r w:rsidRPr="00D65215">
              <w:rPr>
                <w:rFonts w:ascii="Calibri" w:eastAsiaTheme="minorEastAsia" w:hAnsi="Calibri"/>
                <w:color w:val="000000" w:themeColor="dark1"/>
                <w:kern w:val="24"/>
                <w:szCs w:val="32"/>
              </w:rPr>
              <w:t xml:space="preserve">Interactions are aligned under legal, regulatory, and incentive systems </w:t>
            </w:r>
          </w:p>
        </w:tc>
      </w:tr>
    </w:tbl>
    <w:p w:rsidR="00CD3F43" w:rsidRDefault="00CD3F43" w:rsidP="00CD3F43">
      <w:pPr>
        <w:rPr>
          <w:sz w:val="16"/>
        </w:rPr>
      </w:pPr>
    </w:p>
    <w:p w:rsidR="00CD3F43" w:rsidRPr="00A7689D" w:rsidRDefault="00CD3F43" w:rsidP="00CD3F43">
      <w:pPr>
        <w:rPr>
          <w:sz w:val="16"/>
        </w:rPr>
      </w:pPr>
      <w:r w:rsidRPr="00A7689D">
        <w:rPr>
          <w:sz w:val="16"/>
        </w:rPr>
        <w:t xml:space="preserve">HIMSS, </w:t>
      </w:r>
      <w:hyperlink r:id="rId8" w:history="1">
        <w:r w:rsidRPr="00A7689D">
          <w:rPr>
            <w:rStyle w:val="Hyperlink"/>
            <w:sz w:val="16"/>
          </w:rPr>
          <w:t>http</w:t>
        </w:r>
      </w:hyperlink>
      <w:hyperlink r:id="rId9" w:history="1">
        <w:proofErr w:type="gramStart"/>
        <w:r w:rsidRPr="00A7689D">
          <w:rPr>
            <w:rStyle w:val="Hyperlink"/>
            <w:sz w:val="16"/>
          </w:rPr>
          <w:t>:/</w:t>
        </w:r>
        <w:proofErr w:type="gramEnd"/>
        <w:r w:rsidRPr="00A7689D">
          <w:rPr>
            <w:rStyle w:val="Hyperlink"/>
            <w:sz w:val="16"/>
          </w:rPr>
          <w:t>/</w:t>
        </w:r>
      </w:hyperlink>
      <w:hyperlink r:id="rId10" w:history="1">
        <w:r w:rsidRPr="00A7689D">
          <w:rPr>
            <w:rStyle w:val="Hyperlink"/>
            <w:sz w:val="16"/>
          </w:rPr>
          <w:t>www.himss.org/library/interoperability-standards/what-is-interoperability</w:t>
        </w:r>
      </w:hyperlink>
      <w:r w:rsidRPr="00A7689D">
        <w:rPr>
          <w:sz w:val="16"/>
        </w:rPr>
        <w:t>, retrieved 6/29/2015</w:t>
      </w:r>
    </w:p>
    <w:p w:rsidR="00CD3F43" w:rsidRPr="00A7689D" w:rsidRDefault="00CD3F43" w:rsidP="00CD3F43">
      <w:pPr>
        <w:rPr>
          <w:sz w:val="16"/>
        </w:rPr>
      </w:pPr>
      <w:r w:rsidRPr="00A7689D">
        <w:rPr>
          <w:sz w:val="16"/>
        </w:rPr>
        <w:t xml:space="preserve">HL7, </w:t>
      </w:r>
      <w:hyperlink r:id="rId11" w:history="1">
        <w:r w:rsidRPr="00A7689D">
          <w:rPr>
            <w:rStyle w:val="Hyperlink"/>
            <w:sz w:val="16"/>
          </w:rPr>
          <w:t>Coming to Terms: Scoping Interoperability for Health Care</w:t>
        </w:r>
      </w:hyperlink>
      <w:r w:rsidRPr="00A7689D">
        <w:rPr>
          <w:sz w:val="16"/>
        </w:rPr>
        <w:t>, February 2007</w:t>
      </w:r>
    </w:p>
    <w:p w:rsidR="00CD3F43" w:rsidRPr="00A7689D" w:rsidRDefault="00CD3F43" w:rsidP="00CD3F43">
      <w:pPr>
        <w:rPr>
          <w:sz w:val="16"/>
        </w:rPr>
      </w:pPr>
      <w:r w:rsidRPr="00A7689D">
        <w:rPr>
          <w:sz w:val="16"/>
        </w:rPr>
        <w:t>Center for Information Technology Leadership, "The Value of Healthcare Information Exchange and Interoperability," Wellesley, MA</w:t>
      </w:r>
    </w:p>
    <w:p w:rsidR="00CD3F43" w:rsidRPr="00A7689D" w:rsidRDefault="00CD3F43" w:rsidP="00CD3F43">
      <w:pPr>
        <w:rPr>
          <w:sz w:val="16"/>
        </w:rPr>
      </w:pPr>
      <w:r w:rsidRPr="00A7689D">
        <w:rPr>
          <w:sz w:val="16"/>
        </w:rPr>
        <w:t>ISO: http://www.iso.org/iso/home/news_index/news_archive/news.htm?refid=Ref1536</w:t>
      </w:r>
    </w:p>
    <w:p w:rsidR="00CD3F43" w:rsidRPr="009A3334" w:rsidRDefault="00CD3F43"/>
    <w:sectPr w:rsidR="00CD3F43" w:rsidRPr="009A33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982" w:rsidRDefault="00D53982" w:rsidP="00CD3F43">
      <w:pPr>
        <w:spacing w:after="0" w:line="240" w:lineRule="auto"/>
      </w:pPr>
      <w:r>
        <w:separator/>
      </w:r>
    </w:p>
  </w:endnote>
  <w:endnote w:type="continuationSeparator" w:id="0">
    <w:p w:rsidR="00D53982" w:rsidRDefault="00D53982" w:rsidP="00CD3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982" w:rsidRDefault="00D53982" w:rsidP="00CD3F43">
      <w:pPr>
        <w:spacing w:after="0" w:line="240" w:lineRule="auto"/>
      </w:pPr>
      <w:r>
        <w:separator/>
      </w:r>
    </w:p>
  </w:footnote>
  <w:footnote w:type="continuationSeparator" w:id="0">
    <w:p w:rsidR="00D53982" w:rsidRDefault="00D53982" w:rsidP="00CD3F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1101"/>
    <w:multiLevelType w:val="hybridMultilevel"/>
    <w:tmpl w:val="013EE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E047A"/>
    <w:multiLevelType w:val="hybridMultilevel"/>
    <w:tmpl w:val="E46A7816"/>
    <w:lvl w:ilvl="0" w:tplc="9A508128">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C3B94"/>
    <w:multiLevelType w:val="hybridMultilevel"/>
    <w:tmpl w:val="826ABAA0"/>
    <w:lvl w:ilvl="0" w:tplc="9A508128">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3">
    <w:nsid w:val="2D88775B"/>
    <w:multiLevelType w:val="hybridMultilevel"/>
    <w:tmpl w:val="28301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27BE3"/>
    <w:multiLevelType w:val="hybridMultilevel"/>
    <w:tmpl w:val="167A8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B11CA0"/>
    <w:multiLevelType w:val="hybridMultilevel"/>
    <w:tmpl w:val="B3541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23D"/>
    <w:rsid w:val="000209F5"/>
    <w:rsid w:val="00041AB6"/>
    <w:rsid w:val="000F028C"/>
    <w:rsid w:val="00137FEF"/>
    <w:rsid w:val="00243B98"/>
    <w:rsid w:val="00273184"/>
    <w:rsid w:val="002876A1"/>
    <w:rsid w:val="002D4EE5"/>
    <w:rsid w:val="00305689"/>
    <w:rsid w:val="0033485A"/>
    <w:rsid w:val="00335468"/>
    <w:rsid w:val="00356B82"/>
    <w:rsid w:val="00364EFF"/>
    <w:rsid w:val="003D65F5"/>
    <w:rsid w:val="003F56DE"/>
    <w:rsid w:val="004312BC"/>
    <w:rsid w:val="004453C5"/>
    <w:rsid w:val="00455588"/>
    <w:rsid w:val="004562DA"/>
    <w:rsid w:val="004758F7"/>
    <w:rsid w:val="004C2FFF"/>
    <w:rsid w:val="004E14B5"/>
    <w:rsid w:val="005D4448"/>
    <w:rsid w:val="006414A8"/>
    <w:rsid w:val="00657904"/>
    <w:rsid w:val="0067312E"/>
    <w:rsid w:val="00713B4E"/>
    <w:rsid w:val="00720CE1"/>
    <w:rsid w:val="00784DED"/>
    <w:rsid w:val="00796D2D"/>
    <w:rsid w:val="007C7B4A"/>
    <w:rsid w:val="007D1C48"/>
    <w:rsid w:val="00846930"/>
    <w:rsid w:val="008B66D9"/>
    <w:rsid w:val="008E37EC"/>
    <w:rsid w:val="009153EE"/>
    <w:rsid w:val="00957D1E"/>
    <w:rsid w:val="009A0AE0"/>
    <w:rsid w:val="009A3334"/>
    <w:rsid w:val="009B7EBD"/>
    <w:rsid w:val="00A249CF"/>
    <w:rsid w:val="00A2731E"/>
    <w:rsid w:val="00A813B9"/>
    <w:rsid w:val="00AC2042"/>
    <w:rsid w:val="00AD7BCE"/>
    <w:rsid w:val="00AE01C7"/>
    <w:rsid w:val="00B64990"/>
    <w:rsid w:val="00B873F5"/>
    <w:rsid w:val="00B9349A"/>
    <w:rsid w:val="00C235FF"/>
    <w:rsid w:val="00C93507"/>
    <w:rsid w:val="00C93B07"/>
    <w:rsid w:val="00CD3F43"/>
    <w:rsid w:val="00CF323D"/>
    <w:rsid w:val="00D0171C"/>
    <w:rsid w:val="00D31C3D"/>
    <w:rsid w:val="00D414C0"/>
    <w:rsid w:val="00D53982"/>
    <w:rsid w:val="00DC0A3B"/>
    <w:rsid w:val="00DC2AF4"/>
    <w:rsid w:val="00DE084F"/>
    <w:rsid w:val="00E42D8C"/>
    <w:rsid w:val="00E97655"/>
    <w:rsid w:val="00F15384"/>
    <w:rsid w:val="00FA3A91"/>
    <w:rsid w:val="00FC005B"/>
    <w:rsid w:val="00FC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F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7BCE"/>
    <w:pPr>
      <w:ind w:left="720"/>
      <w:contextualSpacing/>
    </w:pPr>
  </w:style>
  <w:style w:type="character" w:customStyle="1" w:styleId="ListParagraphChar">
    <w:name w:val="List Paragraph Char"/>
    <w:link w:val="ListParagraph"/>
    <w:uiPriority w:val="34"/>
    <w:locked/>
    <w:rsid w:val="00CD3F43"/>
  </w:style>
  <w:style w:type="character" w:styleId="FootnoteReference">
    <w:name w:val="footnote reference"/>
    <w:basedOn w:val="DefaultParagraphFont"/>
    <w:uiPriority w:val="99"/>
    <w:rsid w:val="00CD3F43"/>
    <w:rPr>
      <w:rFonts w:cs="Times New Roman"/>
      <w:vertAlign w:val="superscript"/>
    </w:rPr>
  </w:style>
  <w:style w:type="paragraph" w:styleId="FootnoteText">
    <w:name w:val="footnote text"/>
    <w:link w:val="FootnoteTextChar"/>
    <w:uiPriority w:val="99"/>
    <w:rsid w:val="00CD3F43"/>
    <w:pPr>
      <w:spacing w:after="20" w:line="240" w:lineRule="auto"/>
    </w:pPr>
    <w:rPr>
      <w:rFonts w:ascii="Arial" w:eastAsia="Times New Roman" w:hAnsi="Arial" w:cs="Times New Roman"/>
    </w:rPr>
  </w:style>
  <w:style w:type="character" w:customStyle="1" w:styleId="FootnoteTextChar">
    <w:name w:val="Footnote Text Char"/>
    <w:basedOn w:val="DefaultParagraphFont"/>
    <w:link w:val="FootnoteText"/>
    <w:uiPriority w:val="99"/>
    <w:rsid w:val="00CD3F43"/>
    <w:rPr>
      <w:rFonts w:ascii="Arial" w:eastAsia="Times New Roman" w:hAnsi="Arial" w:cs="Times New Roman"/>
    </w:rPr>
  </w:style>
  <w:style w:type="character" w:customStyle="1" w:styleId="Heading2Char">
    <w:name w:val="Heading 2 Char"/>
    <w:basedOn w:val="DefaultParagraphFont"/>
    <w:link w:val="Heading2"/>
    <w:uiPriority w:val="9"/>
    <w:rsid w:val="00CD3F4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rsid w:val="00CD3F43"/>
    <w:rPr>
      <w:rFonts w:cs="Times New Roman"/>
      <w:color w:val="0000FF"/>
      <w:u w:val="single"/>
    </w:rPr>
  </w:style>
  <w:style w:type="character" w:customStyle="1" w:styleId="Heading1Char">
    <w:name w:val="Heading 1 Char"/>
    <w:basedOn w:val="DefaultParagraphFont"/>
    <w:link w:val="Heading1"/>
    <w:uiPriority w:val="9"/>
    <w:rsid w:val="00CD3F43"/>
    <w:rPr>
      <w:rFonts w:asciiTheme="majorHAnsi" w:eastAsiaTheme="majorEastAsia" w:hAnsiTheme="majorHAnsi" w:cstheme="majorBidi"/>
      <w:color w:val="2E74B5"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D3F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F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D7BCE"/>
    <w:pPr>
      <w:ind w:left="720"/>
      <w:contextualSpacing/>
    </w:pPr>
  </w:style>
  <w:style w:type="character" w:customStyle="1" w:styleId="ListParagraphChar">
    <w:name w:val="List Paragraph Char"/>
    <w:link w:val="ListParagraph"/>
    <w:uiPriority w:val="34"/>
    <w:locked/>
    <w:rsid w:val="00CD3F43"/>
  </w:style>
  <w:style w:type="character" w:styleId="FootnoteReference">
    <w:name w:val="footnote reference"/>
    <w:basedOn w:val="DefaultParagraphFont"/>
    <w:uiPriority w:val="99"/>
    <w:rsid w:val="00CD3F43"/>
    <w:rPr>
      <w:rFonts w:cs="Times New Roman"/>
      <w:vertAlign w:val="superscript"/>
    </w:rPr>
  </w:style>
  <w:style w:type="paragraph" w:styleId="FootnoteText">
    <w:name w:val="footnote text"/>
    <w:link w:val="FootnoteTextChar"/>
    <w:uiPriority w:val="99"/>
    <w:rsid w:val="00CD3F43"/>
    <w:pPr>
      <w:spacing w:after="20" w:line="240" w:lineRule="auto"/>
    </w:pPr>
    <w:rPr>
      <w:rFonts w:ascii="Arial" w:eastAsia="Times New Roman" w:hAnsi="Arial" w:cs="Times New Roman"/>
    </w:rPr>
  </w:style>
  <w:style w:type="character" w:customStyle="1" w:styleId="FootnoteTextChar">
    <w:name w:val="Footnote Text Char"/>
    <w:basedOn w:val="DefaultParagraphFont"/>
    <w:link w:val="FootnoteText"/>
    <w:uiPriority w:val="99"/>
    <w:rsid w:val="00CD3F43"/>
    <w:rPr>
      <w:rFonts w:ascii="Arial" w:eastAsia="Times New Roman" w:hAnsi="Arial" w:cs="Times New Roman"/>
    </w:rPr>
  </w:style>
  <w:style w:type="character" w:customStyle="1" w:styleId="Heading2Char">
    <w:name w:val="Heading 2 Char"/>
    <w:basedOn w:val="DefaultParagraphFont"/>
    <w:link w:val="Heading2"/>
    <w:uiPriority w:val="9"/>
    <w:rsid w:val="00CD3F4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rsid w:val="00CD3F43"/>
    <w:rPr>
      <w:rFonts w:cs="Times New Roman"/>
      <w:color w:val="0000FF"/>
      <w:u w:val="single"/>
    </w:rPr>
  </w:style>
  <w:style w:type="character" w:customStyle="1" w:styleId="Heading1Char">
    <w:name w:val="Heading 1 Char"/>
    <w:basedOn w:val="DefaultParagraphFont"/>
    <w:link w:val="Heading1"/>
    <w:uiPriority w:val="9"/>
    <w:rsid w:val="00CD3F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579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imss.org/library/interoperability-standards/what-is-interoperability"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hln.com/assets/pdf/Coming-to-Terms-February-2007.pdf" TargetMode="External"/><Relationship Id="rId5" Type="http://schemas.openxmlformats.org/officeDocument/2006/relationships/webSettings" Target="webSettings.xml"/><Relationship Id="rId10" Type="http://schemas.openxmlformats.org/officeDocument/2006/relationships/hyperlink" Target="http://www.himss.org/library/interoperability-standards/what-is-interoperability" TargetMode="External"/><Relationship Id="rId4" Type="http://schemas.openxmlformats.org/officeDocument/2006/relationships/settings" Target="settings.xml"/><Relationship Id="rId9" Type="http://schemas.openxmlformats.org/officeDocument/2006/relationships/hyperlink" Target="http://www.himss.org/library/interoperability-standards/what-is-interoper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2264</TotalTime>
  <Pages>1</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Mark A.</dc:creator>
  <cp:keywords/>
  <dc:description/>
  <cp:lastModifiedBy>Kramer, Mark A.</cp:lastModifiedBy>
  <cp:revision>27</cp:revision>
  <dcterms:created xsi:type="dcterms:W3CDTF">2016-07-21T16:21:00Z</dcterms:created>
  <dcterms:modified xsi:type="dcterms:W3CDTF">2016-07-26T17:50:00Z</dcterms:modified>
</cp:coreProperties>
</file>