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header1.xml" ContentType="application/vnd.openxmlformats-officedocument.wordprocessingml.header+xml"/>
  <Override PartName="/word/footer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21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03/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 and DAF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08/16/2014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70% complete; 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Validate the FHIM Through Partner Reviews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03/26/2013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</w:rPr>
              <w:t>02/28/2013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</w:rPr>
              <w:t>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75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Feedback on Lab and Immunizations information domains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has been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addressed</w:t>
            </w:r>
          </w:p>
        </w:tc>
      </w:tr>
      <w:tr>
        <w:tblPrEx>
          <w:shd w:val="clear" w:color="auto" w:fill="auto"/>
        </w:tblPrEx>
        <w:trPr>
          <w:trHeight w:val="21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05/30/14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lang w:val="en-US"/>
              </w:rPr>
              <w:t>85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lang w:val="en-US"/>
              </w:rPr>
              <w:t>20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started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2.</w:t>
            </w:r>
          </w:p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5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63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773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 Bold" w:cs="Arial Bold" w:hAnsi="Arial Bold" w:eastAsia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8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190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 Bold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23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178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  <w:br w:type="textWrapping"/>
      </w:r>
      <w:r>
        <w:rPr>
          <w:sz w:val="22"/>
          <w:szCs w:val="22"/>
        </w:rPr>
        <w:br w:type="page"/>
      </w:r>
    </w:p>
    <w:p>
      <w:pPr>
        <w:pStyle w:val="Heading 3 A A"/>
      </w:pP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Arial Bold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03/</w:t>
    </w:r>
    <w:r>
      <w:rPr>
        <w:rFonts w:ascii="Arial"/>
        <w:sz w:val="16"/>
        <w:szCs w:val="16"/>
        <w:rtl w:val="0"/>
        <w:lang w:val="en-US"/>
      </w:rPr>
      <w:t>21</w:t>
    </w:r>
    <w:r>
      <w:rPr>
        <w:rFonts w:ascii="Arial"/>
        <w:sz w:val="16"/>
        <w:szCs w:val="16"/>
        <w:rtl w:val="0"/>
        <w:lang w:val="en-US"/>
      </w:rPr>
      <w:t>/2014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>Status Report for Steve Wagner, week ended 11/01/2013</w:t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header" Target="header1.xml"/><Relationship Id="rId6" Type="http://schemas.openxmlformats.org/officeDocument/2006/relationships/footer" Target="footer.xml"/><Relationship Id="rId7" Type="http://schemas.openxmlformats.org/officeDocument/2006/relationships/footer" Target="footer1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