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w:t>
      </w:r>
      <w:r>
        <w:rPr>
          <w:rtl w:val="0"/>
          <w:lang w:val="en-US"/>
        </w:rPr>
        <w:t xml:space="preserve"> </w:t>
      </w:r>
      <w:r>
        <w:rPr>
          <w:rtl w:val="0"/>
          <w:lang w:val="en-US"/>
        </w:rPr>
        <w:t>29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focused on the Clinical Decision Support information domain.  We expect modeling of this information domain to take another 4 - 5 more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the Radiology and Imaging information domains.  We e</w:t>
      </w:r>
      <w:r>
        <w:rPr>
          <w:rtl w:val="0"/>
          <w:lang w:val="en-US"/>
        </w:rPr>
        <w:t xml:space="preserve">xpect this modeling to take </w:t>
      </w:r>
      <w:r>
        <w:rPr>
          <w:rtl w:val="0"/>
          <w:lang w:val="en-US"/>
        </w:rPr>
        <w:t xml:space="preserve">another 2 </w:t>
      </w:r>
      <w:r>
        <w:rPr>
          <w:rtl w:val="0"/>
          <w:lang w:val="en-US"/>
        </w:rPr>
        <w:t>weeks.</w:t>
      </w:r>
    </w:p>
    <w:p>
      <w:pPr>
        <w:pStyle w:val="Body A A"/>
      </w:pPr>
    </w:p>
    <w:p>
      <w:pPr>
        <w:pStyle w:val="Body A A"/>
        <w:numPr>
          <w:ilvl w:val="0"/>
          <w:numId w:val="3"/>
        </w:numPr>
        <w:rPr>
          <w:lang w:val="en-US"/>
        </w:rPr>
      </w:pPr>
      <w:r>
        <w:rPr>
          <w:rtl w:val="0"/>
          <w:lang w:val="en-US"/>
        </w:rPr>
        <w:t>CIMI and FHIM - the FHIM Team continued analyzing CIMI and the potential integration of the FHIM and CIMI models.  Discussions were held on the Friday FHIM call.  We are in the information gathering phase of the analysis.  The analysis will probably take another 45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