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September 16</w:t>
      </w:r>
      <w:r>
        <w:rPr>
          <w:rtl w:val="0"/>
          <w:lang w:val="en-US"/>
        </w:rPr>
        <w:t>, 201</w:t>
      </w:r>
      <w:r>
        <w:rPr>
          <w:rtl w:val="0"/>
          <w:lang w:val="en-US"/>
        </w:rPr>
        <w:t>6</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 xml:space="preserve">Information Modeling - the information modeling call for </w:t>
      </w:r>
      <w:r>
        <w:rPr>
          <w:rtl w:val="0"/>
          <w:lang w:val="en-US"/>
        </w:rPr>
        <w:t>last</w:t>
      </w:r>
      <w:r>
        <w:rPr>
          <w:rtl w:val="0"/>
          <w:lang w:val="en-US"/>
        </w:rPr>
        <w:t xml:space="preserve"> week and the call for this week </w:t>
      </w:r>
      <w:r>
        <w:rPr>
          <w:rtl w:val="0"/>
          <w:lang w:val="en-US"/>
        </w:rPr>
        <w:t>were canceled due to the HL7 meeting.  We will continue reviewing comments received on the Medications/Pharmacy domain on the 9/30 call.  We hope to complete review of all the feedback by October 7.  Modeling of the</w:t>
      </w:r>
      <w:r>
        <w:rPr>
          <w:rtl w:val="0"/>
          <w:lang w:val="en-US"/>
        </w:rPr>
        <w:t xml:space="preserve"> CDS content and enhancing the FHIM model structural capabilities to support all CDS requirements </w:t>
      </w:r>
      <w:r>
        <w:rPr>
          <w:rtl w:val="0"/>
          <w:lang w:val="en-US"/>
        </w:rPr>
        <w:t>has progressed as much as possible until CIMI/FHIM integration work is completed</w:t>
      </w:r>
      <w:r>
        <w:rPr>
          <w:rtl w:val="0"/>
          <w:lang w:val="en-US"/>
        </w:rPr>
        <w:t>.</w:t>
      </w:r>
      <w:r>
        <w:rPr>
          <w:rtl w:val="0"/>
          <w:lang w:val="en-US"/>
        </w:rPr>
        <w:t xml:space="preserve">  </w:t>
      </w:r>
      <w:r>
        <w:rPr>
          <w:rtl w:val="0"/>
          <w:lang w:val="en-US"/>
        </w:rPr>
        <w:t>Further work on the CDS domain will be deferred until after the HL7 meeting in September and after we complete the review of comments</w:t>
      </w:r>
      <w:r>
        <w:rPr>
          <w:rtl w:val="0"/>
          <w:lang w:val="en-US"/>
        </w:rPr>
        <w:t>.</w:t>
      </w:r>
    </w:p>
    <w:p>
      <w:pPr>
        <w:pStyle w:val="Body A A"/>
        <w:tabs>
          <w:tab w:val="left" w:pos="180"/>
        </w:tabs>
        <w:ind w:left="180" w:firstLine="0"/>
      </w:pPr>
    </w:p>
    <w:p>
      <w:pPr>
        <w:pStyle w:val="Body A A"/>
        <w:numPr>
          <w:ilvl w:val="0"/>
          <w:numId w:val="2"/>
        </w:numPr>
        <w:rPr>
          <w:lang w:val="en-US"/>
        </w:rPr>
      </w:pPr>
      <w:r>
        <w:rPr>
          <w:rtl w:val="0"/>
          <w:lang w:val="en-US"/>
        </w:rPr>
        <w:t xml:space="preserve">Terminology Modeling - the terminology modeling call </w:t>
      </w:r>
      <w:r>
        <w:rPr>
          <w:rtl w:val="0"/>
          <w:lang w:val="en-US"/>
        </w:rPr>
        <w:t>for last week continued work on the Encounter domain.  The call on 9/21 is canceled due to the HL7 meeting.  Modeling of the Encounter domain will continue on the 9/23 call and is projected to be completed by September 30.</w:t>
      </w:r>
    </w:p>
    <w:p>
      <w:pPr>
        <w:pStyle w:val="Body A A"/>
      </w:pPr>
    </w:p>
    <w:p>
      <w:pPr>
        <w:pStyle w:val="Body A A"/>
        <w:numPr>
          <w:ilvl w:val="0"/>
          <w:numId w:val="2"/>
        </w:numPr>
        <w:rPr>
          <w:lang w:val="en-US"/>
        </w:rPr>
      </w:pPr>
      <w:r>
        <w:rPr>
          <w:rtl w:val="0"/>
          <w:lang w:val="en-US"/>
        </w:rPr>
        <w:t xml:space="preserve">The FHIM Team continues to participate in the HL7 CIMI work group meetings to </w:t>
      </w:r>
      <w:r>
        <w:rPr>
          <w:rtl w:val="0"/>
          <w:lang w:val="en-US"/>
        </w:rPr>
        <w:t>explore</w:t>
      </w:r>
      <w:r>
        <w:rPr>
          <w:rtl w:val="0"/>
          <w:lang w:val="en-US"/>
        </w:rPr>
        <w:t xml:space="preserve"> an approach where both FHIM and CIMI models can fully and efficiently support interoperability. Multiple efforts are ongoing to develop and prove modeling approaches that will satisfy the requirements of CIMI, Clinical Decision Support (CDS), and the Clinical Quality Framework while adopting a disciplined approach to terminology binding using SOLOR. These approaches are being prototyped in UML using the Archetype Modeling Language (AML) profile. This analysis and prototyping work </w:t>
      </w:r>
      <w:r>
        <w:rPr>
          <w:rtl w:val="0"/>
          <w:lang w:val="en-US"/>
        </w:rPr>
        <w:t>will be discussed/</w:t>
      </w:r>
      <w:r>
        <w:rPr>
          <w:rtl w:val="0"/>
          <w:lang w:val="en-US"/>
        </w:rPr>
        <w:t>demonstrated at the upcoming HL7 meeting to be held September 18-23.</w:t>
      </w:r>
      <w:r>
        <w:rPr>
          <w:rtl w:val="0"/>
          <w:lang w:val="en-US"/>
        </w:rPr>
        <w:t xml:space="preserve">  An update on progress will be provide to the HIM WG on the October call.</w:t>
      </w: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rPr>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2</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2</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4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