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August 10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8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(IM) -  the IM call last week</w:t>
      </w:r>
      <w:r>
        <w:rPr>
          <w:rtl w:val="0"/>
          <w:lang w:val="en-US"/>
        </w:rPr>
        <w:t xml:space="preserve"> began looking at the USCDI data domains and began modeling the Clinical Documents domain, which includes clinical notes.  This modeling work will continue this week.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(TM) -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he TM call </w:t>
      </w:r>
      <w:r>
        <w:rPr>
          <w:rtl w:val="0"/>
          <w:lang w:val="en-US"/>
        </w:rPr>
        <w:t>last</w:t>
      </w:r>
      <w:r>
        <w:rPr>
          <w:rtl w:val="0"/>
          <w:lang w:val="en-US"/>
        </w:rPr>
        <w:t xml:space="preserve"> week resume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modeling the Skin and Wound Assessment domain. This modeling work will continue this week.</w:t>
      </w:r>
      <w:r>
        <w:rPr>
          <w:rtl w:val="0"/>
          <w:lang w:val="en-US"/>
        </w:rPr>
        <w:t xml:space="preserve"> 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The FHIM presentations for NLM and HHS CIO Office are undergoing final review by the FHA leads.</w:t>
      </w:r>
    </w:p>
    <w:p>
      <w:pPr>
        <w:pStyle w:val="Body A A"/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