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tabs>
          <w:tab w:val="left" w:pos="6030"/>
        </w:tabs>
        <w:spacing w:before="240" w:after="0" w:line="288" w:lineRule="auto"/>
        <w:rPr>
          <w:rFonts w:ascii="Arial" w:cs="Arial" w:hAnsi="Arial" w:eastAsia="Arial"/>
          <w:b w:val="1"/>
          <w:bCs w:val="1"/>
          <w:color w:val="ffffff"/>
          <w:sz w:val="28"/>
          <w:szCs w:val="28"/>
          <w:u w:color="ffffff"/>
        </w:rPr>
      </w:pPr>
      <w:r>
        <w:drawing>
          <wp:anchor distT="0" distB="0" distL="0" distR="0" simplePos="0" relativeHeight="251660288" behindDoc="0" locked="0" layoutInCell="1" allowOverlap="1">
            <wp:simplePos x="0" y="0"/>
            <wp:positionH relativeFrom="column">
              <wp:posOffset>4638675</wp:posOffset>
            </wp:positionH>
            <wp:positionV relativeFrom="line">
              <wp:posOffset>-60325</wp:posOffset>
            </wp:positionV>
            <wp:extent cx="1028700" cy="1028700"/>
            <wp:effectExtent l="0" t="0" r="0" b="0"/>
            <wp:wrapNone/>
            <wp:docPr id="1073741825" name="officeArt object" descr="Description: Description: Macintosh HD:Users:shannonleigh:Desktop:fha.png"/>
            <wp:cNvGraphicFramePr/>
            <a:graphic xmlns:a="http://schemas.openxmlformats.org/drawingml/2006/main">
              <a:graphicData uri="http://schemas.openxmlformats.org/drawingml/2006/picture">
                <pic:pic xmlns:pic="http://schemas.openxmlformats.org/drawingml/2006/picture">
                  <pic:nvPicPr>
                    <pic:cNvPr id="1073741825" name="image1.png" descr="Description: Description: Macintosh HD:Users:shannonleigh:Desktop:fha.png"/>
                    <pic:cNvPicPr>
                      <a:picLocks noChangeAspect="1"/>
                    </pic:cNvPicPr>
                  </pic:nvPicPr>
                  <pic:blipFill>
                    <a:blip r:embed="rId4">
                      <a:extLst/>
                    </a:blip>
                    <a:stretch>
                      <a:fillRect/>
                    </a:stretch>
                  </pic:blipFill>
                  <pic:spPr>
                    <a:xfrm>
                      <a:off x="0" y="0"/>
                      <a:ext cx="1028700" cy="1028700"/>
                    </a:xfrm>
                    <a:prstGeom prst="rect">
                      <a:avLst/>
                    </a:prstGeom>
                    <a:ln w="12700" cap="flat">
                      <a:noFill/>
                      <a:miter lim="400000"/>
                    </a:ln>
                    <a:effectLst/>
                  </pic:spPr>
                </pic:pic>
              </a:graphicData>
            </a:graphic>
          </wp:anchor>
        </w:drawing>
      </w:r>
      <w:r>
        <mc:AlternateContent>
          <mc:Choice Requires="wps">
            <w:drawing>
              <wp:anchor distT="0" distB="0" distL="0" distR="0" simplePos="0" relativeHeight="251659264" behindDoc="0" locked="0" layoutInCell="1" allowOverlap="1">
                <wp:simplePos x="0" y="0"/>
                <wp:positionH relativeFrom="column">
                  <wp:posOffset>-411480</wp:posOffset>
                </wp:positionH>
                <wp:positionV relativeFrom="line">
                  <wp:posOffset>-209550</wp:posOffset>
                </wp:positionV>
                <wp:extent cx="6318250" cy="1320800"/>
                <wp:effectExtent l="0" t="0" r="0" b="0"/>
                <wp:wrapNone/>
                <wp:docPr id="1073741826" name="officeArt object" descr="Description: &#10;"/>
                <wp:cNvGraphicFramePr/>
                <a:graphic xmlns:a="http://schemas.openxmlformats.org/drawingml/2006/main">
                  <a:graphicData uri="http://schemas.microsoft.com/office/word/2010/wordprocessingShape">
                    <wps:wsp>
                      <wps:cNvSpPr/>
                      <wps:spPr>
                        <a:xfrm>
                          <a:off x="0" y="0"/>
                          <a:ext cx="6318250" cy="1320800"/>
                        </a:xfrm>
                        <a:prstGeom prst="rect">
                          <a:avLst/>
                        </a:prstGeom>
                        <a:gradFill flip="none" rotWithShape="1">
                          <a:gsLst>
                            <a:gs pos="0">
                              <a:srgbClr val="1A334E"/>
                            </a:gs>
                            <a:gs pos="100000">
                              <a:srgbClr val="3D618A"/>
                            </a:gs>
                          </a:gsLst>
                          <a:lin ang="5400000" scaled="0"/>
                        </a:gradFill>
                        <a:ln w="9525" cap="flat">
                          <a:solidFill>
                            <a:srgbClr val="FFFFFF"/>
                          </a:solidFill>
                          <a:prstDash val="solid"/>
                          <a:miter lim="800000"/>
                        </a:ln>
                        <a:effectLst>
                          <a:outerShdw sx="100000" sy="100000" kx="0" ky="0" algn="b" rotWithShape="0" blurRad="12700" dist="23000" dir="5400000">
                            <a:srgbClr val="808080">
                              <a:alpha val="34998"/>
                            </a:srgbClr>
                          </a:outerShdw>
                        </a:effectLst>
                      </wps:spPr>
                      <wps:bodyPr/>
                    </wps:wsp>
                  </a:graphicData>
                </a:graphic>
              </wp:anchor>
            </w:drawing>
          </mc:Choice>
          <mc:Fallback>
            <w:pict>
              <v:rect id="_x0000_s1026" style="visibility:visible;position:absolute;margin-left:-32.4pt;margin-top:-16.5pt;width:497.5pt;height:104.0pt;z-index:251659264;mso-position-horizontal:absolute;mso-position-horizontal-relative:text;mso-position-vertical:absolute;mso-position-vertical-relative:line;mso-wrap-distance-left:0.0pt;mso-wrap-distance-top:0.0pt;mso-wrap-distance-right:0.0pt;mso-wrap-distance-bottom:0.0pt;">
                <v:fill angle="0fd" focus="100%" color="#1A334E" opacity="100.0%" color2="#3D618A" o:opacity2="100.0%" type="gradientUnscaled"/>
                <v:stroke filltype="solid" color="#FFFFFF" opacity="100.0%" weight="0.8pt" dashstyle="solid" endcap="flat" miterlimit="800.0%" joinstyle="miter" linestyle="single" startarrow="none" startarrowwidth="medium" startarrowlength="medium" endarrow="none" endarrowwidth="medium" endarrowlength="medium"/>
                <v:shadow on="t" color="#808080" opacity="0.34998" offset="0.0pt,1.8pt"/>
                <w10:wrap type="none" side="bothSides" anchorx="text"/>
              </v:rect>
            </w:pict>
          </mc:Fallback>
        </mc:AlternateContent>
      </w:r>
      <w:r>
        <w:rPr>
          <w:rFonts w:ascii="Arial" w:hAnsi="Arial"/>
          <w:b w:val="1"/>
          <w:bCs w:val="1"/>
          <w:color w:val="ffffff"/>
          <w:sz w:val="28"/>
          <w:szCs w:val="28"/>
          <w:u w:color="ffffff"/>
          <w:rtl w:val="0"/>
          <w:lang w:val="en-US"/>
        </w:rPr>
        <w:t>MEETING TITLE Agenda</w:t>
      </w:r>
    </w:p>
    <w:p>
      <w:pPr>
        <w:pStyle w:val="Body A"/>
        <w:spacing w:after="0" w:line="288" w:lineRule="auto"/>
        <w:rPr>
          <w:rFonts w:ascii="Arial" w:cs="Arial" w:hAnsi="Arial" w:eastAsia="Arial"/>
          <w:b w:val="1"/>
          <w:bCs w:val="1"/>
          <w:color w:val="ffffff"/>
          <w:u w:color="ffffff"/>
        </w:rPr>
      </w:pPr>
      <w:r>
        <w:rPr>
          <w:rFonts w:ascii="Arial" w:hAnsi="Arial"/>
          <w:b w:val="1"/>
          <w:bCs w:val="1"/>
          <w:color w:val="ffffff"/>
          <w:u w:color="ffffff"/>
          <w:rtl w:val="0"/>
          <w:lang w:val="en-US"/>
        </w:rPr>
        <w:t>DAY, DATE</w:t>
      </w:r>
    </w:p>
    <w:p>
      <w:pPr>
        <w:pStyle w:val="Body A"/>
        <w:spacing w:after="480" w:line="288" w:lineRule="auto"/>
        <w:rPr>
          <w:rFonts w:ascii="Arial" w:cs="Arial" w:hAnsi="Arial" w:eastAsia="Arial"/>
          <w:b w:val="1"/>
          <w:bCs w:val="1"/>
          <w:color w:val="ffffff"/>
          <w:u w:color="ffffff"/>
        </w:rPr>
      </w:pPr>
      <w:r>
        <w:rPr>
          <w:rFonts w:ascii="Arial" w:hAnsi="Arial"/>
          <w:b w:val="1"/>
          <w:bCs w:val="1"/>
          <w:color w:val="ffffff"/>
          <w:u w:color="ffffff"/>
          <w:rtl w:val="0"/>
          <w:lang w:val="en-US"/>
        </w:rPr>
        <w:t>TIME / Capitol View</w:t>
      </w:r>
      <w:r>
        <w:rPr>
          <w:rtl w:val="0"/>
          <w:lang w:val="en-US"/>
        </w:rPr>
        <w:t xml:space="preserve"> </w:t>
      </w:r>
    </w:p>
    <w:p>
      <w:pPr>
        <w:pStyle w:val="Body A"/>
        <w:spacing w:line="240" w:lineRule="auto"/>
        <w:jc w:val="center"/>
        <w:rPr>
          <w:rFonts w:ascii="Arial" w:cs="Arial" w:hAnsi="Arial" w:eastAsia="Arial"/>
          <w:b w:val="1"/>
          <w:bCs w:val="1"/>
          <w:color w:val="365f91"/>
          <w:sz w:val="20"/>
          <w:szCs w:val="20"/>
          <w:u w:color="365f91"/>
        </w:rPr>
      </w:pPr>
    </w:p>
    <w:p>
      <w:pPr>
        <w:pStyle w:val="Body A"/>
        <w:spacing w:line="240" w:lineRule="auto"/>
        <w:jc w:val="center"/>
        <w:rPr>
          <w:rFonts w:ascii="Arial" w:cs="Arial" w:hAnsi="Arial" w:eastAsia="Arial"/>
          <w:b w:val="1"/>
          <w:bCs w:val="1"/>
          <w:color w:val="365f91"/>
          <w:sz w:val="20"/>
          <w:szCs w:val="20"/>
          <w:u w:color="365f91"/>
        </w:rPr>
      </w:pPr>
      <w:r>
        <w:rPr>
          <w:rFonts w:ascii="Arial" w:hAnsi="Arial"/>
          <w:b w:val="1"/>
          <w:bCs w:val="1"/>
          <w:color w:val="365f91"/>
          <w:sz w:val="20"/>
          <w:szCs w:val="20"/>
          <w:u w:color="365f91"/>
          <w:rtl w:val="0"/>
          <w:lang w:val="en-US"/>
        </w:rPr>
        <w:t>FHA Health Information Modeling WG</w:t>
      </w:r>
    </w:p>
    <w:p>
      <w:pPr>
        <w:pStyle w:val="Body A"/>
        <w:spacing w:line="240" w:lineRule="auto"/>
        <w:jc w:val="center"/>
        <w:rPr>
          <w:rFonts w:ascii="Arial" w:cs="Arial" w:hAnsi="Arial" w:eastAsia="Arial"/>
          <w:b w:val="1"/>
          <w:bCs w:val="1"/>
          <w:color w:val="365f91"/>
          <w:sz w:val="20"/>
          <w:szCs w:val="20"/>
          <w:u w:val="single" w:color="365f91"/>
        </w:rPr>
      </w:pPr>
      <w:r>
        <w:rPr>
          <w:rFonts w:ascii="Arial" w:hAnsi="Arial"/>
          <w:b w:val="1"/>
          <w:bCs w:val="1"/>
          <w:color w:val="365f91"/>
          <w:sz w:val="20"/>
          <w:szCs w:val="20"/>
          <w:u w:val="single" w:color="365f91"/>
          <w:rtl w:val="0"/>
          <w:lang w:val="en-US"/>
        </w:rPr>
        <w:t>Meeting Minutes</w:t>
      </w:r>
    </w:p>
    <w:p>
      <w:pPr>
        <w:pStyle w:val="Body A"/>
        <w:spacing w:line="240" w:lineRule="auto"/>
        <w:jc w:val="center"/>
        <w:rPr>
          <w:rFonts w:ascii="Arial" w:cs="Arial" w:hAnsi="Arial" w:eastAsia="Arial"/>
          <w:b w:val="1"/>
          <w:bCs w:val="1"/>
          <w:color w:val="365f91"/>
          <w:sz w:val="20"/>
          <w:szCs w:val="20"/>
          <w:u w:color="365f91"/>
        </w:rPr>
      </w:pPr>
      <w:r>
        <w:rPr>
          <w:rFonts w:ascii="Arial" w:hAnsi="Arial"/>
          <w:b w:val="1"/>
          <w:bCs w:val="1"/>
          <w:color w:val="365f91"/>
          <w:sz w:val="20"/>
          <w:szCs w:val="20"/>
          <w:u w:color="365f91"/>
          <w:rtl w:val="0"/>
          <w:lang w:val="en-US"/>
        </w:rPr>
        <w:t>12/08/2015</w:t>
      </w:r>
    </w:p>
    <w:tbl>
      <w:tblPr>
        <w:tblW w:w="9289"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99"/>
        <w:gridCol w:w="5470"/>
        <w:gridCol w:w="2220"/>
      </w:tblGrid>
      <w:tr>
        <w:tblPrEx>
          <w:shd w:val="clear" w:color="auto" w:fill="ceddeb"/>
        </w:tblPrEx>
        <w:trPr>
          <w:trHeight w:val="4313" w:hRule="atLeast"/>
        </w:trPr>
        <w:tc>
          <w:tcPr>
            <w:tcW w:type="dxa" w:w="1599"/>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w:spacing w:after="24"/>
            </w:pPr>
            <w:r>
              <w:rPr>
                <w:rFonts w:ascii="Arial" w:hAnsi="Arial"/>
                <w:sz w:val="20"/>
                <w:szCs w:val="20"/>
                <w:rtl w:val="0"/>
                <w:lang w:val="en-US"/>
              </w:rPr>
              <w:t>1:10 - 1:20</w:t>
            </w:r>
          </w:p>
        </w:tc>
        <w:tc>
          <w:tcPr>
            <w:tcW w:type="dxa" w:w="5470"/>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w:spacing w:after="24"/>
            </w:pPr>
            <w:r>
              <w:rPr>
                <w:rFonts w:ascii="Arial" w:hAnsi="Arial"/>
                <w:b w:val="1"/>
                <w:bCs w:val="1"/>
                <w:sz w:val="20"/>
                <w:szCs w:val="20"/>
                <w:rtl w:val="0"/>
                <w:lang w:val="en-US"/>
              </w:rPr>
              <w:t>Review Information Modeling work on Radiology and Imaging</w:t>
            </w:r>
          </w:p>
          <w:p>
            <w:pPr>
              <w:pStyle w:val="List Paragraph"/>
              <w:numPr>
                <w:ilvl w:val="0"/>
                <w:numId w:val="1"/>
              </w:numPr>
              <w:bidi w:val="0"/>
              <w:spacing w:after="24"/>
              <w:ind w:right="0"/>
              <w:jc w:val="left"/>
              <w:rPr>
                <w:rFonts w:ascii="Arial" w:hAnsi="Arial"/>
                <w:sz w:val="20"/>
                <w:szCs w:val="20"/>
                <w:rtl w:val="0"/>
                <w:lang w:val="en-US"/>
              </w:rPr>
            </w:pPr>
            <w:r>
              <w:rPr>
                <w:rFonts w:ascii="Arial" w:hAnsi="Arial"/>
                <w:sz w:val="20"/>
                <w:szCs w:val="20"/>
                <w:rtl w:val="0"/>
                <w:lang w:val="en-US"/>
              </w:rPr>
              <w:t xml:space="preserve">Completed the information modeling </w:t>
            </w:r>
            <w:r>
              <w:rPr>
                <w:rFonts w:ascii="Arial" w:hAnsi="Arial"/>
                <w:sz w:val="20"/>
                <w:szCs w:val="20"/>
                <w:rtl w:val="0"/>
                <w:lang w:val="en-US"/>
              </w:rPr>
              <w:t>of</w:t>
            </w:r>
            <w:r>
              <w:rPr>
                <w:rFonts w:ascii="Arial" w:hAnsi="Arial"/>
                <w:sz w:val="20"/>
                <w:szCs w:val="20"/>
                <w:rtl w:val="0"/>
                <w:lang w:val="en-US"/>
              </w:rPr>
              <w:t xml:space="preserve"> these </w:t>
            </w:r>
            <w:r>
              <w:rPr>
                <w:rFonts w:ascii="Arial" w:hAnsi="Arial"/>
                <w:sz w:val="20"/>
                <w:szCs w:val="20"/>
                <w:rtl w:val="0"/>
                <w:lang w:val="en-US"/>
              </w:rPr>
              <w:t>two information domains</w:t>
            </w:r>
            <w:r>
              <w:rPr>
                <w:rFonts w:ascii="Arial" w:hAnsi="Arial"/>
                <w:sz w:val="20"/>
                <w:szCs w:val="20"/>
                <w:rtl w:val="0"/>
                <w:lang w:val="en-US"/>
              </w:rPr>
              <w:t xml:space="preserve">. </w:t>
            </w:r>
            <w:r>
              <w:rPr>
                <w:rFonts w:ascii="Arial" w:hAnsi="Arial"/>
                <w:sz w:val="20"/>
                <w:szCs w:val="20"/>
                <w:rtl w:val="0"/>
                <w:lang w:val="en-US"/>
              </w:rPr>
              <w:t xml:space="preserve">Began work on next information domain - Clinical Decision Support. </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Combined the modeling of the </w:t>
            </w:r>
            <w:r>
              <w:rPr>
                <w:rFonts w:ascii="Arial" w:hAnsi="Arial"/>
                <w:sz w:val="20"/>
                <w:szCs w:val="20"/>
                <w:rtl w:val="0"/>
                <w:lang w:val="en-US"/>
              </w:rPr>
              <w:t>Radiology and Imaging</w:t>
            </w:r>
            <w:r>
              <w:rPr>
                <w:rFonts w:ascii="Arial" w:hAnsi="Arial"/>
                <w:sz w:val="20"/>
                <w:szCs w:val="20"/>
                <w:rtl w:val="0"/>
                <w:lang w:val="en-US"/>
              </w:rPr>
              <w:t xml:space="preserve"> </w:t>
            </w:r>
            <w:r>
              <w:rPr>
                <w:rFonts w:ascii="Arial" w:hAnsi="Arial"/>
                <w:sz w:val="20"/>
                <w:szCs w:val="20"/>
                <w:rtl w:val="0"/>
                <w:lang w:val="en-US"/>
              </w:rPr>
              <w:t>information domains</w:t>
            </w:r>
            <w:r>
              <w:rPr>
                <w:rFonts w:ascii="Arial" w:hAnsi="Arial"/>
                <w:sz w:val="20"/>
                <w:szCs w:val="20"/>
                <w:rtl w:val="0"/>
                <w:lang w:val="en-US"/>
              </w:rPr>
              <w:t xml:space="preserve"> into one </w:t>
            </w:r>
            <w:r>
              <w:rPr>
                <w:rFonts w:ascii="Arial" w:hAnsi="Arial"/>
                <w:sz w:val="20"/>
                <w:szCs w:val="20"/>
                <w:rtl w:val="0"/>
                <w:lang w:val="en-US"/>
              </w:rPr>
              <w:t>domain</w:t>
            </w:r>
            <w:r>
              <w:rPr>
                <w:rFonts w:ascii="Arial" w:hAnsi="Arial"/>
                <w:sz w:val="20"/>
                <w:szCs w:val="20"/>
                <w:rtl w:val="0"/>
                <w:lang w:val="en-US"/>
              </w:rPr>
              <w:t xml:space="preserve"> called </w:t>
            </w:r>
            <w:r>
              <w:rPr>
                <w:rFonts w:ascii="Arial" w:hAnsi="Arial" w:hint="default"/>
                <w:sz w:val="20"/>
                <w:szCs w:val="20"/>
                <w:rtl w:val="0"/>
                <w:lang w:val="en-US"/>
              </w:rPr>
              <w:t>“</w:t>
            </w:r>
            <w:r>
              <w:rPr>
                <w:rFonts w:ascii="Arial" w:hAnsi="Arial"/>
                <w:sz w:val="20"/>
                <w:szCs w:val="20"/>
                <w:rtl w:val="0"/>
                <w:lang w:val="en-US"/>
              </w:rPr>
              <w:t>Imaging</w:t>
            </w:r>
            <w:r>
              <w:rPr>
                <w:rFonts w:ascii="Arial" w:hAnsi="Arial" w:hint="default"/>
                <w:sz w:val="20"/>
                <w:szCs w:val="20"/>
                <w:rtl w:val="0"/>
                <w:lang w:val="en-US"/>
              </w:rPr>
              <w:t>”</w:t>
            </w:r>
            <w:r>
              <w:rPr>
                <w:rFonts w:ascii="Arial" w:hAnsi="Arial"/>
                <w:sz w:val="20"/>
                <w:szCs w:val="20"/>
                <w:rtl w:val="0"/>
                <w:lang w:val="en-US"/>
              </w:rPr>
              <w:t>.</w:t>
            </w:r>
          </w:p>
          <w:p>
            <w:pPr>
              <w:pStyle w:val="List Paragraph"/>
              <w:numPr>
                <w:ilvl w:val="0"/>
                <w:numId w:val="1"/>
              </w:numPr>
              <w:bidi w:val="0"/>
              <w:spacing w:after="24"/>
              <w:ind w:right="0"/>
              <w:jc w:val="left"/>
              <w:rPr>
                <w:rFonts w:ascii="Arial" w:hAnsi="Arial"/>
                <w:sz w:val="20"/>
                <w:szCs w:val="20"/>
                <w:rtl w:val="0"/>
                <w:lang w:val="en-US"/>
              </w:rPr>
            </w:pPr>
            <w:r>
              <w:rPr>
                <w:rFonts w:ascii="Arial" w:hAnsi="Arial"/>
                <w:sz w:val="20"/>
                <w:szCs w:val="20"/>
                <w:rtl w:val="0"/>
                <w:lang w:val="en-US"/>
              </w:rPr>
              <w:t>FHIR has roughly the same structure as the imaging studies</w:t>
            </w:r>
            <w:r>
              <w:rPr>
                <w:rFonts w:ascii="Arial" w:hAnsi="Arial"/>
                <w:sz w:val="20"/>
                <w:szCs w:val="20"/>
                <w:rtl w:val="0"/>
                <w:lang w:val="en-US"/>
              </w:rPr>
              <w:t xml:space="preserve"> in the FHIM domain</w:t>
            </w:r>
            <w:r>
              <w:rPr>
                <w:rFonts w:ascii="Arial" w:hAnsi="Arial"/>
                <w:sz w:val="20"/>
                <w:szCs w:val="20"/>
                <w:rtl w:val="0"/>
                <w:lang w:val="en-US"/>
              </w:rPr>
              <w:t>.</w:t>
            </w:r>
          </w:p>
          <w:p>
            <w:pPr>
              <w:pStyle w:val="List Paragraph"/>
              <w:numPr>
                <w:ilvl w:val="0"/>
                <w:numId w:val="1"/>
              </w:numPr>
              <w:bidi w:val="0"/>
              <w:spacing w:after="24"/>
              <w:ind w:right="0"/>
              <w:jc w:val="left"/>
              <w:rPr>
                <w:rFonts w:ascii="Arial" w:hAnsi="Arial"/>
                <w:sz w:val="20"/>
                <w:szCs w:val="20"/>
                <w:rtl w:val="0"/>
                <w:lang w:val="en-US"/>
              </w:rPr>
            </w:pPr>
            <w:r>
              <w:rPr>
                <w:rFonts w:ascii="Arial" w:hAnsi="Arial"/>
                <w:sz w:val="20"/>
                <w:szCs w:val="20"/>
                <w:rtl w:val="0"/>
                <w:lang w:val="en-US"/>
              </w:rPr>
              <w:t>Image interpretation report will bring in the clinical interpretation of the image.</w:t>
            </w:r>
          </w:p>
          <w:p>
            <w:pPr>
              <w:pStyle w:val="List Paragraph"/>
              <w:numPr>
                <w:ilvl w:val="0"/>
                <w:numId w:val="1"/>
              </w:numPr>
              <w:bidi w:val="0"/>
              <w:spacing w:after="24"/>
              <w:ind w:right="0"/>
              <w:jc w:val="left"/>
              <w:rPr>
                <w:rFonts w:ascii="Arial" w:hAnsi="Arial"/>
                <w:sz w:val="20"/>
                <w:szCs w:val="20"/>
                <w:rtl w:val="0"/>
                <w:lang w:val="en-US"/>
              </w:rPr>
            </w:pPr>
            <w:r>
              <w:rPr>
                <w:rFonts w:ascii="Arial" w:hAnsi="Arial"/>
                <w:sz w:val="20"/>
                <w:szCs w:val="20"/>
                <w:rtl w:val="0"/>
                <w:lang w:val="en-US"/>
              </w:rPr>
              <w:t>19 classes unique to imagin</w:t>
            </w:r>
            <w:r>
              <w:rPr>
                <w:rFonts w:ascii="Arial" w:hAnsi="Arial"/>
                <w:sz w:val="20"/>
                <w:szCs w:val="20"/>
                <w:rtl w:val="0"/>
                <w:lang w:val="en-US"/>
              </w:rPr>
              <w:t>g</w:t>
            </w:r>
            <w:r>
              <w:rPr>
                <w:rFonts w:ascii="Arial" w:hAnsi="Arial"/>
                <w:sz w:val="20"/>
                <w:szCs w:val="20"/>
                <w:rtl w:val="0"/>
                <w:lang w:val="en-US"/>
              </w:rPr>
              <w:t xml:space="preserve">, the rest of the classes in the image </w:t>
            </w:r>
            <w:r>
              <w:rPr>
                <w:rFonts w:ascii="Arial" w:hAnsi="Arial"/>
                <w:sz w:val="20"/>
                <w:szCs w:val="20"/>
                <w:rtl w:val="0"/>
                <w:lang w:val="en-US"/>
              </w:rPr>
              <w:t xml:space="preserve">domain </w:t>
            </w:r>
            <w:r>
              <w:rPr>
                <w:rFonts w:ascii="Arial" w:hAnsi="Arial"/>
                <w:sz w:val="20"/>
                <w:szCs w:val="20"/>
                <w:rtl w:val="0"/>
                <w:lang w:val="en-US"/>
              </w:rPr>
              <w:t xml:space="preserve">come from other packages. 103 attributes, 14 of which are coded. The next step is for the team to look at those coded attributes and recommend </w:t>
            </w:r>
            <w:r>
              <w:rPr>
                <w:rFonts w:ascii="Arial" w:hAnsi="Arial"/>
                <w:sz w:val="20"/>
                <w:szCs w:val="20"/>
                <w:rtl w:val="0"/>
                <w:lang w:val="en-US"/>
              </w:rPr>
              <w:t>value sets and other changes</w:t>
            </w:r>
            <w:r>
              <w:rPr>
                <w:rFonts w:ascii="Arial" w:hAnsi="Arial"/>
                <w:sz w:val="20"/>
                <w:szCs w:val="20"/>
                <w:rtl w:val="0"/>
                <w:lang w:val="en-US"/>
              </w:rPr>
              <w:t>.</w:t>
            </w:r>
          </w:p>
          <w:p>
            <w:pPr>
              <w:pStyle w:val="List Paragraph"/>
              <w:numPr>
                <w:ilvl w:val="0"/>
                <w:numId w:val="1"/>
              </w:numPr>
              <w:bidi w:val="0"/>
              <w:spacing w:after="24"/>
              <w:ind w:right="0"/>
              <w:jc w:val="left"/>
              <w:rPr>
                <w:rFonts w:ascii="Arial" w:hAnsi="Arial"/>
                <w:sz w:val="20"/>
                <w:szCs w:val="20"/>
                <w:rtl w:val="0"/>
                <w:lang w:val="en-US"/>
              </w:rPr>
            </w:pPr>
            <w:r>
              <w:rPr>
                <w:rFonts w:ascii="Arial" w:hAnsi="Arial"/>
                <w:sz w:val="20"/>
                <w:szCs w:val="20"/>
                <w:rtl w:val="0"/>
                <w:lang w:val="en-US"/>
              </w:rPr>
              <w:t>Bob Bishop asked whether videos are included and Galen confirmed that just about any format</w:t>
            </w:r>
            <w:r>
              <w:rPr>
                <w:rFonts w:ascii="Arial" w:hAnsi="Arial"/>
                <w:sz w:val="20"/>
                <w:szCs w:val="20"/>
                <w:rtl w:val="0"/>
                <w:lang w:val="en-US"/>
              </w:rPr>
              <w:t xml:space="preserve"> for </w:t>
            </w:r>
            <w:r>
              <w:rPr>
                <w:rFonts w:ascii="Arial" w:hAnsi="Arial"/>
                <w:sz w:val="20"/>
                <w:szCs w:val="20"/>
                <w:rtl w:val="0"/>
                <w:lang w:val="en-US"/>
              </w:rPr>
              <w:t>videos can be included.</w:t>
            </w:r>
          </w:p>
        </w:tc>
        <w:tc>
          <w:tcPr>
            <w:tcW w:type="dxa" w:w="2220"/>
            <w:tcBorders>
              <w:top w:val="nil"/>
              <w:left w:val="nil"/>
              <w:bottom w:val="nil"/>
              <w:right w:val="nil"/>
            </w:tcBorders>
            <w:shd w:val="clear" w:color="auto" w:fill="auto"/>
            <w:tcMar>
              <w:top w:type="dxa" w:w="80"/>
              <w:left w:type="dxa" w:w="80"/>
              <w:bottom w:type="dxa" w:w="80"/>
              <w:right w:type="dxa" w:w="80"/>
            </w:tcMar>
            <w:vAlign w:val="center"/>
          </w:tcPr>
          <w:p>
            <w:pPr>
              <w:pStyle w:val="Table Style 2 A"/>
              <w:spacing w:after="24"/>
            </w:pPr>
            <w:r>
              <w:rPr>
                <w:rFonts w:ascii="Arial" w:hAnsi="Arial"/>
                <w:rtl w:val="0"/>
                <w:lang w:val="en-US"/>
              </w:rPr>
              <w:t>Galen Mulrooney</w:t>
            </w:r>
          </w:p>
        </w:tc>
      </w:tr>
      <w:tr>
        <w:tblPrEx>
          <w:shd w:val="clear" w:color="auto" w:fill="ceddeb"/>
        </w:tblPrEx>
        <w:trPr>
          <w:trHeight w:val="7047" w:hRule="atLeast"/>
        </w:trPr>
        <w:tc>
          <w:tcPr>
            <w:tcW w:type="dxa" w:w="1599"/>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A"/>
              <w:spacing w:after="24" w:line="240" w:lineRule="auto"/>
            </w:pPr>
            <w:r>
              <w:rPr>
                <w:rFonts w:ascii="Arial" w:hAnsi="Arial"/>
                <w:sz w:val="20"/>
                <w:szCs w:val="20"/>
                <w:rtl w:val="0"/>
                <w:lang w:val="en-US"/>
              </w:rPr>
              <w:t>1:20  - 1:45</w:t>
            </w:r>
          </w:p>
        </w:tc>
        <w:tc>
          <w:tcPr>
            <w:tcW w:type="dxa" w:w="5470"/>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Table Style 2 A"/>
              <w:spacing w:after="24"/>
            </w:pPr>
            <w:r>
              <w:rPr>
                <w:rFonts w:ascii="Arial" w:hAnsi="Arial"/>
                <w:b w:val="1"/>
                <w:bCs w:val="1"/>
                <w:rtl w:val="0"/>
                <w:lang w:val="en-US"/>
              </w:rPr>
              <w:t>Review and Discuss Reports Generated from the FHIM Using our Mapping/Categorization Information</w:t>
            </w:r>
          </w:p>
          <w:p>
            <w:pPr>
              <w:pStyle w:val="Table Style 2 A"/>
              <w:numPr>
                <w:ilvl w:val="0"/>
                <w:numId w:val="2"/>
              </w:numPr>
              <w:bidi w:val="0"/>
              <w:spacing w:after="24"/>
              <w:ind w:right="0"/>
              <w:jc w:val="left"/>
              <w:rPr>
                <w:rFonts w:ascii="Arial" w:hAnsi="Arial"/>
                <w:rtl w:val="0"/>
                <w:lang w:val="en-US"/>
              </w:rPr>
            </w:pPr>
            <w:r>
              <w:rPr>
                <w:rFonts w:ascii="Arial" w:hAnsi="Arial"/>
                <w:rtl w:val="0"/>
                <w:lang w:val="en-US"/>
              </w:rPr>
              <w:t>Changes were incorporated from the suggestions at the last meeting.</w:t>
            </w:r>
          </w:p>
          <w:p>
            <w:pPr>
              <w:pStyle w:val="Table Style 2 A"/>
              <w:numPr>
                <w:ilvl w:val="0"/>
                <w:numId w:val="2"/>
              </w:numPr>
              <w:bidi w:val="0"/>
              <w:spacing w:after="24"/>
              <w:ind w:right="0"/>
              <w:jc w:val="left"/>
              <w:rPr>
                <w:rFonts w:ascii="Arial" w:hAnsi="Arial"/>
                <w:rtl w:val="0"/>
                <w:lang w:val="en-US"/>
              </w:rPr>
            </w:pPr>
            <w:r>
              <w:rPr>
                <w:rFonts w:ascii="Arial" w:hAnsi="Arial"/>
                <w:rtl w:val="0"/>
                <w:lang w:val="en-US"/>
              </w:rPr>
              <w:t>Included how much is covered and how much is not covered within a particular specification.</w:t>
            </w:r>
          </w:p>
          <w:p>
            <w:pPr>
              <w:pStyle w:val="Table Style 2 A"/>
              <w:numPr>
                <w:ilvl w:val="0"/>
                <w:numId w:val="2"/>
              </w:numPr>
              <w:bidi w:val="0"/>
              <w:spacing w:after="24"/>
              <w:ind w:right="0"/>
              <w:jc w:val="left"/>
              <w:rPr>
                <w:rFonts w:ascii="Arial" w:hAnsi="Arial"/>
                <w:rtl w:val="0"/>
                <w:lang w:val="en-US"/>
              </w:rPr>
            </w:pPr>
            <w:r>
              <w:rPr>
                <w:rFonts w:ascii="Arial" w:hAnsi="Arial"/>
                <w:rtl w:val="0"/>
                <w:lang w:val="en-US"/>
              </w:rPr>
              <w:t>Included how the FHIM maps to and covers a particular standard.</w:t>
            </w:r>
          </w:p>
          <w:p>
            <w:pPr>
              <w:pStyle w:val="Table Style 2 A"/>
              <w:numPr>
                <w:ilvl w:val="0"/>
                <w:numId w:val="2"/>
              </w:numPr>
              <w:bidi w:val="0"/>
              <w:spacing w:after="24"/>
              <w:ind w:right="0"/>
              <w:jc w:val="left"/>
              <w:rPr>
                <w:rFonts w:ascii="Arial" w:hAnsi="Arial"/>
                <w:rtl w:val="0"/>
                <w:lang w:val="en-US"/>
              </w:rPr>
            </w:pPr>
            <w:r>
              <w:rPr>
                <w:rFonts w:ascii="Arial" w:hAnsi="Arial"/>
                <w:rtl w:val="0"/>
                <w:lang w:val="en-US"/>
              </w:rPr>
              <w:t>In the process of putting the mapping metadata directly in the FHIM so that edits do not make it automatically out of date. Going forward, just about anything can be mapped to the FHIM</w:t>
            </w:r>
            <w:r>
              <w:rPr>
                <w:rFonts w:ascii="Arial" w:hAnsi="Arial"/>
                <w:rtl w:val="0"/>
                <w:lang w:val="en-US"/>
              </w:rPr>
              <w:t xml:space="preserve"> </w:t>
            </w:r>
            <w:r>
              <w:rPr>
                <w:rFonts w:ascii="Arial" w:hAnsi="Arial"/>
                <w:rtl w:val="0"/>
                <w:lang w:val="en-US"/>
              </w:rPr>
              <w:t>(such as a partner</w:t>
            </w:r>
            <w:r>
              <w:rPr>
                <w:rFonts w:ascii="Arial" w:hAnsi="Arial" w:hint="default"/>
                <w:rtl w:val="0"/>
                <w:lang w:val="en-US"/>
              </w:rPr>
              <w:t>’</w:t>
            </w:r>
            <w:r>
              <w:rPr>
                <w:rFonts w:ascii="Arial" w:hAnsi="Arial"/>
                <w:rtl w:val="0"/>
                <w:lang w:val="en-US"/>
              </w:rPr>
              <w:t>s mapping), not just a standard.</w:t>
            </w:r>
          </w:p>
          <w:p>
            <w:pPr>
              <w:pStyle w:val="Table Style 2 A"/>
              <w:numPr>
                <w:ilvl w:val="0"/>
                <w:numId w:val="2"/>
              </w:numPr>
              <w:bidi w:val="0"/>
              <w:spacing w:after="24"/>
              <w:ind w:right="0"/>
              <w:jc w:val="left"/>
              <w:rPr>
                <w:rFonts w:ascii="Arial" w:hAnsi="Arial"/>
                <w:rtl w:val="0"/>
                <w:lang w:val="en-US"/>
              </w:rPr>
            </w:pPr>
            <w:r>
              <w:rPr>
                <w:rFonts w:ascii="Arial" w:hAnsi="Arial"/>
                <w:rtl w:val="0"/>
                <w:lang w:val="en-US"/>
              </w:rPr>
              <w:t>Bob asked for confirmation whether it will not be a straight one to one mapping and Sean confirms that some can be mapped to two or more.</w:t>
            </w:r>
          </w:p>
          <w:p>
            <w:pPr>
              <w:pStyle w:val="Table Style 2 A"/>
              <w:numPr>
                <w:ilvl w:val="0"/>
                <w:numId w:val="2"/>
              </w:numPr>
              <w:bidi w:val="0"/>
              <w:spacing w:after="24"/>
              <w:ind w:right="0"/>
              <w:jc w:val="left"/>
              <w:rPr>
                <w:rFonts w:ascii="Arial" w:hAnsi="Arial"/>
                <w:rtl w:val="0"/>
                <w:lang w:val="en-US"/>
              </w:rPr>
            </w:pPr>
            <w:r>
              <w:rPr>
                <w:rFonts w:ascii="Arial" w:hAnsi="Arial"/>
                <w:rtl w:val="0"/>
                <w:lang w:val="en-US"/>
              </w:rPr>
              <w:t>DoD and VA would be able to exchange mappings in this way.</w:t>
            </w:r>
          </w:p>
          <w:p>
            <w:pPr>
              <w:pStyle w:val="Table Style 2 A"/>
              <w:numPr>
                <w:ilvl w:val="0"/>
                <w:numId w:val="2"/>
              </w:numPr>
              <w:bidi w:val="0"/>
              <w:spacing w:after="24"/>
              <w:ind w:right="0"/>
              <w:jc w:val="left"/>
              <w:rPr>
                <w:rFonts w:ascii="Arial" w:hAnsi="Arial"/>
                <w:rtl w:val="0"/>
                <w:lang w:val="en-US"/>
              </w:rPr>
            </w:pPr>
            <w:r>
              <w:rPr>
                <w:rFonts w:ascii="Arial" w:hAnsi="Arial"/>
                <w:rtl w:val="0"/>
                <w:lang w:val="en-US"/>
              </w:rPr>
              <w:t xml:space="preserve">Bob questioned the ease of exchanging mappings if interoperability requires it. Sean agreed that there are challenges but stated that MDMI </w:t>
            </w:r>
            <w:r>
              <w:rPr>
                <w:rFonts w:ascii="Arial" w:hAnsi="Arial"/>
                <w:rtl w:val="0"/>
                <w:lang w:val="en-US"/>
              </w:rPr>
              <w:t xml:space="preserve">mapping </w:t>
            </w:r>
            <w:r>
              <w:rPr>
                <w:rFonts w:ascii="Arial" w:hAnsi="Arial"/>
                <w:rtl w:val="0"/>
                <w:lang w:val="en-US"/>
              </w:rPr>
              <w:t>approach is being leveraged to support</w:t>
            </w:r>
            <w:r>
              <w:rPr>
                <w:rFonts w:ascii="Arial" w:hAnsi="Arial"/>
                <w:rtl w:val="0"/>
                <w:lang w:val="en-US"/>
              </w:rPr>
              <w:t xml:space="preserve"> these requirements</w:t>
            </w:r>
            <w:r>
              <w:rPr>
                <w:rFonts w:ascii="Arial" w:hAnsi="Arial"/>
                <w:rtl w:val="0"/>
                <w:lang w:val="en-US"/>
              </w:rPr>
              <w:t xml:space="preserve">. It will evolve as they </w:t>
            </w:r>
            <w:r>
              <w:rPr>
                <w:rFonts w:ascii="Arial" w:hAnsi="Arial"/>
                <w:rtl w:val="0"/>
                <w:lang w:val="en-US"/>
              </w:rPr>
              <w:t>identify and support</w:t>
            </w:r>
            <w:r>
              <w:rPr>
                <w:rFonts w:ascii="Arial" w:hAnsi="Arial"/>
                <w:rtl w:val="0"/>
                <w:lang w:val="en-US"/>
              </w:rPr>
              <w:t xml:space="preserve"> more use cases.</w:t>
            </w:r>
          </w:p>
          <w:p>
            <w:pPr>
              <w:pStyle w:val="Table Style 2 A"/>
              <w:numPr>
                <w:ilvl w:val="0"/>
                <w:numId w:val="2"/>
              </w:numPr>
              <w:bidi w:val="0"/>
              <w:spacing w:after="24"/>
              <w:ind w:right="0"/>
              <w:jc w:val="left"/>
              <w:rPr>
                <w:rFonts w:ascii="Arial" w:hAnsi="Arial"/>
                <w:rtl w:val="0"/>
                <w:lang w:val="en-US"/>
              </w:rPr>
            </w:pPr>
            <w:r>
              <w:rPr>
                <w:rFonts w:ascii="Arial" w:hAnsi="Arial"/>
                <w:rtl w:val="0"/>
                <w:lang w:val="en-US"/>
              </w:rPr>
              <w:t xml:space="preserve">This is a mapping to an information model </w:t>
            </w:r>
            <w:r>
              <w:rPr>
                <w:rFonts w:ascii="Arial" w:hAnsi="Arial" w:hint="default"/>
                <w:rtl w:val="0"/>
                <w:lang w:val="en-US"/>
              </w:rPr>
              <w:t xml:space="preserve">– </w:t>
            </w:r>
            <w:r>
              <w:rPr>
                <w:rFonts w:ascii="Arial" w:hAnsi="Arial"/>
                <w:rtl w:val="0"/>
                <w:lang w:val="en-US"/>
              </w:rPr>
              <w:t xml:space="preserve">we could have something </w:t>
            </w:r>
            <w:r>
              <w:rPr>
                <w:rFonts w:ascii="Arial" w:hAnsi="Arial"/>
                <w:rtl w:val="0"/>
                <w:lang w:val="en-US"/>
              </w:rPr>
              <w:t>additional</w:t>
            </w:r>
            <w:r>
              <w:rPr>
                <w:rFonts w:ascii="Arial" w:hAnsi="Arial"/>
                <w:rtl w:val="0"/>
                <w:lang w:val="en-US"/>
              </w:rPr>
              <w:t xml:space="preserve"> that </w:t>
            </w:r>
            <w:r>
              <w:rPr>
                <w:rFonts w:ascii="Arial" w:hAnsi="Arial"/>
                <w:rtl w:val="0"/>
                <w:lang w:val="en-US"/>
              </w:rPr>
              <w:t>supports</w:t>
            </w:r>
            <w:r>
              <w:rPr>
                <w:rFonts w:ascii="Arial" w:hAnsi="Arial"/>
                <w:rtl w:val="0"/>
                <w:lang w:val="en-US"/>
              </w:rPr>
              <w:t xml:space="preserve"> mapping</w:t>
            </w:r>
            <w:r>
              <w:rPr>
                <w:rFonts w:ascii="Arial" w:hAnsi="Arial"/>
                <w:rtl w:val="0"/>
                <w:lang w:val="en-US"/>
              </w:rPr>
              <w:t>s</w:t>
            </w:r>
            <w:r>
              <w:rPr>
                <w:rFonts w:ascii="Arial" w:hAnsi="Arial"/>
                <w:rtl w:val="0"/>
                <w:lang w:val="en-US"/>
              </w:rPr>
              <w:t xml:space="preserve"> to value set</w:t>
            </w:r>
            <w:r>
              <w:rPr>
                <w:rFonts w:ascii="Arial" w:hAnsi="Arial"/>
                <w:rtl w:val="0"/>
                <w:lang w:val="en-US"/>
              </w:rPr>
              <w:t>s</w:t>
            </w:r>
            <w:r>
              <w:rPr>
                <w:rFonts w:ascii="Arial" w:hAnsi="Arial"/>
                <w:rtl w:val="0"/>
                <w:lang w:val="en-US"/>
              </w:rPr>
              <w:t>.</w:t>
            </w:r>
          </w:p>
          <w:p>
            <w:pPr>
              <w:pStyle w:val="Table Style 2 A"/>
              <w:numPr>
                <w:ilvl w:val="0"/>
                <w:numId w:val="2"/>
              </w:numPr>
              <w:bidi w:val="0"/>
              <w:spacing w:after="24"/>
              <w:ind w:right="0"/>
              <w:jc w:val="left"/>
              <w:rPr>
                <w:rFonts w:ascii="Arial" w:hAnsi="Arial"/>
                <w:rtl w:val="0"/>
                <w:lang w:val="en-US"/>
              </w:rPr>
            </w:pPr>
            <w:r>
              <w:rPr>
                <w:rFonts w:ascii="Arial" w:hAnsi="Arial"/>
                <w:rtl w:val="0"/>
                <w:lang w:val="en-US"/>
              </w:rPr>
              <w:t xml:space="preserve">Gary Dickenson asked about the functionality to compare certain mappings to identify gaps or overlaps. Galen </w:t>
            </w:r>
            <w:r>
              <w:rPr>
                <w:rFonts w:ascii="Arial" w:hAnsi="Arial"/>
                <w:rtl w:val="0"/>
                <w:lang w:val="en-US"/>
              </w:rPr>
              <w:t xml:space="preserve">that </w:t>
            </w:r>
            <w:r>
              <w:rPr>
                <w:rFonts w:ascii="Arial" w:hAnsi="Arial"/>
                <w:rtl w:val="0"/>
                <w:lang w:val="en-US"/>
              </w:rPr>
              <w:t>state</w:t>
            </w:r>
            <w:r>
              <w:rPr>
                <w:rFonts w:ascii="Arial" w:hAnsi="Arial"/>
                <w:rtl w:val="0"/>
                <w:lang w:val="en-US"/>
              </w:rPr>
              <w:t>d so far</w:t>
            </w:r>
            <w:r>
              <w:rPr>
                <w:rFonts w:ascii="Arial" w:hAnsi="Arial"/>
                <w:rtl w:val="0"/>
                <w:lang w:val="en-US"/>
              </w:rPr>
              <w:t xml:space="preserve"> </w:t>
            </w:r>
            <w:r>
              <w:rPr>
                <w:rFonts w:ascii="Arial" w:hAnsi="Arial"/>
                <w:rtl w:val="0"/>
                <w:lang w:val="en-US"/>
              </w:rPr>
              <w:t>this capability</w:t>
            </w:r>
            <w:r>
              <w:rPr>
                <w:rFonts w:ascii="Arial" w:hAnsi="Arial"/>
                <w:rtl w:val="0"/>
                <w:lang w:val="en-US"/>
              </w:rPr>
              <w:t xml:space="preserve"> has been manually maintained.</w:t>
            </w:r>
            <w:r>
              <w:rPr>
                <w:rFonts w:ascii="Arial" w:hAnsi="Arial"/>
                <w:rtl w:val="0"/>
                <w:lang w:val="en-US"/>
              </w:rPr>
              <w:t xml:space="preserve"> </w:t>
            </w:r>
            <w:r>
              <w:rPr>
                <w:rFonts w:ascii="Arial" w:hAnsi="Arial"/>
                <w:rtl w:val="0"/>
                <w:lang w:val="en-US"/>
              </w:rPr>
              <w:t>S</w:t>
            </w:r>
            <w:r>
              <w:rPr>
                <w:rFonts w:ascii="Arial" w:hAnsi="Arial"/>
                <w:rtl w:val="0"/>
                <w:lang w:val="en-US"/>
              </w:rPr>
              <w:t>&amp;</w:t>
            </w:r>
            <w:r>
              <w:rPr>
                <w:rFonts w:ascii="Arial" w:hAnsi="Arial"/>
                <w:rtl w:val="0"/>
                <w:lang w:val="en-US"/>
              </w:rPr>
              <w:t>I Framework initiative</w:t>
            </w:r>
            <w:r>
              <w:rPr>
                <w:rFonts w:ascii="Arial" w:hAnsi="Arial"/>
                <w:rtl w:val="0"/>
                <w:lang w:val="en-US"/>
              </w:rPr>
              <w:t>s are now</w:t>
            </w:r>
            <w:r>
              <w:rPr>
                <w:rFonts w:ascii="Arial" w:hAnsi="Arial"/>
                <w:rtl w:val="0"/>
                <w:lang w:val="en-US"/>
              </w:rPr>
              <w:t xml:space="preserve"> </w:t>
            </w:r>
            <w:r>
              <w:rPr>
                <w:rFonts w:ascii="Arial" w:hAnsi="Arial"/>
                <w:rtl w:val="0"/>
                <w:lang w:val="en-US"/>
              </w:rPr>
              <w:t xml:space="preserve">mapped </w:t>
            </w:r>
            <w:r>
              <w:rPr>
                <w:rFonts w:ascii="Arial" w:hAnsi="Arial"/>
                <w:rtl w:val="0"/>
                <w:lang w:val="en-US"/>
              </w:rPr>
              <w:t>to the FHIM.</w:t>
            </w:r>
          </w:p>
        </w:tc>
        <w:tc>
          <w:tcPr>
            <w:tcW w:type="dxa" w:w="2220"/>
            <w:tcBorders>
              <w:top w:val="nil"/>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Table Style 2 A"/>
              <w:spacing w:after="24"/>
            </w:pPr>
            <w:r>
              <w:rPr>
                <w:rFonts w:ascii="Arial" w:hAnsi="Arial"/>
                <w:rtl w:val="0"/>
                <w:lang w:val="en-US"/>
              </w:rPr>
              <w:t>Galen Mulrooney and Sean Muir</w:t>
            </w:r>
          </w:p>
        </w:tc>
      </w:tr>
      <w:tr>
        <w:tblPrEx>
          <w:shd w:val="clear" w:color="auto" w:fill="ceddeb"/>
        </w:tblPrEx>
        <w:trPr>
          <w:trHeight w:val="4920" w:hRule="atLeast"/>
        </w:trPr>
        <w:tc>
          <w:tcPr>
            <w:tcW w:type="dxa" w:w="1599"/>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w:spacing w:after="24"/>
            </w:pPr>
            <w:r>
              <w:rPr>
                <w:rFonts w:ascii="Arial" w:hAnsi="Arial"/>
                <w:sz w:val="20"/>
                <w:szCs w:val="20"/>
                <w:rtl w:val="0"/>
                <w:lang w:val="en-US"/>
              </w:rPr>
              <w:t>1:45 - 1:55</w:t>
            </w:r>
          </w:p>
        </w:tc>
        <w:tc>
          <w:tcPr>
            <w:tcW w:type="dxa" w:w="5470"/>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w:spacing w:after="24"/>
            </w:pPr>
            <w:r>
              <w:rPr>
                <w:rFonts w:ascii="Arial" w:hAnsi="Arial"/>
                <w:b w:val="1"/>
                <w:bCs w:val="1"/>
                <w:sz w:val="20"/>
                <w:szCs w:val="20"/>
                <w:rtl w:val="0"/>
                <w:lang w:val="en-US"/>
              </w:rPr>
              <w:t>Discussion about Broadening Awareness and Use of FHIM/MDHT/MDA</w:t>
            </w:r>
          </w:p>
          <w:p>
            <w:pPr>
              <w:pStyle w:val="List Paragraph"/>
              <w:numPr>
                <w:ilvl w:val="0"/>
                <w:numId w:val="3"/>
              </w:numPr>
              <w:bidi w:val="0"/>
              <w:spacing w:after="24"/>
              <w:ind w:right="0"/>
              <w:jc w:val="left"/>
              <w:rPr>
                <w:rFonts w:ascii="Arial" w:hAnsi="Arial"/>
                <w:sz w:val="20"/>
                <w:szCs w:val="20"/>
                <w:rtl w:val="0"/>
                <w:lang w:val="en-US"/>
              </w:rPr>
            </w:pPr>
            <w:r>
              <w:rPr>
                <w:rFonts w:ascii="Arial" w:hAnsi="Arial"/>
                <w:sz w:val="20"/>
                <w:szCs w:val="20"/>
                <w:rtl w:val="0"/>
                <w:lang w:val="en-US"/>
              </w:rPr>
              <w:t>We have modeled all the most critical domains, 80-85% of all information exchanges. The next couple domains will bump this up to 90%.</w:t>
            </w:r>
          </w:p>
          <w:p>
            <w:pPr>
              <w:pStyle w:val="List Paragraph"/>
              <w:numPr>
                <w:ilvl w:val="0"/>
                <w:numId w:val="3"/>
              </w:numPr>
              <w:bidi w:val="0"/>
              <w:spacing w:after="24"/>
              <w:ind w:right="0"/>
              <w:jc w:val="left"/>
              <w:rPr>
                <w:rFonts w:ascii="Arial" w:hAnsi="Arial"/>
                <w:sz w:val="20"/>
                <w:szCs w:val="20"/>
                <w:rtl w:val="0"/>
                <w:lang w:val="en-US"/>
              </w:rPr>
            </w:pPr>
            <w:r>
              <w:rPr>
                <w:rFonts w:ascii="Arial" w:hAnsi="Arial"/>
                <w:sz w:val="20"/>
                <w:szCs w:val="20"/>
                <w:rtl w:val="0"/>
                <w:lang w:val="en-US"/>
              </w:rPr>
              <w:t>David asked about the status of the FHIM and FHIR alignment. Is it aligned to the current DS</w:t>
            </w:r>
            <w:r>
              <w:rPr>
                <w:rFonts w:ascii="Arial" w:hAnsi="Arial"/>
                <w:sz w:val="20"/>
                <w:szCs w:val="20"/>
                <w:rtl w:val="0"/>
                <w:lang w:val="en-US"/>
              </w:rPr>
              <w:t>TU</w:t>
            </w:r>
            <w:r>
              <w:rPr>
                <w:rFonts w:ascii="Arial" w:hAnsi="Arial"/>
                <w:sz w:val="20"/>
                <w:szCs w:val="20"/>
                <w:rtl w:val="0"/>
                <w:lang w:val="en-US"/>
              </w:rPr>
              <w:t xml:space="preserve">2 for all of the resources in FHIR? </w:t>
            </w:r>
            <w:r>
              <w:rPr>
                <w:rFonts w:ascii="Arial" w:hAnsi="Arial"/>
                <w:sz w:val="20"/>
                <w:szCs w:val="20"/>
                <w:rtl w:val="0"/>
                <w:lang w:val="en-US"/>
              </w:rPr>
              <w:t>Galen</w:t>
            </w:r>
            <w:r>
              <w:rPr>
                <w:rFonts w:ascii="Arial" w:hAnsi="Arial"/>
                <w:sz w:val="20"/>
                <w:szCs w:val="20"/>
                <w:rtl w:val="0"/>
                <w:lang w:val="en-US"/>
              </w:rPr>
              <w:t xml:space="preserve"> confirmed that </w:t>
            </w:r>
            <w:r>
              <w:rPr>
                <w:rFonts w:ascii="Arial" w:hAnsi="Arial"/>
                <w:sz w:val="20"/>
                <w:szCs w:val="20"/>
                <w:rtl w:val="0"/>
                <w:lang w:val="en-US"/>
              </w:rPr>
              <w:t>everything</w:t>
            </w:r>
            <w:r>
              <w:rPr>
                <w:rFonts w:ascii="Arial" w:hAnsi="Arial"/>
                <w:sz w:val="20"/>
                <w:szCs w:val="20"/>
                <w:rtl w:val="0"/>
                <w:lang w:val="en-US"/>
              </w:rPr>
              <w:t xml:space="preserve"> he </w:t>
            </w:r>
            <w:r>
              <w:rPr>
                <w:rFonts w:ascii="Arial" w:hAnsi="Arial"/>
                <w:sz w:val="20"/>
                <w:szCs w:val="20"/>
                <w:rtl w:val="0"/>
                <w:lang w:val="en-US"/>
              </w:rPr>
              <w:t>i</w:t>
            </w:r>
            <w:r>
              <w:rPr>
                <w:rFonts w:ascii="Arial" w:hAnsi="Arial"/>
                <w:sz w:val="20"/>
                <w:szCs w:val="20"/>
                <w:rtl w:val="0"/>
                <w:lang w:val="en-US"/>
              </w:rPr>
              <w:t>s mapp</w:t>
            </w:r>
            <w:r>
              <w:rPr>
                <w:rFonts w:ascii="Arial" w:hAnsi="Arial"/>
                <w:sz w:val="20"/>
                <w:szCs w:val="20"/>
                <w:rtl w:val="0"/>
                <w:lang w:val="en-US"/>
              </w:rPr>
              <w:t>ing</w:t>
            </w:r>
            <w:r>
              <w:rPr>
                <w:rFonts w:ascii="Arial" w:hAnsi="Arial"/>
                <w:sz w:val="20"/>
                <w:szCs w:val="20"/>
                <w:rtl w:val="0"/>
                <w:lang w:val="en-US"/>
              </w:rPr>
              <w:t xml:space="preserve"> </w:t>
            </w:r>
            <w:r>
              <w:rPr>
                <w:rFonts w:ascii="Arial" w:hAnsi="Arial"/>
                <w:sz w:val="20"/>
                <w:szCs w:val="20"/>
                <w:rtl w:val="0"/>
                <w:lang w:val="en-US"/>
              </w:rPr>
              <w:t>is</w:t>
            </w:r>
            <w:r>
              <w:rPr>
                <w:rFonts w:ascii="Arial" w:hAnsi="Arial"/>
                <w:sz w:val="20"/>
                <w:szCs w:val="20"/>
                <w:rtl w:val="0"/>
                <w:lang w:val="en-US"/>
              </w:rPr>
              <w:t xml:space="preserve"> aligned </w:t>
            </w:r>
            <w:r>
              <w:rPr>
                <w:rFonts w:ascii="Arial" w:hAnsi="Arial"/>
                <w:sz w:val="20"/>
                <w:szCs w:val="20"/>
                <w:rtl w:val="0"/>
                <w:lang w:val="en-US"/>
              </w:rPr>
              <w:t xml:space="preserve">to DSTU2, </w:t>
            </w:r>
            <w:r>
              <w:rPr>
                <w:rFonts w:ascii="Arial" w:hAnsi="Arial"/>
                <w:sz w:val="20"/>
                <w:szCs w:val="20"/>
                <w:rtl w:val="0"/>
                <w:lang w:val="en-US"/>
              </w:rPr>
              <w:t xml:space="preserve">but </w:t>
            </w:r>
            <w:r>
              <w:rPr>
                <w:rFonts w:ascii="Arial" w:hAnsi="Arial"/>
                <w:sz w:val="20"/>
                <w:szCs w:val="20"/>
                <w:rtl w:val="0"/>
                <w:lang w:val="en-US"/>
              </w:rPr>
              <w:t>previously mappings have</w:t>
            </w:r>
            <w:r>
              <w:rPr>
                <w:rFonts w:ascii="Arial" w:hAnsi="Arial"/>
                <w:sz w:val="20"/>
                <w:szCs w:val="20"/>
                <w:rtl w:val="0"/>
                <w:lang w:val="en-US"/>
              </w:rPr>
              <w:t xml:space="preserve"> not </w:t>
            </w:r>
            <w:r>
              <w:rPr>
                <w:rFonts w:ascii="Arial" w:hAnsi="Arial"/>
                <w:sz w:val="20"/>
                <w:szCs w:val="20"/>
                <w:rtl w:val="0"/>
                <w:lang w:val="en-US"/>
              </w:rPr>
              <w:t xml:space="preserve">been </w:t>
            </w:r>
            <w:r>
              <w:rPr>
                <w:rFonts w:ascii="Arial" w:hAnsi="Arial"/>
                <w:sz w:val="20"/>
                <w:szCs w:val="20"/>
                <w:rtl w:val="0"/>
                <w:lang w:val="en-US"/>
              </w:rPr>
              <w:t xml:space="preserve">retroactively aligned yet. </w:t>
            </w:r>
            <w:r>
              <w:rPr>
                <w:rFonts w:ascii="Arial" w:hAnsi="Arial"/>
                <w:sz w:val="20"/>
                <w:szCs w:val="20"/>
                <w:rtl w:val="0"/>
                <w:lang w:val="en-US"/>
              </w:rPr>
              <w:t>Galen</w:t>
            </w:r>
            <w:r>
              <w:rPr>
                <w:rFonts w:ascii="Arial" w:hAnsi="Arial"/>
                <w:sz w:val="20"/>
                <w:szCs w:val="20"/>
                <w:rtl w:val="0"/>
                <w:lang w:val="en-US"/>
              </w:rPr>
              <w:t xml:space="preserve"> is in the process of updating them, primarily by pasting the FHIR definition into the FHIM. David requested making the alignment to FHIR as visible as possible to reduce duplication of efforts. Try to line up the </w:t>
            </w:r>
            <w:r>
              <w:rPr>
                <w:rFonts w:ascii="Arial" w:hAnsi="Arial"/>
                <w:sz w:val="20"/>
                <w:szCs w:val="20"/>
                <w:rtl w:val="0"/>
                <w:lang w:val="en-US"/>
              </w:rPr>
              <w:t>profil</w:t>
            </w:r>
            <w:r>
              <w:rPr>
                <w:rFonts w:ascii="Arial" w:hAnsi="Arial"/>
                <w:sz w:val="20"/>
                <w:szCs w:val="20"/>
                <w:rtl w:val="0"/>
                <w:lang w:val="en-US"/>
              </w:rPr>
              <w:t>es in FHIR as to how they reference each other.</w:t>
            </w:r>
          </w:p>
          <w:p>
            <w:pPr>
              <w:pStyle w:val="List Paragraph"/>
              <w:numPr>
                <w:ilvl w:val="0"/>
                <w:numId w:val="3"/>
              </w:numPr>
              <w:bidi w:val="0"/>
              <w:spacing w:after="24"/>
              <w:ind w:right="0"/>
              <w:jc w:val="left"/>
              <w:rPr>
                <w:rFonts w:ascii="Arial" w:hAnsi="Arial"/>
                <w:sz w:val="20"/>
                <w:szCs w:val="20"/>
                <w:rtl w:val="0"/>
                <w:lang w:val="en-US"/>
              </w:rPr>
            </w:pPr>
            <w:r>
              <w:rPr>
                <w:rFonts w:ascii="Arial" w:hAnsi="Arial"/>
                <w:sz w:val="20"/>
                <w:szCs w:val="20"/>
                <w:rtl w:val="0"/>
                <w:lang w:val="en-US"/>
              </w:rPr>
              <w:t>Discussion on how to make the benefits of the FHIM apparent to partners. Bob stated that they need to be pushing for broad understanding and adoption of the FHIM at the VA. The nuances and current limitations of the FHIM may be clear to the group but it needs to be made crystal clear to the larger community.</w:t>
            </w:r>
          </w:p>
        </w:tc>
        <w:tc>
          <w:tcPr>
            <w:tcW w:type="dxa" w:w="2220"/>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Table Style 2 A"/>
              <w:spacing w:after="24"/>
            </w:pPr>
            <w:r>
              <w:rPr>
                <w:rFonts w:ascii="Arial" w:hAnsi="Arial"/>
                <w:rtl w:val="0"/>
                <w:lang w:val="en-US"/>
              </w:rPr>
              <w:t>Steve</w:t>
            </w:r>
          </w:p>
        </w:tc>
      </w:tr>
      <w:tr>
        <w:tblPrEx>
          <w:shd w:val="clear" w:color="auto" w:fill="ceddeb"/>
        </w:tblPrEx>
        <w:trPr>
          <w:trHeight w:val="734" w:hRule="atLeast"/>
        </w:trPr>
        <w:tc>
          <w:tcPr>
            <w:tcW w:type="dxa" w:w="1599"/>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A"/>
              <w:spacing w:after="24" w:line="240" w:lineRule="auto"/>
            </w:pPr>
            <w:r>
              <w:rPr>
                <w:rFonts w:ascii="Arial" w:hAnsi="Arial"/>
                <w:sz w:val="20"/>
                <w:szCs w:val="20"/>
                <w:rtl w:val="0"/>
                <w:lang w:val="en-US"/>
              </w:rPr>
              <w:t xml:space="preserve">1:55 </w:t>
            </w:r>
            <w:r>
              <w:rPr>
                <w:rFonts w:ascii="Arial" w:hAnsi="Arial" w:hint="default"/>
                <w:sz w:val="20"/>
                <w:szCs w:val="20"/>
                <w:rtl w:val="0"/>
                <w:lang w:val="en-US"/>
              </w:rPr>
              <w:t xml:space="preserve">– </w:t>
            </w:r>
            <w:r>
              <w:rPr>
                <w:rFonts w:ascii="Arial" w:hAnsi="Arial"/>
                <w:sz w:val="20"/>
                <w:szCs w:val="20"/>
                <w:rtl w:val="0"/>
                <w:lang w:val="en-US"/>
              </w:rPr>
              <w:t>2:00</w:t>
            </w:r>
          </w:p>
        </w:tc>
        <w:tc>
          <w:tcPr>
            <w:tcW w:type="dxa" w:w="5470"/>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A"/>
              <w:spacing w:after="24" w:line="240" w:lineRule="auto"/>
            </w:pPr>
            <w:r>
              <w:rPr>
                <w:rFonts w:ascii="Arial" w:hAnsi="Arial"/>
                <w:b w:val="1"/>
                <w:bCs w:val="1"/>
                <w:sz w:val="20"/>
                <w:szCs w:val="20"/>
                <w:rtl w:val="0"/>
                <w:lang w:val="en-US"/>
              </w:rPr>
              <w:t>Wrap-up, and action items</w:t>
            </w:r>
          </w:p>
        </w:tc>
        <w:tc>
          <w:tcPr>
            <w:tcW w:type="dxa" w:w="2220"/>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Table Style 2 A"/>
              <w:spacing w:after="24"/>
            </w:pPr>
            <w:r>
              <w:rPr>
                <w:rFonts w:ascii="Arial" w:hAnsi="Arial"/>
                <w:rtl w:val="0"/>
                <w:lang w:val="en-US"/>
              </w:rPr>
              <w:t>Caitlin Ryan</w:t>
            </w:r>
          </w:p>
        </w:tc>
      </w:tr>
    </w:tbl>
    <w:p>
      <w:pPr>
        <w:pStyle w:val="Body A"/>
        <w:widowControl w:val="0"/>
        <w:spacing w:line="240" w:lineRule="auto"/>
        <w:ind w:left="216" w:hanging="216"/>
        <w:jc w:val="center"/>
      </w:pPr>
      <w:r>
        <w:rPr>
          <w:rFonts w:ascii="Arial" w:cs="Arial" w:hAnsi="Arial" w:eastAsia="Arial"/>
          <w:b w:val="1"/>
          <w:bCs w:val="1"/>
          <w:color w:val="365f91"/>
          <w:sz w:val="20"/>
          <w:szCs w:val="20"/>
          <w:u w:color="365f91"/>
        </w:rPr>
      </w:r>
    </w:p>
    <w:sectPr>
      <w:headerReference w:type="default" r:id="rId5"/>
      <w:footerReference w:type="default" r:id="rId6"/>
      <w:pgSz w:w="12240" w:h="15840" w:orient="portrait"/>
      <w:pgMar w:top="1440" w:right="1440" w:bottom="1152"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