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B3C52" w:rsidRDefault="00A171A7">
      <w:pPr>
        <w:pStyle w:val="BodyA"/>
        <w:tabs>
          <w:tab w:val="left" w:pos="6030"/>
        </w:tabs>
        <w:spacing w:before="240" w:after="0" w:line="288" w:lineRule="auto"/>
        <w:rPr>
          <w:rFonts w:ascii="Arial" w:eastAsia="Arial" w:hAnsi="Arial" w:cs="Arial"/>
          <w:b/>
          <w:bCs/>
          <w:color w:val="FFFFFF"/>
          <w:sz w:val="28"/>
          <w:szCs w:val="28"/>
          <w:u w:color="FFFFFF"/>
        </w:rPr>
      </w:pPr>
      <w:r>
        <w:rPr>
          <w:noProof/>
        </w:rPr>
        <mc:AlternateContent>
          <mc:Choice Requires="wps">
            <w:drawing>
              <wp:anchor distT="0" distB="0" distL="0" distR="0" simplePos="0" relativeHeight="251659264" behindDoc="0" locked="0" layoutInCell="1" allowOverlap="1" wp14:anchorId="6898F246" wp14:editId="4E935606">
                <wp:simplePos x="0" y="0"/>
                <wp:positionH relativeFrom="column">
                  <wp:posOffset>-409575</wp:posOffset>
                </wp:positionH>
                <wp:positionV relativeFrom="line">
                  <wp:posOffset>-209550</wp:posOffset>
                </wp:positionV>
                <wp:extent cx="6858000" cy="1162050"/>
                <wp:effectExtent l="19050" t="0" r="38100" b="57150"/>
                <wp:wrapNone/>
                <wp:docPr id="1073741826" name="officeArt object" descr="Description: &#10;"/>
                <wp:cNvGraphicFramePr/>
                <a:graphic xmlns:a="http://schemas.openxmlformats.org/drawingml/2006/main">
                  <a:graphicData uri="http://schemas.microsoft.com/office/word/2010/wordprocessingShape">
                    <wps:wsp>
                      <wps:cNvSpPr/>
                      <wps:spPr>
                        <a:xfrm>
                          <a:off x="0" y="0"/>
                          <a:ext cx="6858000" cy="1162050"/>
                        </a:xfrm>
                        <a:prstGeom prst="rect">
                          <a:avLst/>
                        </a:prstGeom>
                        <a:gradFill flip="none" rotWithShape="1">
                          <a:gsLst>
                            <a:gs pos="0">
                              <a:srgbClr val="1A334E"/>
                            </a:gs>
                            <a:gs pos="100000">
                              <a:srgbClr val="3D618A"/>
                            </a:gs>
                          </a:gsLst>
                          <a:lin ang="5400000" scaled="0"/>
                        </a:gradFill>
                        <a:ln w="9525" cap="flat">
                          <a:solidFill>
                            <a:srgbClr val="FFFFFF"/>
                          </a:solidFill>
                          <a:prstDash val="solid"/>
                          <a:miter lim="800000"/>
                        </a:ln>
                        <a:effectLst>
                          <a:outerShdw blurRad="12700" dist="23000" dir="5400000" rotWithShape="0">
                            <a:srgbClr val="808080">
                              <a:alpha val="34998"/>
                            </a:srgbClr>
                          </a:outerShdw>
                        </a:effectLst>
                      </wps:spPr>
                      <wps:txbx>
                        <w:txbxContent>
                          <w:p w:rsidR="00A171A7" w:rsidRPr="00A171A7" w:rsidRDefault="00A171A7" w:rsidP="00A171A7">
                            <w:pPr>
                              <w:rPr>
                                <w:color w:val="FFFFFF" w:themeColor="background1"/>
                                <w:sz w:val="36"/>
                              </w:rPr>
                            </w:pPr>
                            <w:r w:rsidRPr="00A171A7">
                              <w:rPr>
                                <w:color w:val="FFFFFF" w:themeColor="background1"/>
                                <w:sz w:val="36"/>
                              </w:rPr>
                              <w:t>FHA Health Information Modeling Work Group (HIM WG)</w:t>
                            </w:r>
                          </w:p>
                          <w:p w:rsidR="00A171A7" w:rsidRDefault="00A171A7" w:rsidP="00A171A7">
                            <w:pPr>
                              <w:rPr>
                                <w:color w:val="FFFFFF" w:themeColor="background1"/>
                                <w:sz w:val="28"/>
                              </w:rPr>
                            </w:pPr>
                          </w:p>
                          <w:p w:rsidR="00A171A7" w:rsidRPr="00A171A7" w:rsidRDefault="00A171A7" w:rsidP="00A171A7">
                            <w:pPr>
                              <w:rPr>
                                <w:color w:val="FFFFFF" w:themeColor="background1"/>
                                <w:sz w:val="28"/>
                              </w:rPr>
                            </w:pPr>
                            <w:r w:rsidRPr="00A171A7">
                              <w:rPr>
                                <w:color w:val="FFFFFF" w:themeColor="background1"/>
                                <w:sz w:val="28"/>
                              </w:rPr>
                              <w:t>February 9</w:t>
                            </w:r>
                            <w:r w:rsidRPr="00A171A7">
                              <w:rPr>
                                <w:color w:val="FFFFFF" w:themeColor="background1"/>
                                <w:sz w:val="28"/>
                                <w:vertAlign w:val="superscript"/>
                              </w:rPr>
                              <w:t>th</w:t>
                            </w:r>
                            <w:r w:rsidRPr="00A171A7">
                              <w:rPr>
                                <w:color w:val="FFFFFF" w:themeColor="background1"/>
                                <w:sz w:val="28"/>
                              </w:rPr>
                              <w:t>, 1-2pm EST</w:t>
                            </w:r>
                          </w:p>
                          <w:p w:rsidR="00A171A7" w:rsidRPr="00A171A7" w:rsidRDefault="00A171A7" w:rsidP="00A171A7">
                            <w:pPr>
                              <w:rPr>
                                <w:color w:val="FFFFFF" w:themeColor="background1"/>
                                <w:sz w:val="28"/>
                              </w:rPr>
                            </w:pPr>
                            <w:r w:rsidRPr="00A171A7">
                              <w:rPr>
                                <w:color w:val="FFFFFF" w:themeColor="background1"/>
                                <w:sz w:val="28"/>
                              </w:rPr>
                              <w:t xml:space="preserve">Dial-in: </w:t>
                            </w:r>
                            <w:r w:rsidRPr="00A171A7">
                              <w:rPr>
                                <w:color w:val="FFFFFF" w:themeColor="background1"/>
                                <w:sz w:val="28"/>
                                <w:lang w:val="en"/>
                              </w:rPr>
                              <w:t xml:space="preserve">1-888-537-7715;03956466#           </w:t>
                            </w:r>
                          </w:p>
                          <w:p w:rsidR="00A171A7" w:rsidRDefault="00A171A7" w:rsidP="00A171A7">
                            <w:pPr>
                              <w:rPr>
                                <w:sz w:val="22"/>
                                <w:szCs w:val="22"/>
                              </w:rPr>
                            </w:pPr>
                            <w:r w:rsidRPr="00A171A7">
                              <w:rPr>
                                <w:color w:val="FFFFFF" w:themeColor="background1"/>
                                <w:sz w:val="28"/>
                              </w:rPr>
                              <w:t>Webinar:</w:t>
                            </w:r>
                            <w:r>
                              <w:rPr>
                                <w:color w:val="FFFFFF" w:themeColor="background1"/>
                                <w:sz w:val="28"/>
                              </w:rPr>
                              <w:t xml:space="preserve"> </w:t>
                            </w:r>
                            <w:hyperlink r:id="rId8" w:tgtFrame="_blank" w:history="1">
                              <w:r>
                                <w:rPr>
                                  <w:rStyle w:val="Hyperlink"/>
                                  <w:rFonts w:cs="Arial"/>
                                  <w:color w:val="389ED8"/>
                                  <w:lang w:val="en"/>
                                </w:rPr>
                                <w:t>https://attendee.gotowebinar.com/register/8967770038030258177</w:t>
                              </w:r>
                            </w:hyperlink>
                          </w:p>
                          <w:p w:rsidR="00A171A7" w:rsidRPr="00A171A7" w:rsidRDefault="00A171A7" w:rsidP="00A171A7">
                            <w:pPr>
                              <w:rPr>
                                <w:color w:val="FFFFFF" w:themeColor="background1"/>
                                <w:sz w:val="28"/>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alt="Description: &#10;" style="position:absolute;margin-left:-32.25pt;margin-top:-16.5pt;width:540pt;height:9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" fillcolor="#1a334e" strokecolor="white">
                <v:fill color2="#3d618a" rotate="t" focus="100%" type="gradient">
                  <o:fill v:ext="view" type="gradientUnscaled"/>
                </v:fill>
                <v:shadow on="t" opacity="22936f" origin=",.5" offset="0,.63889mm"/>
                <v:textbox>
                  <w:txbxContent>
                    <w:p w:rsidR="00A171A7" w:rsidRPr="00A171A7" w:rsidRDefault="00A171A7" w:rsidP="00A171A7">
                      <w:pPr>
                        <w:rPr>
                          <w:color w:val="FFFFFF" w:themeColor="background1"/>
                          <w:sz w:val="36"/>
                        </w:rPr>
                      </w:pPr>
                      <w:r w:rsidRPr="00A171A7">
                        <w:rPr>
                          <w:color w:val="FFFFFF" w:themeColor="background1"/>
                          <w:sz w:val="36"/>
                        </w:rPr>
                        <w:t>FHA Health Information Modeling Work Group (HIM WG)</w:t>
                      </w:r>
                    </w:p>
                    <w:p w:rsidR="00A171A7" w:rsidRDefault="00A171A7" w:rsidP="00A171A7">
                      <w:pPr>
                        <w:rPr>
                          <w:color w:val="FFFFFF" w:themeColor="background1"/>
                          <w:sz w:val="28"/>
                        </w:rPr>
                      </w:pPr>
                    </w:p>
                    <w:p w:rsidR="00A171A7" w:rsidRPr="00A171A7" w:rsidRDefault="00A171A7" w:rsidP="00A171A7">
                      <w:pPr>
                        <w:rPr>
                          <w:color w:val="FFFFFF" w:themeColor="background1"/>
                          <w:sz w:val="28"/>
                        </w:rPr>
                      </w:pPr>
                      <w:r w:rsidRPr="00A171A7">
                        <w:rPr>
                          <w:color w:val="FFFFFF" w:themeColor="background1"/>
                          <w:sz w:val="28"/>
                        </w:rPr>
                        <w:t>February 9</w:t>
                      </w:r>
                      <w:r w:rsidRPr="00A171A7">
                        <w:rPr>
                          <w:color w:val="FFFFFF" w:themeColor="background1"/>
                          <w:sz w:val="28"/>
                          <w:vertAlign w:val="superscript"/>
                        </w:rPr>
                        <w:t>th</w:t>
                      </w:r>
                      <w:r w:rsidRPr="00A171A7">
                        <w:rPr>
                          <w:color w:val="FFFFFF" w:themeColor="background1"/>
                          <w:sz w:val="28"/>
                        </w:rPr>
                        <w:t>, 1-2pm EST</w:t>
                      </w:r>
                    </w:p>
                    <w:p w:rsidR="00A171A7" w:rsidRPr="00A171A7" w:rsidRDefault="00A171A7" w:rsidP="00A171A7">
                      <w:pPr>
                        <w:rPr>
                          <w:color w:val="FFFFFF" w:themeColor="background1"/>
                          <w:sz w:val="28"/>
                        </w:rPr>
                      </w:pPr>
                      <w:r w:rsidRPr="00A171A7">
                        <w:rPr>
                          <w:color w:val="FFFFFF" w:themeColor="background1"/>
                          <w:sz w:val="28"/>
                        </w:rPr>
                        <w:t xml:space="preserve">Dial-in: </w:t>
                      </w:r>
                      <w:r w:rsidRPr="00A171A7">
                        <w:rPr>
                          <w:color w:val="FFFFFF" w:themeColor="background1"/>
                          <w:sz w:val="28"/>
                          <w:lang w:val="en"/>
                        </w:rPr>
                        <w:t>1-888-537-7715</w:t>
                      </w:r>
                      <w:proofErr w:type="gramStart"/>
                      <w:r w:rsidRPr="00A171A7">
                        <w:rPr>
                          <w:color w:val="FFFFFF" w:themeColor="background1"/>
                          <w:sz w:val="28"/>
                          <w:lang w:val="en"/>
                        </w:rPr>
                        <w:t>;03956466</w:t>
                      </w:r>
                      <w:proofErr w:type="gramEnd"/>
                      <w:r w:rsidRPr="00A171A7">
                        <w:rPr>
                          <w:color w:val="FFFFFF" w:themeColor="background1"/>
                          <w:sz w:val="28"/>
                          <w:lang w:val="en"/>
                        </w:rPr>
                        <w:t xml:space="preserve">#           </w:t>
                      </w:r>
                    </w:p>
                    <w:p w:rsidR="00A171A7" w:rsidRDefault="00A171A7" w:rsidP="00A171A7">
                      <w:pPr>
                        <w:rPr>
                          <w:sz w:val="22"/>
                          <w:szCs w:val="22"/>
                        </w:rPr>
                      </w:pPr>
                      <w:r w:rsidRPr="00A171A7">
                        <w:rPr>
                          <w:color w:val="FFFFFF" w:themeColor="background1"/>
                          <w:sz w:val="28"/>
                        </w:rPr>
                        <w:t>Webinar:</w:t>
                      </w:r>
                      <w:r>
                        <w:rPr>
                          <w:color w:val="FFFFFF" w:themeColor="background1"/>
                          <w:sz w:val="28"/>
                        </w:rPr>
                        <w:t xml:space="preserve"> </w:t>
                      </w:r>
                      <w:hyperlink r:id="rId9" w:tgtFrame="_blank" w:history="1">
                        <w:r>
                          <w:rPr>
                            <w:rStyle w:val="Hyperlink"/>
                            <w:rFonts w:cs="Arial"/>
                            <w:color w:val="389ED8"/>
                            <w:lang w:val="en"/>
                          </w:rPr>
                          <w:t>https://attendee.gotowebinar.com/register/8967770038030258177</w:t>
                        </w:r>
                      </w:hyperlink>
                    </w:p>
                    <w:p w:rsidR="00A171A7" w:rsidRPr="00A171A7" w:rsidRDefault="00A171A7" w:rsidP="00A171A7">
                      <w:pPr>
                        <w:rPr>
                          <w:color w:val="FFFFFF" w:themeColor="background1"/>
                          <w:sz w:val="28"/>
                        </w:rPr>
                      </w:pPr>
                    </w:p>
                  </w:txbxContent>
                </v:textbox>
                <w10:wrap anchory="line"/>
              </v:rect>
            </w:pict>
          </mc:Fallback>
        </mc:AlternateContent>
      </w:r>
      <w:r>
        <w:rPr>
          <w:noProof/>
        </w:rPr>
        <w:drawing>
          <wp:anchor distT="0" distB="0" distL="0" distR="0" simplePos="0" relativeHeight="251660288" behindDoc="0" locked="0" layoutInCell="1" allowOverlap="1" wp14:anchorId="2AA8ACBC" wp14:editId="23F77D91">
            <wp:simplePos x="0" y="0"/>
            <wp:positionH relativeFrom="column">
              <wp:posOffset>5353050</wp:posOffset>
            </wp:positionH>
            <wp:positionV relativeFrom="line">
              <wp:posOffset>-146050</wp:posOffset>
            </wp:positionV>
            <wp:extent cx="1028700" cy="1028700"/>
            <wp:effectExtent l="0" t="0" r="0" b="0"/>
            <wp:wrapNone/>
            <wp:docPr id="1073741825" name="officeArt object" descr="Description: Description: Macintosh HD:Users:shannonleigh:Desktop:fha.png"/>
            <wp:cNvGraphicFramePr/>
            <a:graphic xmlns:a="http://schemas.openxmlformats.org/drawingml/2006/main">
              <a:graphicData uri="http://schemas.openxmlformats.org/drawingml/2006/picture">
                <pic:pic xmlns:pic="http://schemas.openxmlformats.org/drawingml/2006/picture">
                  <pic:nvPicPr>
                    <pic:cNvPr id="1073741825" name="image1.png" descr="Description: Description: Macintosh HD:Users:shannonleigh:Desktop:fha.png"/>
                    <pic:cNvPicPr>
                      <a:picLocks noChangeAspect="1"/>
                    </pic:cNvPicPr>
                  </pic:nvPicPr>
                  <pic:blipFill>
                    <a:blip r:embed="rId10">
                      <a:extLst/>
                    </a:blip>
                    <a:stretch>
                      <a:fillRect/>
                    </a:stretch>
                  </pic:blipFill>
                  <pic:spPr>
                    <a:xfrm>
                      <a:off x="0" y="0"/>
                      <a:ext cx="1028700" cy="1028700"/>
                    </a:xfrm>
                    <a:prstGeom prst="rect">
                      <a:avLst/>
                    </a:prstGeom>
                    <a:ln w="12700" cap="flat">
                      <a:noFill/>
                      <a:miter lim="400000"/>
                    </a:ln>
                    <a:effectLst/>
                  </pic:spPr>
                </pic:pic>
              </a:graphicData>
            </a:graphic>
          </wp:anchor>
        </w:drawing>
      </w:r>
      <w:r w:rsidR="0093271F">
        <w:rPr>
          <w:rFonts w:ascii="Arial" w:hAnsi="Arial"/>
          <w:b/>
          <w:bCs/>
          <w:color w:val="FFFFFF"/>
          <w:sz w:val="28"/>
          <w:szCs w:val="28"/>
          <w:u w:color="FFFFFF"/>
        </w:rPr>
        <w:t>MEETING TITLE Agenda</w:t>
      </w:r>
    </w:p>
    <w:p w:rsidR="004B3C52" w:rsidRDefault="0093271F">
      <w:pPr>
        <w:pStyle w:val="BodyA"/>
        <w:spacing w:after="0" w:line="288" w:lineRule="auto"/>
        <w:rPr>
          <w:rFonts w:ascii="Arial" w:eastAsia="Arial" w:hAnsi="Arial" w:cs="Arial"/>
          <w:b/>
          <w:bCs/>
          <w:color w:val="FFFFFF"/>
          <w:u w:color="FFFFFF"/>
        </w:rPr>
      </w:pPr>
      <w:r>
        <w:rPr>
          <w:rFonts w:ascii="Arial" w:hAnsi="Arial"/>
          <w:b/>
          <w:bCs/>
          <w:color w:val="FFFFFF"/>
          <w:u w:color="FFFFFF"/>
        </w:rPr>
        <w:t>DAY, DATE</w:t>
      </w:r>
    </w:p>
    <w:p w:rsidR="004B3C52" w:rsidRDefault="0093271F">
      <w:pPr>
        <w:pStyle w:val="BodyA"/>
        <w:spacing w:after="480" w:line="288" w:lineRule="auto"/>
        <w:rPr>
          <w:rFonts w:ascii="Arial" w:eastAsia="Arial" w:hAnsi="Arial" w:cs="Arial"/>
          <w:b/>
          <w:bCs/>
          <w:color w:val="FFFFFF"/>
          <w:u w:color="FFFFFF"/>
        </w:rPr>
      </w:pPr>
      <w:r>
        <w:rPr>
          <w:rFonts w:ascii="Arial" w:hAnsi="Arial"/>
          <w:b/>
          <w:bCs/>
          <w:color w:val="FFFFFF"/>
          <w:u w:color="FFFFFF"/>
          <w:lang w:val="it-IT"/>
        </w:rPr>
        <w:t>TIME / Capitol View</w:t>
      </w:r>
      <w:r>
        <w:t xml:space="preserve"> </w:t>
      </w:r>
    </w:p>
    <w:p w:rsidR="004B3C52" w:rsidRDefault="004B3C52">
      <w:pPr>
        <w:pStyle w:val="BodyA"/>
        <w:spacing w:line="240" w:lineRule="auto"/>
        <w:jc w:val="center"/>
        <w:rPr>
          <w:rFonts w:ascii="Arial" w:eastAsia="Arial" w:hAnsi="Arial" w:cs="Arial"/>
          <w:b/>
          <w:bCs/>
          <w:color w:val="365F91"/>
          <w:sz w:val="20"/>
          <w:szCs w:val="20"/>
          <w:u w:color="365F91"/>
        </w:rPr>
      </w:pPr>
    </w:p>
    <w:p w:rsidR="004B3C52" w:rsidRDefault="00882ACE">
      <w:pPr>
        <w:pStyle w:val="BodyA"/>
        <w:spacing w:line="240" w:lineRule="auto"/>
        <w:jc w:val="center"/>
        <w:rPr>
          <w:rFonts w:ascii="Arial" w:eastAsia="Arial" w:hAnsi="Arial" w:cs="Arial"/>
          <w:b/>
          <w:bCs/>
          <w:color w:val="365F91"/>
          <w:sz w:val="36"/>
          <w:szCs w:val="36"/>
          <w:u w:color="365F91"/>
        </w:rPr>
      </w:pPr>
      <w:r>
        <w:rPr>
          <w:rFonts w:ascii="Arial" w:hAnsi="Arial"/>
          <w:b/>
          <w:bCs/>
          <w:color w:val="365F91"/>
          <w:sz w:val="36"/>
          <w:szCs w:val="36"/>
          <w:u w:color="365F91"/>
          <w:lang w:val="de-DE"/>
        </w:rPr>
        <w:t>Minutes</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589"/>
        <w:gridCol w:w="5436"/>
        <w:gridCol w:w="2207"/>
      </w:tblGrid>
      <w:tr w:rsidR="004B3C52" w:rsidTr="00A171A7">
        <w:trPr>
          <w:trHeight w:val="978"/>
        </w:trPr>
        <w:tc>
          <w:tcPr>
            <w:tcW w:w="1589" w:type="dxa"/>
            <w:tcBorders>
              <w:top w:val="single" w:sz="6" w:space="0" w:color="7F7F7F"/>
              <w:left w:val="nil"/>
              <w:bottom w:val="dotted" w:sz="8" w:space="0" w:color="D99594"/>
              <w:right w:val="nil"/>
            </w:tcBorders>
            <w:shd w:val="clear" w:color="auto" w:fill="auto"/>
            <w:tcMar>
              <w:top w:w="80" w:type="dxa"/>
              <w:left w:w="80" w:type="dxa"/>
              <w:bottom w:w="80" w:type="dxa"/>
              <w:right w:w="80" w:type="dxa"/>
            </w:tcMar>
            <w:vAlign w:val="center"/>
          </w:tcPr>
          <w:p w:rsidR="004B3C52" w:rsidRPr="00A171A7" w:rsidRDefault="0093271F">
            <w:pPr>
              <w:pStyle w:val="BodyA"/>
              <w:spacing w:after="24"/>
            </w:pPr>
            <w:r w:rsidRPr="00A171A7">
              <w:t>1:00 – 1:10</w:t>
            </w:r>
          </w:p>
        </w:tc>
        <w:tc>
          <w:tcPr>
            <w:tcW w:w="5436" w:type="dxa"/>
            <w:tcBorders>
              <w:top w:val="single" w:sz="6" w:space="0" w:color="7F7F7F"/>
              <w:left w:val="nil"/>
              <w:bottom w:val="dotted" w:sz="8" w:space="0" w:color="D99594"/>
              <w:right w:val="single" w:sz="8" w:space="0" w:color="FFFFFF"/>
            </w:tcBorders>
            <w:shd w:val="clear" w:color="auto" w:fill="auto"/>
            <w:tcMar>
              <w:top w:w="80" w:type="dxa"/>
              <w:left w:w="80" w:type="dxa"/>
              <w:bottom w:w="80" w:type="dxa"/>
              <w:right w:w="80" w:type="dxa"/>
            </w:tcMar>
            <w:vAlign w:val="center"/>
          </w:tcPr>
          <w:p w:rsidR="004B3C52" w:rsidRPr="004B7E7C" w:rsidRDefault="0093271F">
            <w:pPr>
              <w:pStyle w:val="TableStyle2"/>
              <w:spacing w:after="24"/>
              <w:rPr>
                <w:rFonts w:ascii="Calibri" w:hAnsi="Calibri"/>
                <w:b/>
                <w:sz w:val="22"/>
                <w:szCs w:val="22"/>
              </w:rPr>
            </w:pPr>
            <w:r w:rsidRPr="004B7E7C">
              <w:rPr>
                <w:rFonts w:ascii="Calibri" w:hAnsi="Calibri"/>
                <w:b/>
                <w:sz w:val="22"/>
                <w:szCs w:val="22"/>
              </w:rPr>
              <w:t>Welcome and r</w:t>
            </w:r>
            <w:r w:rsidRPr="004B7E7C">
              <w:rPr>
                <w:rFonts w:ascii="Calibri" w:hAnsi="Calibri"/>
                <w:b/>
                <w:sz w:val="22"/>
                <w:szCs w:val="22"/>
                <w:lang w:val="de-DE"/>
              </w:rPr>
              <w:t xml:space="preserve">oll </w:t>
            </w:r>
            <w:r w:rsidRPr="004B7E7C">
              <w:rPr>
                <w:rFonts w:ascii="Calibri" w:hAnsi="Calibri"/>
                <w:b/>
                <w:sz w:val="22"/>
                <w:szCs w:val="22"/>
              </w:rPr>
              <w:t>call</w:t>
            </w:r>
          </w:p>
          <w:p w:rsidR="004B7E7C" w:rsidRPr="00A171A7" w:rsidRDefault="00A626AA" w:rsidP="004B7E7C">
            <w:pPr>
              <w:pStyle w:val="ListParagraph"/>
              <w:numPr>
                <w:ilvl w:val="0"/>
                <w:numId w:val="1"/>
              </w:numPr>
              <w:spacing w:after="24"/>
              <w:rPr>
                <w:rFonts w:ascii="Calibri" w:hAnsi="Calibri"/>
              </w:rPr>
            </w:pPr>
            <w:r>
              <w:rPr>
                <w:rFonts w:ascii="Calibri" w:eastAsia="Calibri" w:hAnsi="Calibri" w:cs="Calibri"/>
              </w:rPr>
              <w:t>Attendees: Alberto Llanes, Dan Morford, Dave Carlson, David Bass, Gary Dickinson, Hung Trinh, Jay Lyle, Lucy Burge, Mulikat Sarumi, Nancy Orvis, Patricia Greim, Steven Mahalec, Susan Campbell, Galen Mulrooney, Sean Muir, Steve Hufnagel, Steve Wagner, Lindsay Cushing</w:t>
            </w:r>
          </w:p>
        </w:tc>
        <w:tc>
          <w:tcPr>
            <w:tcW w:w="2207" w:type="dxa"/>
            <w:tcBorders>
              <w:top w:val="single" w:sz="8" w:space="0" w:color="7F7F7F"/>
              <w:left w:val="single" w:sz="8" w:space="0" w:color="FFFFFF"/>
              <w:bottom w:val="dotted" w:sz="8" w:space="0" w:color="FF7D78"/>
              <w:right w:val="single" w:sz="8" w:space="0" w:color="FFFFFF"/>
            </w:tcBorders>
            <w:shd w:val="clear" w:color="auto" w:fill="auto"/>
            <w:tcMar>
              <w:top w:w="80" w:type="dxa"/>
              <w:left w:w="80" w:type="dxa"/>
              <w:bottom w:w="80" w:type="dxa"/>
              <w:right w:w="80" w:type="dxa"/>
            </w:tcMar>
            <w:vAlign w:val="center"/>
          </w:tcPr>
          <w:p w:rsidR="004B3C52" w:rsidRPr="00A171A7" w:rsidRDefault="0093271F">
            <w:pPr>
              <w:pStyle w:val="TableStyle2"/>
              <w:spacing w:after="24"/>
              <w:rPr>
                <w:rFonts w:ascii="Calibri" w:hAnsi="Calibri"/>
              </w:rPr>
            </w:pPr>
            <w:r w:rsidRPr="00A171A7">
              <w:rPr>
                <w:rFonts w:ascii="Calibri" w:hAnsi="Calibri"/>
                <w:sz w:val="22"/>
                <w:szCs w:val="22"/>
                <w:lang w:val="de-DE"/>
              </w:rPr>
              <w:t>Steve Wagner</w:t>
            </w:r>
          </w:p>
        </w:tc>
      </w:tr>
      <w:tr w:rsidR="004B3C52" w:rsidTr="00A171A7">
        <w:trPr>
          <w:trHeight w:val="748"/>
        </w:trPr>
        <w:tc>
          <w:tcPr>
            <w:tcW w:w="1589" w:type="dxa"/>
            <w:tcBorders>
              <w:top w:val="dotted" w:sz="8" w:space="0" w:color="D99594"/>
              <w:left w:val="nil"/>
              <w:bottom w:val="dotted" w:sz="8" w:space="0" w:color="D99594"/>
              <w:right w:val="nil"/>
            </w:tcBorders>
            <w:shd w:val="clear" w:color="auto" w:fill="auto"/>
            <w:tcMar>
              <w:top w:w="80" w:type="dxa"/>
              <w:left w:w="80" w:type="dxa"/>
              <w:bottom w:w="80" w:type="dxa"/>
              <w:right w:w="80" w:type="dxa"/>
            </w:tcMar>
            <w:vAlign w:val="center"/>
          </w:tcPr>
          <w:p w:rsidR="004B3C52" w:rsidRPr="00A171A7" w:rsidRDefault="0093271F">
            <w:pPr>
              <w:spacing w:after="24"/>
              <w:rPr>
                <w:rFonts w:ascii="Calibri" w:hAnsi="Calibri"/>
              </w:rPr>
            </w:pPr>
            <w:r w:rsidRPr="00A171A7">
              <w:rPr>
                <w:rFonts w:ascii="Calibri" w:eastAsia="Calibri" w:hAnsi="Calibri" w:cs="Calibri"/>
                <w:color w:val="000000"/>
                <w:sz w:val="22"/>
                <w:szCs w:val="22"/>
                <w:u w:color="000000"/>
              </w:rPr>
              <w:t>1:10 - 1:20</w:t>
            </w:r>
          </w:p>
        </w:tc>
        <w:tc>
          <w:tcPr>
            <w:tcW w:w="5436" w:type="dxa"/>
            <w:tcBorders>
              <w:top w:val="dotted" w:sz="8" w:space="0" w:color="D99594"/>
              <w:left w:val="nil"/>
              <w:bottom w:val="dotted" w:sz="6" w:space="0" w:color="D99594"/>
              <w:right w:val="nil"/>
            </w:tcBorders>
            <w:shd w:val="clear" w:color="auto" w:fill="auto"/>
            <w:tcMar>
              <w:top w:w="80" w:type="dxa"/>
              <w:left w:w="80" w:type="dxa"/>
              <w:bottom w:w="80" w:type="dxa"/>
              <w:right w:w="80" w:type="dxa"/>
            </w:tcMar>
            <w:vAlign w:val="center"/>
          </w:tcPr>
          <w:p w:rsidR="004B3C52" w:rsidRPr="004B7E7C" w:rsidRDefault="0093271F">
            <w:pPr>
              <w:spacing w:after="24"/>
              <w:rPr>
                <w:rFonts w:ascii="Calibri" w:hAnsi="Calibri" w:cs="Arial Unicode MS"/>
                <w:b/>
                <w:color w:val="000000"/>
                <w:sz w:val="22"/>
                <w:szCs w:val="22"/>
                <w:u w:color="000000"/>
              </w:rPr>
            </w:pPr>
            <w:r w:rsidRPr="004B7E7C">
              <w:rPr>
                <w:rFonts w:ascii="Calibri" w:hAnsi="Calibri" w:cs="Arial Unicode MS"/>
                <w:b/>
                <w:color w:val="000000"/>
                <w:sz w:val="22"/>
                <w:szCs w:val="22"/>
                <w:u w:color="000000"/>
              </w:rPr>
              <w:t>Overview of three FHIM information domains to be di</w:t>
            </w:r>
            <w:r w:rsidRPr="004B7E7C">
              <w:rPr>
                <w:rFonts w:ascii="Calibri" w:hAnsi="Calibri" w:cs="Arial Unicode MS"/>
                <w:b/>
                <w:color w:val="000000"/>
                <w:sz w:val="22"/>
                <w:szCs w:val="22"/>
                <w:u w:color="000000"/>
              </w:rPr>
              <w:t>s</w:t>
            </w:r>
            <w:r w:rsidRPr="004B7E7C">
              <w:rPr>
                <w:rFonts w:ascii="Calibri" w:hAnsi="Calibri" w:cs="Arial Unicode MS"/>
                <w:b/>
                <w:color w:val="000000"/>
                <w:sz w:val="22"/>
                <w:szCs w:val="22"/>
                <w:u w:color="000000"/>
              </w:rPr>
              <w:t>tributed to the federal partners for review/feedback</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Care plans, Medications &amp; Pharmacy, Imaging &amp; Radiology domains have gone through detailed modeling and are complete, with comments.</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The team is requesting feedback on terminologies and value sets. It is expected to be put together with all relevant artifacts by the end of this month.</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The Care Plan Model is based on the HL7 Domain Analysis Model put together by the Patient Care WG enhanced with SME input.</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Galen believes the most useful part of the Care Plan Model is the notion of a Care Team member. The FHIM locks down the people who are chara</w:t>
            </w:r>
            <w:r w:rsidRPr="00A626AA">
              <w:rPr>
                <w:rFonts w:ascii="Calibri" w:eastAsia="Calibri" w:hAnsi="Calibri" w:cs="Calibri"/>
              </w:rPr>
              <w:t>c</w:t>
            </w:r>
            <w:r w:rsidRPr="00A626AA">
              <w:rPr>
                <w:rFonts w:ascii="Calibri" w:eastAsia="Calibri" w:hAnsi="Calibri" w:cs="Calibri"/>
              </w:rPr>
              <w:t>terized as the Care Team, a notion that will be used in different parts of the model. The priorities of the Care Plan may look different from each member of the Care Plan which is why we need people from a variety of backgrounds in the field to look at this and give input.</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 xml:space="preserve">The Imaging domain combines the imaging and radiology domains. It is aligned with the DICOM set of standards. There was discussion regarding different image formats and content since many kinds of images from a non-clinical setting have </w:t>
            </w:r>
            <w:r w:rsidRPr="00A626AA">
              <w:rPr>
                <w:rFonts w:ascii="Calibri" w:eastAsia="Calibri" w:hAnsi="Calibri" w:cs="Calibri"/>
              </w:rPr>
              <w:lastRenderedPageBreak/>
              <w:t>become relevant to care plans.</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The Pharmacy Model is the same ordering pattern that we see elsewhere. It is broken up into inp</w:t>
            </w:r>
            <w:r w:rsidRPr="00A626AA">
              <w:rPr>
                <w:rFonts w:ascii="Calibri" w:eastAsia="Calibri" w:hAnsi="Calibri" w:cs="Calibri"/>
              </w:rPr>
              <w:t>a</w:t>
            </w:r>
            <w:r w:rsidRPr="00A626AA">
              <w:rPr>
                <w:rFonts w:ascii="Calibri" w:eastAsia="Calibri" w:hAnsi="Calibri" w:cs="Calibri"/>
              </w:rPr>
              <w:t>tient and outpatient. Many of the classes that pharmacy reuses are based on the HL7 v.3 Co</w:t>
            </w:r>
            <w:r w:rsidRPr="00A626AA">
              <w:rPr>
                <w:rFonts w:ascii="Calibri" w:eastAsia="Calibri" w:hAnsi="Calibri" w:cs="Calibri"/>
              </w:rPr>
              <w:t>m</w:t>
            </w:r>
            <w:r w:rsidRPr="00A626AA">
              <w:rPr>
                <w:rFonts w:ascii="Calibri" w:eastAsia="Calibri" w:hAnsi="Calibri" w:cs="Calibri"/>
              </w:rPr>
              <w:t>mon Product Model that is heavily used by the FDA; starts from the product and moves dow</w:t>
            </w:r>
            <w:r w:rsidRPr="00A626AA">
              <w:rPr>
                <w:rFonts w:ascii="Calibri" w:eastAsia="Calibri" w:hAnsi="Calibri" w:cs="Calibri"/>
              </w:rPr>
              <w:t>n</w:t>
            </w:r>
            <w:r w:rsidRPr="00A626AA">
              <w:rPr>
                <w:rFonts w:ascii="Calibri" w:eastAsia="Calibri" w:hAnsi="Calibri" w:cs="Calibri"/>
              </w:rPr>
              <w:t>ward into packaging and manufacturer, etc. The model now includes traditional products and l</w:t>
            </w:r>
            <w:r w:rsidRPr="00A626AA">
              <w:rPr>
                <w:rFonts w:ascii="Calibri" w:eastAsia="Calibri" w:hAnsi="Calibri" w:cs="Calibri"/>
              </w:rPr>
              <w:t>o</w:t>
            </w:r>
            <w:r w:rsidRPr="00A626AA">
              <w:rPr>
                <w:rFonts w:ascii="Calibri" w:eastAsia="Calibri" w:hAnsi="Calibri" w:cs="Calibri"/>
              </w:rPr>
              <w:t>cally manufactured products.</w:t>
            </w:r>
          </w:p>
          <w:p w:rsidR="00A626AA" w:rsidRPr="00A626AA" w:rsidRDefault="00A626AA" w:rsidP="00A626AA">
            <w:pPr>
              <w:pStyle w:val="ListParagraph"/>
              <w:numPr>
                <w:ilvl w:val="0"/>
                <w:numId w:val="1"/>
              </w:numPr>
              <w:spacing w:after="24"/>
              <w:rPr>
                <w:rFonts w:ascii="Calibri" w:eastAsia="Calibri" w:hAnsi="Calibri" w:cs="Calibri"/>
              </w:rPr>
            </w:pPr>
            <w:r w:rsidRPr="00A626AA">
              <w:rPr>
                <w:rFonts w:ascii="Calibri" w:eastAsia="Calibri" w:hAnsi="Calibri" w:cs="Calibri"/>
              </w:rPr>
              <w:t>Many of these classes having to do with payment and come from NCPDP Telecom and Script stan</w:t>
            </w:r>
            <w:r w:rsidRPr="00A626AA">
              <w:rPr>
                <w:rFonts w:ascii="Calibri" w:eastAsia="Calibri" w:hAnsi="Calibri" w:cs="Calibri"/>
              </w:rPr>
              <w:t>d</w:t>
            </w:r>
            <w:r w:rsidRPr="00A626AA">
              <w:rPr>
                <w:rFonts w:ascii="Calibri" w:eastAsia="Calibri" w:hAnsi="Calibri" w:cs="Calibri"/>
              </w:rPr>
              <w:t>ards.</w:t>
            </w:r>
          </w:p>
          <w:p w:rsidR="00F25DB1" w:rsidRPr="000972C6" w:rsidRDefault="00A626AA" w:rsidP="00A626AA">
            <w:pPr>
              <w:pStyle w:val="ListParagraph"/>
              <w:numPr>
                <w:ilvl w:val="0"/>
                <w:numId w:val="1"/>
              </w:numPr>
              <w:spacing w:after="24"/>
              <w:rPr>
                <w:rFonts w:ascii="Calibri" w:hAnsi="Calibri"/>
              </w:rPr>
            </w:pPr>
            <w:r w:rsidRPr="00A626AA">
              <w:rPr>
                <w:rFonts w:ascii="Calibri" w:eastAsia="Calibri" w:hAnsi="Calibri" w:cs="Calibri"/>
              </w:rPr>
              <w:t>The review materials will include the diagrams as well as the definition of the classes and attributes, value set names, and sometimes the actual value sets. Galen requests that they are widely di</w:t>
            </w:r>
            <w:r w:rsidRPr="00A626AA">
              <w:rPr>
                <w:rFonts w:ascii="Calibri" w:eastAsia="Calibri" w:hAnsi="Calibri" w:cs="Calibri"/>
              </w:rPr>
              <w:t>s</w:t>
            </w:r>
            <w:r w:rsidRPr="00A626AA">
              <w:rPr>
                <w:rFonts w:ascii="Calibri" w:eastAsia="Calibri" w:hAnsi="Calibri" w:cs="Calibri"/>
              </w:rPr>
              <w:t>persed to SMEs with fresh eyes.</w:t>
            </w:r>
          </w:p>
        </w:tc>
        <w:tc>
          <w:tcPr>
            <w:tcW w:w="2207" w:type="dxa"/>
            <w:tcBorders>
              <w:top w:val="dotted" w:sz="8" w:space="0" w:color="FF7D78"/>
              <w:left w:val="nil"/>
              <w:bottom w:val="dotted" w:sz="8" w:space="0" w:color="D99594"/>
              <w:right w:val="nil"/>
            </w:tcBorders>
            <w:shd w:val="clear" w:color="auto" w:fill="auto"/>
            <w:tcMar>
              <w:top w:w="80" w:type="dxa"/>
              <w:left w:w="80" w:type="dxa"/>
              <w:bottom w:w="80" w:type="dxa"/>
              <w:right w:w="80" w:type="dxa"/>
            </w:tcMar>
            <w:vAlign w:val="center"/>
          </w:tcPr>
          <w:p w:rsidR="004B3C52" w:rsidRPr="00A171A7" w:rsidRDefault="0093271F">
            <w:pPr>
              <w:spacing w:after="24"/>
              <w:rPr>
                <w:rFonts w:ascii="Calibri" w:hAnsi="Calibri"/>
              </w:rPr>
            </w:pPr>
            <w:r w:rsidRPr="00A171A7">
              <w:rPr>
                <w:rFonts w:ascii="Calibri" w:hAnsi="Calibri" w:cs="Arial Unicode MS"/>
                <w:color w:val="000000"/>
                <w:sz w:val="22"/>
                <w:szCs w:val="22"/>
                <w:u w:color="000000"/>
              </w:rPr>
              <w:lastRenderedPageBreak/>
              <w:t>Galen Mulrooney, Jay Lyle, Sean Muir</w:t>
            </w:r>
          </w:p>
        </w:tc>
      </w:tr>
      <w:tr w:rsidR="004B3C52" w:rsidTr="00A171A7">
        <w:trPr>
          <w:trHeight w:val="719"/>
        </w:trPr>
        <w:tc>
          <w:tcPr>
            <w:tcW w:w="1589" w:type="dxa"/>
            <w:tcBorders>
              <w:top w:val="dotted" w:sz="8"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93271F">
            <w:pPr>
              <w:pStyle w:val="BodyA"/>
              <w:spacing w:after="24" w:line="240" w:lineRule="auto"/>
            </w:pPr>
            <w:r w:rsidRPr="00A171A7">
              <w:lastRenderedPageBreak/>
              <w:t>1:20  - 1:30</w:t>
            </w:r>
          </w:p>
        </w:tc>
        <w:tc>
          <w:tcPr>
            <w:tcW w:w="5436" w:type="dxa"/>
            <w:tcBorders>
              <w:top w:val="dott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B67E3B" w:rsidRDefault="0093271F">
            <w:pPr>
              <w:pStyle w:val="TableStyle2"/>
              <w:spacing w:after="24"/>
              <w:rPr>
                <w:rFonts w:ascii="Calibri" w:eastAsia="Calibri" w:hAnsi="Calibri" w:cs="Calibri"/>
                <w:b/>
                <w:sz w:val="24"/>
                <w:szCs w:val="24"/>
              </w:rPr>
            </w:pPr>
            <w:r w:rsidRPr="00B67E3B">
              <w:rPr>
                <w:rFonts w:ascii="Calibri" w:eastAsia="Calibri" w:hAnsi="Calibri" w:cs="Calibri"/>
                <w:b/>
                <w:sz w:val="22"/>
                <w:szCs w:val="22"/>
              </w:rPr>
              <w:t xml:space="preserve">Brief on investigative study of the potential to integrate </w:t>
            </w:r>
            <w:r w:rsidRPr="00B67E3B">
              <w:rPr>
                <w:rFonts w:ascii="Calibri" w:eastAsia="Calibri" w:hAnsi="Calibri" w:cs="Calibri"/>
                <w:b/>
                <w:sz w:val="24"/>
                <w:szCs w:val="24"/>
              </w:rPr>
              <w:t>CIMI and FHIM</w:t>
            </w:r>
          </w:p>
          <w:p w:rsidR="00F25DB1" w:rsidRPr="00A171A7" w:rsidRDefault="00F25DB1" w:rsidP="00F25DB1">
            <w:pPr>
              <w:pStyle w:val="TableStyle2"/>
              <w:numPr>
                <w:ilvl w:val="0"/>
                <w:numId w:val="2"/>
              </w:numPr>
              <w:spacing w:after="24"/>
              <w:rPr>
                <w:rFonts w:ascii="Calibri" w:hAnsi="Calibri"/>
              </w:rPr>
            </w:pPr>
            <w:r w:rsidRPr="00F25DB1">
              <w:rPr>
                <w:rFonts w:ascii="Calibri" w:hAnsi="Calibri"/>
                <w:sz w:val="24"/>
                <w:szCs w:val="24"/>
              </w:rPr>
              <w:t>See attached slides for presentation content.</w:t>
            </w:r>
          </w:p>
        </w:tc>
        <w:tc>
          <w:tcPr>
            <w:tcW w:w="2207" w:type="dxa"/>
            <w:tcBorders>
              <w:top w:val="dotted" w:sz="8"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93271F">
            <w:pPr>
              <w:pStyle w:val="TableStyle2"/>
              <w:spacing w:after="24"/>
              <w:rPr>
                <w:rFonts w:ascii="Calibri" w:hAnsi="Calibri"/>
              </w:rPr>
            </w:pPr>
            <w:r w:rsidRPr="00A171A7">
              <w:rPr>
                <w:rFonts w:ascii="Calibri" w:eastAsia="Calibri" w:hAnsi="Calibri" w:cs="Calibri"/>
                <w:sz w:val="22"/>
                <w:szCs w:val="22"/>
              </w:rPr>
              <w:t>Steve Hufnagel</w:t>
            </w:r>
          </w:p>
        </w:tc>
      </w:tr>
      <w:tr w:rsidR="004B3C52" w:rsidTr="00A171A7">
        <w:trPr>
          <w:trHeight w:val="735"/>
        </w:trPr>
        <w:tc>
          <w:tcPr>
            <w:tcW w:w="1589"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93271F">
            <w:pPr>
              <w:spacing w:after="24"/>
              <w:rPr>
                <w:rFonts w:ascii="Calibri" w:hAnsi="Calibri"/>
              </w:rPr>
            </w:pPr>
            <w:r w:rsidRPr="00A171A7">
              <w:rPr>
                <w:rFonts w:ascii="Calibri" w:eastAsia="Calibri" w:hAnsi="Calibri" w:cs="Calibri"/>
                <w:color w:val="000000"/>
                <w:sz w:val="22"/>
                <w:szCs w:val="22"/>
                <w:u w:color="000000"/>
              </w:rPr>
              <w:t>1:30- 1:55</w:t>
            </w:r>
          </w:p>
        </w:tc>
        <w:tc>
          <w:tcPr>
            <w:tcW w:w="5436"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B67E3B" w:rsidRDefault="0093271F">
            <w:pPr>
              <w:spacing w:after="24"/>
              <w:rPr>
                <w:rFonts w:ascii="Calibri" w:eastAsia="Calibri" w:hAnsi="Calibri" w:cs="Calibri"/>
                <w:b/>
                <w:color w:val="000000"/>
                <w:sz w:val="22"/>
                <w:szCs w:val="22"/>
                <w:u w:color="000000"/>
              </w:rPr>
            </w:pPr>
            <w:r w:rsidRPr="00B67E3B">
              <w:rPr>
                <w:rFonts w:ascii="Calibri" w:eastAsia="Calibri" w:hAnsi="Calibri" w:cs="Calibri"/>
                <w:b/>
                <w:color w:val="000000"/>
                <w:sz w:val="22"/>
                <w:szCs w:val="22"/>
                <w:u w:color="000000"/>
              </w:rPr>
              <w:t>Presentation and discussion work completed to generate FHIR artifacts/standards from MDHT and FHIM</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See attached slides for presentation content.</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Slicing allows you to define and restrict a colle</w:t>
            </w:r>
            <w:r w:rsidRPr="00A626AA">
              <w:rPr>
                <w:rFonts w:ascii="Calibri" w:hAnsi="Calibri"/>
              </w:rPr>
              <w:t>c</w:t>
            </w:r>
            <w:r w:rsidRPr="00A626AA">
              <w:rPr>
                <w:rFonts w:ascii="Calibri" w:hAnsi="Calibri"/>
              </w:rPr>
              <w:t>tion of content.</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Question raised regarding interoperability. Sean responded that the tool is designed to promote interoperability. Agencies would not have to cr</w:t>
            </w:r>
            <w:r w:rsidRPr="00A626AA">
              <w:rPr>
                <w:rFonts w:ascii="Calibri" w:hAnsi="Calibri"/>
              </w:rPr>
              <w:t>e</w:t>
            </w:r>
            <w:r w:rsidRPr="00A626AA">
              <w:rPr>
                <w:rFonts w:ascii="Calibri" w:hAnsi="Calibri"/>
              </w:rPr>
              <w:t>ate their own FHIR profiles; they can use or mod</w:t>
            </w:r>
            <w:r w:rsidRPr="00A626AA">
              <w:rPr>
                <w:rFonts w:ascii="Calibri" w:hAnsi="Calibri"/>
              </w:rPr>
              <w:t>i</w:t>
            </w:r>
            <w:r w:rsidRPr="00A626AA">
              <w:rPr>
                <w:rFonts w:ascii="Calibri" w:hAnsi="Calibri"/>
              </w:rPr>
              <w:t>fy existing profiles.</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Question whether FHIM is exported or represen</w:t>
            </w:r>
            <w:r w:rsidRPr="00A626AA">
              <w:rPr>
                <w:rFonts w:ascii="Calibri" w:hAnsi="Calibri"/>
              </w:rPr>
              <w:t>t</w:t>
            </w:r>
            <w:r w:rsidRPr="00A626AA">
              <w:rPr>
                <w:rFonts w:ascii="Calibri" w:hAnsi="Calibri"/>
              </w:rPr>
              <w:t>ed within the tool. Sean responded that this is strictly extensions to MDHT for FHIR that we would then leverage from the FHIM. Any valid FHIR profile can be incorporated. They are pr</w:t>
            </w:r>
            <w:r w:rsidRPr="00A626AA">
              <w:rPr>
                <w:rFonts w:ascii="Calibri" w:hAnsi="Calibri"/>
              </w:rPr>
              <w:t>o</w:t>
            </w:r>
            <w:r w:rsidRPr="00A626AA">
              <w:rPr>
                <w:rFonts w:ascii="Calibri" w:hAnsi="Calibri"/>
              </w:rPr>
              <w:t>ducing FHIR standard structures as an output.</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 xml:space="preserve">Question regarding NIEM </w:t>
            </w:r>
            <w:r w:rsidR="00EC0367" w:rsidRPr="00A626AA">
              <w:rPr>
                <w:rFonts w:ascii="Calibri" w:hAnsi="Calibri"/>
              </w:rPr>
              <w:t>compatibility</w:t>
            </w:r>
            <w:r w:rsidRPr="00A626AA">
              <w:rPr>
                <w:rFonts w:ascii="Calibri" w:hAnsi="Calibri"/>
              </w:rPr>
              <w:t>. They cr</w:t>
            </w:r>
            <w:r w:rsidRPr="00A626AA">
              <w:rPr>
                <w:rFonts w:ascii="Calibri" w:hAnsi="Calibri"/>
              </w:rPr>
              <w:t>e</w:t>
            </w:r>
            <w:r w:rsidRPr="00A626AA">
              <w:rPr>
                <w:rFonts w:ascii="Calibri" w:hAnsi="Calibri"/>
              </w:rPr>
              <w:t xml:space="preserve">ated an IEPD inside the NIEM profile, using the NIEM tooling. Gaps included generating a domain. They are able to constrain existing content within </w:t>
            </w:r>
            <w:r w:rsidRPr="00A626AA">
              <w:rPr>
                <w:rFonts w:ascii="Calibri" w:hAnsi="Calibri"/>
              </w:rPr>
              <w:lastRenderedPageBreak/>
              <w:t>a NIEM domain. Most things were considered e</w:t>
            </w:r>
            <w:r w:rsidRPr="00A626AA">
              <w:rPr>
                <w:rFonts w:ascii="Calibri" w:hAnsi="Calibri"/>
              </w:rPr>
              <w:t>x</w:t>
            </w:r>
            <w:r w:rsidRPr="00A626AA">
              <w:rPr>
                <w:rFonts w:ascii="Calibri" w:hAnsi="Calibri"/>
              </w:rPr>
              <w:t>tensions under the NIEM approach but are co</w:t>
            </w:r>
            <w:r w:rsidRPr="00A626AA">
              <w:rPr>
                <w:rFonts w:ascii="Calibri" w:hAnsi="Calibri"/>
              </w:rPr>
              <w:t>n</w:t>
            </w:r>
            <w:r w:rsidRPr="00A626AA">
              <w:rPr>
                <w:rFonts w:ascii="Calibri" w:hAnsi="Calibri"/>
              </w:rPr>
              <w:t xml:space="preserve">sidered NIEM compliant using NIEM structures and guidelines. Use cases include prison inmate health information being exported to a localized provider. </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IPO is sponsoring a Joint Exploratory Team to stand up a FHIR Proving Ground at TATRIC and will be holding DoD/VA joint FHIR CONNECT-a-thons.</w:t>
            </w:r>
          </w:p>
          <w:p w:rsidR="00A626AA" w:rsidRPr="00A626AA" w:rsidRDefault="00A626AA" w:rsidP="00A626AA">
            <w:pPr>
              <w:pStyle w:val="ListParagraph"/>
              <w:numPr>
                <w:ilvl w:val="0"/>
                <w:numId w:val="2"/>
              </w:numPr>
              <w:spacing w:after="24"/>
              <w:rPr>
                <w:rFonts w:ascii="Calibri" w:hAnsi="Calibri"/>
              </w:rPr>
            </w:pPr>
            <w:r w:rsidRPr="00A626AA">
              <w:rPr>
                <w:rFonts w:ascii="Calibri" w:hAnsi="Calibri"/>
              </w:rPr>
              <w:t>FHA should encourage the use of MDHT to create the DoD/VA health profile.</w:t>
            </w:r>
          </w:p>
          <w:p w:rsidR="00F6173A" w:rsidRPr="00395CD1" w:rsidRDefault="00A626AA" w:rsidP="00A626AA">
            <w:pPr>
              <w:pStyle w:val="ListParagraph"/>
              <w:numPr>
                <w:ilvl w:val="0"/>
                <w:numId w:val="2"/>
              </w:numPr>
              <w:spacing w:after="24"/>
              <w:rPr>
                <w:rFonts w:ascii="Calibri" w:hAnsi="Calibri"/>
              </w:rPr>
            </w:pPr>
            <w:r w:rsidRPr="00A626AA">
              <w:rPr>
                <w:rFonts w:ascii="Calibri" w:hAnsi="Calibri"/>
              </w:rPr>
              <w:t>HHS may be in the process of sponsoring a FHIR CONNECT-a-thon as well.</w:t>
            </w:r>
          </w:p>
        </w:tc>
        <w:tc>
          <w:tcPr>
            <w:tcW w:w="2207"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93271F">
            <w:pPr>
              <w:spacing w:after="24"/>
              <w:rPr>
                <w:rFonts w:ascii="Calibri" w:hAnsi="Calibri"/>
              </w:rPr>
            </w:pPr>
            <w:r w:rsidRPr="00A171A7">
              <w:rPr>
                <w:rFonts w:ascii="Calibri" w:hAnsi="Calibri" w:cs="Arial Unicode MS"/>
                <w:color w:val="000000"/>
                <w:sz w:val="22"/>
                <w:szCs w:val="22"/>
                <w:u w:color="000000"/>
              </w:rPr>
              <w:lastRenderedPageBreak/>
              <w:t>Sean Muir and Galen Mulrooney</w:t>
            </w:r>
          </w:p>
        </w:tc>
      </w:tr>
      <w:tr w:rsidR="004B3C52" w:rsidTr="00A171A7">
        <w:trPr>
          <w:trHeight w:val="719"/>
        </w:trPr>
        <w:tc>
          <w:tcPr>
            <w:tcW w:w="1589"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93271F">
            <w:pPr>
              <w:pStyle w:val="BodyA"/>
              <w:spacing w:after="24" w:line="240" w:lineRule="auto"/>
            </w:pPr>
            <w:r w:rsidRPr="00A171A7">
              <w:lastRenderedPageBreak/>
              <w:t>1:55 – 2:00</w:t>
            </w:r>
          </w:p>
        </w:tc>
        <w:tc>
          <w:tcPr>
            <w:tcW w:w="5436"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626AA" w:rsidRDefault="0093271F">
            <w:pPr>
              <w:pStyle w:val="BodyA"/>
              <w:spacing w:after="24" w:line="240" w:lineRule="auto"/>
              <w:rPr>
                <w:b/>
              </w:rPr>
            </w:pPr>
            <w:r w:rsidRPr="00A626AA">
              <w:rPr>
                <w:b/>
              </w:rPr>
              <w:t>Wrap-up, and action items</w:t>
            </w:r>
          </w:p>
        </w:tc>
        <w:tc>
          <w:tcPr>
            <w:tcW w:w="2207" w:type="dxa"/>
            <w:tcBorders>
              <w:top w:val="dashed" w:sz="6" w:space="0" w:color="D99594"/>
              <w:left w:val="nil"/>
              <w:bottom w:val="dashed" w:sz="6" w:space="0" w:color="D99594"/>
              <w:right w:val="nil"/>
            </w:tcBorders>
            <w:shd w:val="clear" w:color="auto" w:fill="auto"/>
            <w:tcMar>
              <w:top w:w="80" w:type="dxa"/>
              <w:left w:w="80" w:type="dxa"/>
              <w:bottom w:w="80" w:type="dxa"/>
              <w:right w:w="80" w:type="dxa"/>
            </w:tcMar>
            <w:vAlign w:val="center"/>
          </w:tcPr>
          <w:p w:rsidR="004B3C52" w:rsidRPr="00A171A7" w:rsidRDefault="00A171A7">
            <w:pPr>
              <w:pStyle w:val="TableStyle2"/>
              <w:spacing w:after="24"/>
              <w:rPr>
                <w:rFonts w:ascii="Calibri" w:hAnsi="Calibri"/>
              </w:rPr>
            </w:pPr>
            <w:r w:rsidRPr="00A171A7">
              <w:rPr>
                <w:rFonts w:ascii="Calibri" w:eastAsia="Calibri" w:hAnsi="Calibri" w:cs="Calibri"/>
                <w:sz w:val="22"/>
                <w:szCs w:val="22"/>
              </w:rPr>
              <w:t>Lindsay Cushing</w:t>
            </w:r>
          </w:p>
        </w:tc>
      </w:tr>
      <w:tr w:rsidR="004B3C52" w:rsidTr="00A171A7">
        <w:trPr>
          <w:trHeight w:val="719"/>
        </w:trPr>
        <w:tc>
          <w:tcPr>
            <w:tcW w:w="1589" w:type="dxa"/>
            <w:tcBorders>
              <w:top w:val="dashed" w:sz="6" w:space="0" w:color="D99594"/>
              <w:left w:val="nil"/>
              <w:bottom w:val="nil"/>
              <w:right w:val="nil"/>
            </w:tcBorders>
            <w:shd w:val="clear" w:color="auto" w:fill="auto"/>
            <w:tcMar>
              <w:top w:w="80" w:type="dxa"/>
              <w:left w:w="80" w:type="dxa"/>
              <w:bottom w:w="80" w:type="dxa"/>
              <w:right w:w="80" w:type="dxa"/>
            </w:tcMar>
            <w:vAlign w:val="center"/>
          </w:tcPr>
          <w:p w:rsidR="004B3C52" w:rsidRDefault="004B3C52"/>
        </w:tc>
        <w:tc>
          <w:tcPr>
            <w:tcW w:w="5436" w:type="dxa"/>
            <w:tcBorders>
              <w:top w:val="dashed" w:sz="6" w:space="0" w:color="D99594"/>
              <w:left w:val="nil"/>
              <w:bottom w:val="nil"/>
              <w:right w:val="nil"/>
            </w:tcBorders>
            <w:shd w:val="clear" w:color="auto" w:fill="auto"/>
            <w:tcMar>
              <w:top w:w="80" w:type="dxa"/>
              <w:left w:w="80" w:type="dxa"/>
              <w:bottom w:w="80" w:type="dxa"/>
              <w:right w:w="80" w:type="dxa"/>
            </w:tcMar>
            <w:vAlign w:val="center"/>
          </w:tcPr>
          <w:p w:rsidR="004B3C52" w:rsidRDefault="004B3C52"/>
        </w:tc>
        <w:tc>
          <w:tcPr>
            <w:tcW w:w="2207" w:type="dxa"/>
            <w:tcBorders>
              <w:top w:val="dashed" w:sz="6" w:space="0" w:color="D99594"/>
              <w:left w:val="nil"/>
              <w:bottom w:val="nil"/>
              <w:right w:val="nil"/>
            </w:tcBorders>
            <w:shd w:val="clear" w:color="auto" w:fill="auto"/>
            <w:tcMar>
              <w:top w:w="80" w:type="dxa"/>
              <w:left w:w="80" w:type="dxa"/>
              <w:bottom w:w="80" w:type="dxa"/>
              <w:right w:w="80" w:type="dxa"/>
            </w:tcMar>
            <w:vAlign w:val="center"/>
          </w:tcPr>
          <w:p w:rsidR="004B3C52" w:rsidRDefault="004B3C52"/>
        </w:tc>
      </w:tr>
    </w:tbl>
    <w:p w:rsidR="004B3C52" w:rsidRDefault="004B3C52">
      <w:pPr>
        <w:pStyle w:val="BodyA"/>
        <w:widowControl w:val="0"/>
        <w:spacing w:line="240" w:lineRule="auto"/>
        <w:ind w:left="108" w:hanging="108"/>
      </w:pPr>
    </w:p>
    <w:sectPr w:rsidR="004B3C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2A" w:rsidRDefault="00AD7A2A">
      <w:r>
        <w:separator/>
      </w:r>
    </w:p>
  </w:endnote>
  <w:endnote w:type="continuationSeparator" w:id="0">
    <w:p w:rsidR="00AD7A2A" w:rsidRDefault="00AD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2A" w:rsidRDefault="00AD7A2A">
      <w:r>
        <w:separator/>
      </w:r>
    </w:p>
  </w:footnote>
  <w:footnote w:type="continuationSeparator" w:id="0">
    <w:p w:rsidR="00AD7A2A" w:rsidRDefault="00AD7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D008B"/>
    <w:multiLevelType w:val="hybridMultilevel"/>
    <w:tmpl w:val="11843F94"/>
    <w:lvl w:ilvl="0" w:tplc="5FFA91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B4419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6236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B8036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307A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DAA4C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0662A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6280A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92AF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DDB5A9B"/>
    <w:multiLevelType w:val="hybridMultilevel"/>
    <w:tmpl w:val="7ADCC94E"/>
    <w:lvl w:ilvl="0" w:tplc="53EE61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9C3E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74D61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C0E1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06427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D0A14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86348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9ED01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A691A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EC323B6"/>
    <w:multiLevelType w:val="hybridMultilevel"/>
    <w:tmpl w:val="16C62988"/>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F815767"/>
    <w:multiLevelType w:val="hybridMultilevel"/>
    <w:tmpl w:val="9FB8FB96"/>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F861A6C"/>
    <w:multiLevelType w:val="hybridMultilevel"/>
    <w:tmpl w:val="90569A2A"/>
    <w:lvl w:ilvl="0" w:tplc="339656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B3C52"/>
    <w:rsid w:val="000972C6"/>
    <w:rsid w:val="000A388C"/>
    <w:rsid w:val="002B0550"/>
    <w:rsid w:val="002B7932"/>
    <w:rsid w:val="00395CD1"/>
    <w:rsid w:val="004B3C52"/>
    <w:rsid w:val="004B7E7C"/>
    <w:rsid w:val="005B3907"/>
    <w:rsid w:val="00717B10"/>
    <w:rsid w:val="00852E29"/>
    <w:rsid w:val="00870DD3"/>
    <w:rsid w:val="00882ACE"/>
    <w:rsid w:val="0093271F"/>
    <w:rsid w:val="009754E7"/>
    <w:rsid w:val="00A171A7"/>
    <w:rsid w:val="00A626AA"/>
    <w:rsid w:val="00AD7A2A"/>
    <w:rsid w:val="00B67E3B"/>
    <w:rsid w:val="00B841FD"/>
    <w:rsid w:val="00EC0367"/>
    <w:rsid w:val="00F25DB1"/>
    <w:rsid w:val="00F6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TableStyle2">
    <w:name w:val="Table Style 2"/>
    <w:rPr>
      <w:rFonts w:ascii="Helvetica" w:hAnsi="Helvetica" w:cs="Arial Unicode MS"/>
      <w:color w:val="000000"/>
      <w:u w:color="000000"/>
    </w:rPr>
  </w:style>
  <w:style w:type="table" w:styleId="TableGrid">
    <w:name w:val="Table Grid"/>
    <w:basedOn w:val="TableNormal"/>
    <w:uiPriority w:val="59"/>
    <w:rsid w:val="00A171A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82ACE"/>
    <w:pPr>
      <w:ind w:left="720"/>
      <w:contextualSpacing/>
    </w:pPr>
  </w:style>
  <w:style w:type="character" w:customStyle="1" w:styleId="Hyperlink0">
    <w:name w:val="Hyperlink.0"/>
    <w:basedOn w:val="DefaultParagraphFont"/>
    <w:rsid w:val="00A626AA"/>
    <w:rPr>
      <w:color w:val="389ED8"/>
      <w:u w:val="single" w:color="389ED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TableStyle2">
    <w:name w:val="Table Style 2"/>
    <w:rPr>
      <w:rFonts w:ascii="Helvetica" w:hAnsi="Helvetica" w:cs="Arial Unicode MS"/>
      <w:color w:val="000000"/>
      <w:u w:color="000000"/>
    </w:rPr>
  </w:style>
  <w:style w:type="table" w:styleId="TableGrid">
    <w:name w:val="Table Grid"/>
    <w:basedOn w:val="TableNormal"/>
    <w:uiPriority w:val="59"/>
    <w:rsid w:val="00A171A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82ACE"/>
    <w:pPr>
      <w:ind w:left="720"/>
      <w:contextualSpacing/>
    </w:pPr>
  </w:style>
  <w:style w:type="character" w:customStyle="1" w:styleId="Hyperlink0">
    <w:name w:val="Hyperlink.0"/>
    <w:basedOn w:val="DefaultParagraphFont"/>
    <w:rsid w:val="00A626AA"/>
    <w:rPr>
      <w:color w:val="389ED8"/>
      <w:u w:val="single" w:color="389ED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0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ttendee.gotowebinar.com/register/896777003803025817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ttendee.gotowebinar.com/register/8967770038030258177"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 (OS/ONC) (CTR)</dc:creator>
  <cp:lastModifiedBy>Cushing, Lindsay (OS/ONC) (CTR)</cp:lastModifiedBy>
  <cp:revision>6</cp:revision>
  <dcterms:created xsi:type="dcterms:W3CDTF">2016-02-08T18:56:00Z</dcterms:created>
  <dcterms:modified xsi:type="dcterms:W3CDTF">2016-02-11T15:59:00Z</dcterms:modified>
</cp:coreProperties>
</file>