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35F" w:rsidRDefault="00BA435F" w:rsidP="00BA435F">
      <w:pPr>
        <w:pStyle w:val="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FHIMS Lab-Orders and Observation Domain</w:t>
      </w:r>
    </w:p>
    <w:p w:rsidR="00BA435F" w:rsidRPr="00BA435F" w:rsidRDefault="00A52B96" w:rsidP="00BA435F">
      <w:pPr>
        <w:pStyle w:val="Subtitle"/>
      </w:pPr>
      <w:r>
        <w:t>December 3</w:t>
      </w:r>
      <w:r w:rsidR="00BA435F">
        <w:t>, 2010 Meeting Minutes</w:t>
      </w:r>
      <w:r w:rsidR="00EF741A">
        <w:t xml:space="preserve"> (after FHIMS project meeting)</w:t>
      </w:r>
    </w:p>
    <w:p w:rsidR="0056064C" w:rsidRDefault="0056064C" w:rsidP="0052567A">
      <w:pPr>
        <w:pStyle w:val="Heading1"/>
      </w:pPr>
      <w:r>
        <w:t>Attendees</w:t>
      </w:r>
    </w:p>
    <w:p w:rsidR="00664F24" w:rsidRDefault="00664F24" w:rsidP="0056064C">
      <w:pPr>
        <w:sectPr w:rsidR="00664F24" w:rsidSect="006318E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C4B44" w:rsidRPr="004C4B44" w:rsidRDefault="004C4B44" w:rsidP="004C4B44">
      <w:pPr>
        <w:spacing w:after="0"/>
      </w:pPr>
      <w:r w:rsidRPr="004C4B44">
        <w:lastRenderedPageBreak/>
        <w:t>Neelima Chennamaraja, VA</w:t>
      </w:r>
    </w:p>
    <w:p w:rsidR="0056064C" w:rsidRDefault="00067752" w:rsidP="00664F24">
      <w:pPr>
        <w:spacing w:after="0"/>
      </w:pPr>
      <w:r>
        <w:t>Mike Fitch</w:t>
      </w:r>
      <w:r w:rsidR="004C4B44">
        <w:t xml:space="preserve">, </w:t>
      </w:r>
      <w:proofErr w:type="spellStart"/>
      <w:proofErr w:type="gramStart"/>
      <w:r w:rsidR="004C4B44">
        <w:t>Do</w:t>
      </w:r>
      <w:r w:rsidR="004311D1">
        <w:t>D</w:t>
      </w:r>
      <w:proofErr w:type="spellEnd"/>
      <w:proofErr w:type="gramEnd"/>
    </w:p>
    <w:p w:rsidR="004C4B44" w:rsidRDefault="004C4B44" w:rsidP="004C4B44">
      <w:pPr>
        <w:spacing w:after="0"/>
      </w:pPr>
      <w:r>
        <w:t xml:space="preserve">Steve Hufnagel, </w:t>
      </w:r>
      <w:proofErr w:type="spellStart"/>
      <w:proofErr w:type="gramStart"/>
      <w:r>
        <w:t>DoD</w:t>
      </w:r>
      <w:proofErr w:type="spellEnd"/>
      <w:proofErr w:type="gramEnd"/>
    </w:p>
    <w:p w:rsidR="004C4B44" w:rsidRDefault="004C4B44" w:rsidP="004C4B44">
      <w:pPr>
        <w:spacing w:after="0"/>
      </w:pPr>
      <w:r>
        <w:t>Kosta Makrodimitris, FDA</w:t>
      </w:r>
    </w:p>
    <w:p w:rsidR="00664F24" w:rsidRDefault="00664F24" w:rsidP="00664F24">
      <w:pPr>
        <w:spacing w:after="0"/>
      </w:pPr>
      <w:r>
        <w:lastRenderedPageBreak/>
        <w:t>Galen Mulrooney, VA</w:t>
      </w:r>
    </w:p>
    <w:p w:rsidR="004C4B44" w:rsidRDefault="004C4B44" w:rsidP="004C4B44">
      <w:pPr>
        <w:spacing w:after="0"/>
      </w:pPr>
      <w:r>
        <w:t>Cindy Vinion, CDC</w:t>
      </w:r>
    </w:p>
    <w:p w:rsidR="00664F24" w:rsidRDefault="00664F24" w:rsidP="00664F24">
      <w:pPr>
        <w:spacing w:after="0"/>
      </w:pPr>
      <w:r>
        <w:t>Steve Wagner, FHA</w:t>
      </w:r>
    </w:p>
    <w:p w:rsidR="00664F24" w:rsidRDefault="00664F24" w:rsidP="00664F24"/>
    <w:p w:rsidR="00F11C91" w:rsidRPr="00664F24" w:rsidRDefault="00F11C91" w:rsidP="00664F24">
      <w:pPr>
        <w:sectPr w:rsidR="00F11C91" w:rsidRPr="00664F24" w:rsidSect="00664F2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11C91" w:rsidRDefault="00F11C91" w:rsidP="00F11C91">
      <w:pPr>
        <w:pStyle w:val="Heading1"/>
      </w:pPr>
      <w:r>
        <w:lastRenderedPageBreak/>
        <w:t xml:space="preserve">Leadership team </w:t>
      </w:r>
    </w:p>
    <w:p w:rsidR="0056064C" w:rsidRDefault="00F11C91" w:rsidP="00F11C91">
      <w:r>
        <w:t>Neelima Chennamaraja, Kosta Makrodimitris</w:t>
      </w:r>
      <w:r w:rsidR="00BE23F7">
        <w:t>, Galen Mulrooney, Cindy Vinion</w:t>
      </w:r>
    </w:p>
    <w:p w:rsidR="007B0F5C" w:rsidRDefault="007B0F5C" w:rsidP="007B0F5C">
      <w:r>
        <w:t xml:space="preserve">Website: </w:t>
      </w:r>
      <w:hyperlink r:id="rId6" w:history="1">
        <w:r w:rsidRPr="00887531">
          <w:rPr>
            <w:rStyle w:val="Hyperlink"/>
          </w:rPr>
          <w:t>https://www.projects.openhealthtools.org/sf/projects/fhims/</w:t>
        </w:r>
      </w:hyperlink>
      <w:r>
        <w:t xml:space="preserve"> </w:t>
      </w:r>
    </w:p>
    <w:p w:rsidR="0052567A" w:rsidRDefault="0052567A" w:rsidP="007B0F5C">
      <w:pPr>
        <w:pStyle w:val="Heading1"/>
      </w:pPr>
      <w:r>
        <w:t>Summary of Discussion</w:t>
      </w:r>
    </w:p>
    <w:p w:rsidR="00AA28DC" w:rsidRDefault="00AA28DC" w:rsidP="00AA28DC">
      <w:pPr>
        <w:pStyle w:val="Heading2"/>
      </w:pPr>
      <w:r>
        <w:t>Modeling</w:t>
      </w:r>
      <w:r w:rsidR="00A52B96">
        <w:t xml:space="preserve"> - Sample and Specimen</w:t>
      </w:r>
    </w:p>
    <w:p w:rsidR="00F2608D" w:rsidRDefault="00EF741A" w:rsidP="00CF1F27">
      <w:pPr>
        <w:pStyle w:val="ListParagraph"/>
        <w:numPr>
          <w:ilvl w:val="0"/>
          <w:numId w:val="11"/>
        </w:numPr>
      </w:pPr>
      <w:r>
        <w:t>We are still wrestling with sample and specimen.  There are 2 options:</w:t>
      </w:r>
    </w:p>
    <w:p w:rsidR="00EF741A" w:rsidRDefault="00EF741A" w:rsidP="00EF741A">
      <w:pPr>
        <w:pStyle w:val="ListParagraph"/>
        <w:numPr>
          <w:ilvl w:val="1"/>
          <w:numId w:val="16"/>
        </w:numPr>
      </w:pPr>
      <w:r>
        <w:t>Specimen = material being tested and Sample = material being collected</w:t>
      </w:r>
    </w:p>
    <w:p w:rsidR="00EF741A" w:rsidRDefault="00EF741A" w:rsidP="00EF741A">
      <w:pPr>
        <w:pStyle w:val="ListParagraph"/>
        <w:numPr>
          <w:ilvl w:val="1"/>
          <w:numId w:val="16"/>
        </w:numPr>
      </w:pPr>
      <w:r>
        <w:t>Specimen = material being collected and Sample = material being tested</w:t>
      </w:r>
    </w:p>
    <w:p w:rsidR="00C94EBC" w:rsidRDefault="00C94EBC" w:rsidP="00C94EBC">
      <w:pPr>
        <w:pStyle w:val="NormalWeb"/>
        <w:numPr>
          <w:ilvl w:val="0"/>
          <w:numId w:val="16"/>
        </w:numPr>
      </w:pPr>
      <w:r w:rsidRPr="00C94EBC">
        <w:rPr>
          <w:sz w:val="20"/>
          <w:szCs w:val="20"/>
        </w:rPr>
        <w:t xml:space="preserve">Anne did some research in CLIA about this (from email): </w:t>
      </w:r>
      <w:r>
        <w:rPr>
          <w:sz w:val="20"/>
          <w:szCs w:val="20"/>
        </w:rPr>
        <w:t>"</w:t>
      </w:r>
      <w:r w:rsidRPr="00C94EBC">
        <w:rPr>
          <w:sz w:val="20"/>
          <w:szCs w:val="20"/>
        </w:rPr>
        <w:t>CLIA:</w:t>
      </w:r>
      <w:r>
        <w:t xml:space="preserve">  </w:t>
      </w:r>
      <w:r w:rsidRPr="00C94EBC">
        <w:rPr>
          <w:sz w:val="20"/>
          <w:szCs w:val="20"/>
        </w:rPr>
        <w:t>defines sample as material contained in a vial on a slide, or other unit that contains material to be tested</w:t>
      </w:r>
      <w:r>
        <w:t xml:space="preserve">.  </w:t>
      </w:r>
      <w:r w:rsidRPr="00C94EBC">
        <w:rPr>
          <w:sz w:val="20"/>
          <w:szCs w:val="20"/>
        </w:rPr>
        <w:t>Although it does not have specimen in its definitions CLIA under definition of Laboratory states Facilities only collecting or preparing specimens (or both) or only serving as a mailing service for specimens and not performing testing are not considered laboratories</w:t>
      </w:r>
      <w:r>
        <w:rPr>
          <w:sz w:val="20"/>
          <w:szCs w:val="20"/>
        </w:rPr>
        <w:t>."  This indicates that option 1 is correct.</w:t>
      </w:r>
    </w:p>
    <w:p w:rsidR="00C94EBC" w:rsidRDefault="00C94EBC" w:rsidP="00C94EBC">
      <w:pPr>
        <w:pStyle w:val="ListParagraph"/>
        <w:numPr>
          <w:ilvl w:val="0"/>
          <w:numId w:val="16"/>
        </w:numPr>
      </w:pPr>
      <w:r>
        <w:t>From Terminologist on call: it is best to go with a regulation, such as CLIA, for definitions.  May also want to look at other regulations and/or requirements such as ISO &amp;/or HL7.  In addition, it is better to give names to objects or concepts based on where it is in the process, e.g., collected specimen or tested specimen, than to search for a single word to substitute for one of the terms ("sample" for "collected specimen").</w:t>
      </w:r>
    </w:p>
    <w:p w:rsidR="00C94EBC" w:rsidRDefault="00C94EBC" w:rsidP="00C94EBC">
      <w:pPr>
        <w:pStyle w:val="ListParagraph"/>
        <w:numPr>
          <w:ilvl w:val="0"/>
          <w:numId w:val="16"/>
        </w:numPr>
      </w:pPr>
      <w:r>
        <w:t>Collected material may or may not be processed prior to being tested.</w:t>
      </w:r>
    </w:p>
    <w:p w:rsidR="00C94EBC" w:rsidRDefault="00C94EBC" w:rsidP="00C94EBC">
      <w:pPr>
        <w:pStyle w:val="ListParagraph"/>
        <w:numPr>
          <w:ilvl w:val="0"/>
          <w:numId w:val="16"/>
        </w:numPr>
      </w:pPr>
      <w:r w:rsidRPr="005C1835">
        <w:rPr>
          <w:u w:val="single"/>
        </w:rPr>
        <w:t>Decision for model</w:t>
      </w:r>
      <w:r>
        <w:t xml:space="preserve">: Use a single specimen object using a generic definition (from HL7) and have sub-objects </w:t>
      </w:r>
      <w:r w:rsidR="005C1835">
        <w:t>for collected specimen, processed specimen, and tested specimen.  These sub-objects may be subsumed into the overarching specimen object at a later date, but, for now, they are serving the purpose of helping to do and understand the analysis.</w:t>
      </w:r>
    </w:p>
    <w:p w:rsidR="005C1835" w:rsidRDefault="005C1835" w:rsidP="00C94EBC">
      <w:pPr>
        <w:pStyle w:val="ListParagraph"/>
        <w:numPr>
          <w:ilvl w:val="0"/>
          <w:numId w:val="16"/>
        </w:numPr>
      </w:pPr>
      <w:r>
        <w:t>Is specimen type modifier needed?  If so, should it be a coded attribute (see HL7 v2.x) or a text attribute?</w:t>
      </w:r>
    </w:p>
    <w:p w:rsidR="005C1835" w:rsidRDefault="005C1835" w:rsidP="005C1835">
      <w:pPr>
        <w:pStyle w:val="ListParagraph"/>
        <w:numPr>
          <w:ilvl w:val="1"/>
          <w:numId w:val="17"/>
        </w:numPr>
      </w:pPr>
      <w:r>
        <w:t>It may be useful to provide additional, explanatory information for specimen type.  Per the Meaningful Use requirements, specimen type is a coded value from SNOMED; if SNOMED is sufficiently complete and detailed, then type modifier does not need to be coded, but could be useful for human-readable information.</w:t>
      </w:r>
    </w:p>
    <w:p w:rsidR="005C1835" w:rsidRDefault="00561CD7" w:rsidP="005C1835">
      <w:pPr>
        <w:pStyle w:val="ListParagraph"/>
        <w:numPr>
          <w:ilvl w:val="1"/>
          <w:numId w:val="17"/>
        </w:numPr>
      </w:pPr>
      <w:r>
        <w:t>There are a couple of concerns: (1)</w:t>
      </w:r>
      <w:r w:rsidR="005C1835">
        <w:t xml:space="preserve"> new values are needed all the </w:t>
      </w:r>
      <w:r>
        <w:t>time;</w:t>
      </w:r>
      <w:r w:rsidR="005C1835">
        <w:t xml:space="preserve"> standard terminologies do not and cannot keep pace with the changes in all cases.  The </w:t>
      </w:r>
      <w:r w:rsidR="005C1835">
        <w:rPr>
          <w:u w:val="single"/>
        </w:rPr>
        <w:t>people</w:t>
      </w:r>
      <w:r w:rsidR="005C1835">
        <w:t xml:space="preserve"> need information in order to perform their jobs correct and/or to make well-informed interpretations.  A human readable modifier can be used for this type of information.</w:t>
      </w:r>
      <w:r>
        <w:t xml:space="preserve">  (2)There is a need for computable (i.e., coded) data; however, there is no current system to rapidly update and distribute vocabulary.</w:t>
      </w:r>
    </w:p>
    <w:p w:rsidR="005C1835" w:rsidRDefault="005C1835" w:rsidP="005C1835">
      <w:pPr>
        <w:pStyle w:val="ListParagraph"/>
        <w:numPr>
          <w:ilvl w:val="0"/>
          <w:numId w:val="17"/>
        </w:numPr>
      </w:pPr>
      <w:r>
        <w:lastRenderedPageBreak/>
        <w:t xml:space="preserve">The specimen lifecycle has not been explored.  Doing so may illustrate some of </w:t>
      </w:r>
      <w:r w:rsidR="00561CD7">
        <w:t>lab</w:t>
      </w:r>
      <w:r>
        <w:t xml:space="preserve"> </w:t>
      </w:r>
      <w:r w:rsidR="00CA4017">
        <w:t xml:space="preserve">needs </w:t>
      </w:r>
      <w:r w:rsidR="00561CD7">
        <w:t xml:space="preserve">and build out the </w:t>
      </w:r>
      <w:r w:rsidR="00CA4017">
        <w:t>lab model.</w:t>
      </w:r>
    </w:p>
    <w:p w:rsidR="0056064C" w:rsidRDefault="0056064C" w:rsidP="0056064C">
      <w:pPr>
        <w:pStyle w:val="Heading1"/>
      </w:pPr>
      <w:r>
        <w:t>Action Items</w:t>
      </w:r>
    </w:p>
    <w:tbl>
      <w:tblPr>
        <w:tblStyle w:val="TableGrid"/>
        <w:tblW w:w="10585" w:type="dxa"/>
        <w:tblLook w:val="04A0"/>
      </w:tblPr>
      <w:tblGrid>
        <w:gridCol w:w="1230"/>
        <w:gridCol w:w="948"/>
        <w:gridCol w:w="7158"/>
        <w:gridCol w:w="1249"/>
      </w:tblGrid>
      <w:tr w:rsidR="00D143EE" w:rsidRPr="009211E3" w:rsidTr="007B0F5C">
        <w:trPr>
          <w:cantSplit/>
          <w:tblHeader/>
        </w:trPr>
        <w:tc>
          <w:tcPr>
            <w:tcW w:w="1230" w:type="dxa"/>
            <w:shd w:val="clear" w:color="auto" w:fill="B8CCE4" w:themeFill="accent1" w:themeFillTint="66"/>
          </w:tcPr>
          <w:p w:rsidR="00D143EE" w:rsidRPr="009211E3" w:rsidRDefault="00D143EE" w:rsidP="00BE57FF">
            <w:pPr>
              <w:spacing w:after="0"/>
            </w:pPr>
            <w:r w:rsidRPr="009211E3">
              <w:t>Start Date</w:t>
            </w:r>
          </w:p>
        </w:tc>
        <w:tc>
          <w:tcPr>
            <w:tcW w:w="948" w:type="dxa"/>
            <w:shd w:val="clear" w:color="auto" w:fill="B8CCE4" w:themeFill="accent1" w:themeFillTint="66"/>
          </w:tcPr>
          <w:p w:rsidR="00D143EE" w:rsidRPr="009211E3" w:rsidRDefault="00D23801" w:rsidP="00BE57FF">
            <w:pPr>
              <w:spacing w:after="0"/>
            </w:pPr>
            <w:r>
              <w:t>Priority</w:t>
            </w:r>
          </w:p>
        </w:tc>
        <w:tc>
          <w:tcPr>
            <w:tcW w:w="7158" w:type="dxa"/>
            <w:shd w:val="clear" w:color="auto" w:fill="B8CCE4" w:themeFill="accent1" w:themeFillTint="66"/>
          </w:tcPr>
          <w:p w:rsidR="00D143EE" w:rsidRPr="009211E3" w:rsidRDefault="00D143EE" w:rsidP="00BE57FF">
            <w:pPr>
              <w:spacing w:after="0"/>
            </w:pPr>
            <w:r w:rsidRPr="009211E3">
              <w:t>Action Item</w:t>
            </w:r>
          </w:p>
        </w:tc>
        <w:tc>
          <w:tcPr>
            <w:tcW w:w="1249" w:type="dxa"/>
            <w:shd w:val="clear" w:color="auto" w:fill="B8CCE4" w:themeFill="accent1" w:themeFillTint="66"/>
          </w:tcPr>
          <w:p w:rsidR="00D143EE" w:rsidRPr="009211E3" w:rsidRDefault="00D143EE" w:rsidP="00BE57FF">
            <w:pPr>
              <w:spacing w:after="0"/>
            </w:pPr>
            <w:r w:rsidRPr="009211E3">
              <w:t>Status</w:t>
            </w:r>
          </w:p>
        </w:tc>
      </w:tr>
      <w:tr w:rsidR="00D23801" w:rsidRPr="009211E3" w:rsidTr="007B0F5C">
        <w:trPr>
          <w:cantSplit/>
        </w:trPr>
        <w:tc>
          <w:tcPr>
            <w:tcW w:w="1230" w:type="dxa"/>
          </w:tcPr>
          <w:p w:rsidR="00D23801" w:rsidRPr="00D23801" w:rsidRDefault="00D23801" w:rsidP="00D23801">
            <w:pPr>
              <w:spacing w:after="0"/>
              <w:rPr>
                <w:color w:val="0070C0"/>
              </w:rPr>
            </w:pPr>
            <w:r w:rsidRPr="00D23801">
              <w:rPr>
                <w:color w:val="0070C0"/>
              </w:rPr>
              <w:t>11/22/10</w:t>
            </w:r>
          </w:p>
        </w:tc>
        <w:tc>
          <w:tcPr>
            <w:tcW w:w="948" w:type="dxa"/>
          </w:tcPr>
          <w:p w:rsidR="00D23801" w:rsidRPr="00D23801" w:rsidRDefault="00D23801" w:rsidP="00D23801">
            <w:pPr>
              <w:spacing w:after="0"/>
              <w:rPr>
                <w:color w:val="0070C0"/>
              </w:rPr>
            </w:pPr>
            <w:r w:rsidRPr="00D23801">
              <w:rPr>
                <w:color w:val="0070C0"/>
              </w:rPr>
              <w:t>Low</w:t>
            </w:r>
          </w:p>
        </w:tc>
        <w:tc>
          <w:tcPr>
            <w:tcW w:w="7158" w:type="dxa"/>
          </w:tcPr>
          <w:p w:rsidR="00D23801" w:rsidRPr="00D23801" w:rsidRDefault="00D23801" w:rsidP="00D23801">
            <w:pPr>
              <w:pStyle w:val="Default"/>
              <w:rPr>
                <w:rFonts w:asciiTheme="minorHAnsi" w:hAnsiTheme="minorHAnsi" w:cstheme="minorBidi"/>
                <w:color w:val="0070C0"/>
                <w:sz w:val="22"/>
                <w:szCs w:val="22"/>
              </w:rPr>
            </w:pPr>
            <w:r w:rsidRPr="00D23801">
              <w:rPr>
                <w:rFonts w:asciiTheme="minorHAnsi" w:hAnsiTheme="minorHAnsi" w:cstheme="minorBidi"/>
                <w:color w:val="0070C0"/>
                <w:sz w:val="22"/>
                <w:szCs w:val="22"/>
              </w:rPr>
              <w:t xml:space="preserve">Mike-Wendy-Kosta-Galen: Define-clarify Specimen-Sample filler and placer order number, test identifier, placer group number and </w:t>
            </w:r>
            <w:proofErr w:type="spellStart"/>
            <w:r w:rsidRPr="00D23801">
              <w:rPr>
                <w:rFonts w:asciiTheme="minorHAnsi" w:hAnsiTheme="minorHAnsi" w:cstheme="minorBidi"/>
                <w:color w:val="0070C0"/>
                <w:sz w:val="22"/>
                <w:szCs w:val="22"/>
              </w:rPr>
              <w:t>universalServiceIdentifier</w:t>
            </w:r>
            <w:proofErr w:type="spellEnd"/>
            <w:r w:rsidRPr="00D23801">
              <w:rPr>
                <w:rFonts w:asciiTheme="minorHAnsi" w:hAnsiTheme="minorHAnsi" w:cstheme="minorBidi"/>
                <w:color w:val="0070C0"/>
                <w:sz w:val="22"/>
                <w:szCs w:val="22"/>
              </w:rPr>
              <w:t>. Pathology Laboratory uses specs from DICOM (Supplement 122) to describe the various units (specimen, accession number, etc) in their workflow.</w:t>
            </w:r>
          </w:p>
        </w:tc>
        <w:tc>
          <w:tcPr>
            <w:tcW w:w="1249" w:type="dxa"/>
          </w:tcPr>
          <w:p w:rsidR="00D23801" w:rsidRPr="00D23801" w:rsidRDefault="00D23801" w:rsidP="00D23801">
            <w:pPr>
              <w:spacing w:after="0"/>
              <w:rPr>
                <w:color w:val="0070C0"/>
              </w:rPr>
            </w:pPr>
            <w:r w:rsidRPr="00D23801">
              <w:rPr>
                <w:color w:val="0070C0"/>
              </w:rPr>
              <w:t>In process</w:t>
            </w:r>
          </w:p>
        </w:tc>
      </w:tr>
      <w:tr w:rsidR="00D23801" w:rsidRPr="009211E3" w:rsidTr="007B0F5C">
        <w:trPr>
          <w:cantSplit/>
        </w:trPr>
        <w:tc>
          <w:tcPr>
            <w:tcW w:w="1230" w:type="dxa"/>
          </w:tcPr>
          <w:p w:rsidR="00D23801" w:rsidRPr="00D23801" w:rsidRDefault="00D23801" w:rsidP="00D23801">
            <w:pPr>
              <w:spacing w:after="0"/>
              <w:rPr>
                <w:color w:val="0070C0"/>
              </w:rPr>
            </w:pPr>
            <w:r w:rsidRPr="00D23801">
              <w:rPr>
                <w:color w:val="0070C0"/>
              </w:rPr>
              <w:t>11/22/10</w:t>
            </w:r>
          </w:p>
        </w:tc>
        <w:tc>
          <w:tcPr>
            <w:tcW w:w="948" w:type="dxa"/>
          </w:tcPr>
          <w:p w:rsidR="00D23801" w:rsidRPr="00D23801" w:rsidRDefault="00D23801" w:rsidP="00D23801">
            <w:pPr>
              <w:spacing w:after="0"/>
              <w:rPr>
                <w:color w:val="0070C0"/>
              </w:rPr>
            </w:pPr>
            <w:r w:rsidRPr="00D23801">
              <w:rPr>
                <w:color w:val="0070C0"/>
              </w:rPr>
              <w:t>Low</w:t>
            </w:r>
          </w:p>
        </w:tc>
        <w:tc>
          <w:tcPr>
            <w:tcW w:w="7158" w:type="dxa"/>
          </w:tcPr>
          <w:p w:rsidR="00D23801" w:rsidRPr="00D23801" w:rsidRDefault="00D23801" w:rsidP="00D23801">
            <w:pPr>
              <w:pStyle w:val="Default"/>
              <w:rPr>
                <w:rFonts w:asciiTheme="minorHAnsi" w:hAnsiTheme="minorHAnsi" w:cstheme="minorBidi"/>
                <w:color w:val="0070C0"/>
                <w:sz w:val="22"/>
                <w:szCs w:val="22"/>
              </w:rPr>
            </w:pPr>
            <w:r w:rsidRPr="00D23801">
              <w:rPr>
                <w:rFonts w:asciiTheme="minorHAnsi" w:hAnsiTheme="minorHAnsi" w:cstheme="minorBidi"/>
                <w:color w:val="0070C0"/>
                <w:sz w:val="22"/>
                <w:szCs w:val="22"/>
              </w:rPr>
              <w:t xml:space="preserve">Kosta-Steve : Services Aware Interoperability Framework and Lab-OO FHIMS relevance </w:t>
            </w:r>
          </w:p>
        </w:tc>
        <w:tc>
          <w:tcPr>
            <w:tcW w:w="1249" w:type="dxa"/>
          </w:tcPr>
          <w:p w:rsidR="00D23801" w:rsidRPr="00D23801" w:rsidRDefault="00D23801" w:rsidP="00D23801">
            <w:pPr>
              <w:spacing w:after="0"/>
              <w:rPr>
                <w:color w:val="0070C0"/>
              </w:rPr>
            </w:pPr>
            <w:r w:rsidRPr="00D23801">
              <w:rPr>
                <w:color w:val="0070C0"/>
              </w:rPr>
              <w:t>In process</w:t>
            </w:r>
          </w:p>
        </w:tc>
      </w:tr>
      <w:tr w:rsidR="00D143EE" w:rsidRPr="009211E3" w:rsidTr="007B0F5C">
        <w:trPr>
          <w:cantSplit/>
        </w:trPr>
        <w:tc>
          <w:tcPr>
            <w:tcW w:w="1230" w:type="dxa"/>
          </w:tcPr>
          <w:p w:rsidR="00D143EE" w:rsidRPr="007B0F5C" w:rsidRDefault="00D143EE" w:rsidP="00BE57FF">
            <w:pPr>
              <w:spacing w:after="0"/>
              <w:rPr>
                <w:color w:val="FF0000"/>
              </w:rPr>
            </w:pPr>
            <w:r w:rsidRPr="007B0F5C">
              <w:rPr>
                <w:color w:val="FF0000"/>
              </w:rPr>
              <w:t>11/15/10</w:t>
            </w:r>
          </w:p>
        </w:tc>
        <w:tc>
          <w:tcPr>
            <w:tcW w:w="948" w:type="dxa"/>
          </w:tcPr>
          <w:p w:rsidR="00D143EE" w:rsidRPr="007B0F5C" w:rsidRDefault="00D143EE" w:rsidP="00BE57FF">
            <w:pPr>
              <w:spacing w:after="0"/>
              <w:rPr>
                <w:color w:val="FF0000"/>
              </w:rPr>
            </w:pPr>
            <w:r w:rsidRPr="007B0F5C">
              <w:rPr>
                <w:color w:val="FF0000"/>
              </w:rPr>
              <w:t>High</w:t>
            </w:r>
          </w:p>
        </w:tc>
        <w:tc>
          <w:tcPr>
            <w:tcW w:w="7158" w:type="dxa"/>
          </w:tcPr>
          <w:p w:rsidR="00D143EE" w:rsidRPr="007B0F5C" w:rsidRDefault="00D143EE" w:rsidP="00D32587">
            <w:pPr>
              <w:spacing w:after="0"/>
              <w:rPr>
                <w:color w:val="FF0000"/>
              </w:rPr>
            </w:pPr>
            <w:r w:rsidRPr="007B0F5C">
              <w:rPr>
                <w:color w:val="FF0000"/>
              </w:rPr>
              <w:t>Mike, Cindy, Galen: Finalize definitions</w:t>
            </w:r>
            <w:r w:rsidR="00D32587" w:rsidRPr="007B0F5C">
              <w:rPr>
                <w:color w:val="FF0000"/>
              </w:rPr>
              <w:t xml:space="preserve"> for and use of</w:t>
            </w:r>
            <w:r w:rsidRPr="007B0F5C">
              <w:rPr>
                <w:color w:val="FF0000"/>
              </w:rPr>
              <w:t xml:space="preserve"> different identifiers &amp; numbers in lab </w:t>
            </w:r>
            <w:r w:rsidR="00D32587" w:rsidRPr="007B0F5C">
              <w:rPr>
                <w:color w:val="FF0000"/>
              </w:rPr>
              <w:t xml:space="preserve">domain </w:t>
            </w:r>
            <w:r w:rsidRPr="007B0F5C">
              <w:rPr>
                <w:color w:val="FF0000"/>
              </w:rPr>
              <w:t>- filler order number, placer order number, group number, test identifier, etc.</w:t>
            </w:r>
          </w:p>
        </w:tc>
        <w:tc>
          <w:tcPr>
            <w:tcW w:w="1249" w:type="dxa"/>
          </w:tcPr>
          <w:p w:rsidR="00D143EE" w:rsidRPr="007B0F5C" w:rsidRDefault="00D143EE" w:rsidP="00BE57FF">
            <w:pPr>
              <w:spacing w:after="0"/>
              <w:rPr>
                <w:color w:val="FF0000"/>
              </w:rPr>
            </w:pPr>
          </w:p>
        </w:tc>
      </w:tr>
      <w:tr w:rsidR="00D143EE" w:rsidRPr="009211E3" w:rsidTr="007B0F5C">
        <w:trPr>
          <w:cantSplit/>
        </w:trPr>
        <w:tc>
          <w:tcPr>
            <w:tcW w:w="1230" w:type="dxa"/>
          </w:tcPr>
          <w:p w:rsidR="00D143EE" w:rsidRPr="007B0F5C" w:rsidRDefault="00D143EE" w:rsidP="00BE57FF">
            <w:pPr>
              <w:spacing w:after="0"/>
              <w:rPr>
                <w:color w:val="FF0000"/>
              </w:rPr>
            </w:pPr>
            <w:r w:rsidRPr="007B0F5C">
              <w:rPr>
                <w:color w:val="FF0000"/>
              </w:rPr>
              <w:t>11/8/10</w:t>
            </w:r>
          </w:p>
        </w:tc>
        <w:tc>
          <w:tcPr>
            <w:tcW w:w="948" w:type="dxa"/>
          </w:tcPr>
          <w:p w:rsidR="00D143EE" w:rsidRPr="007B0F5C" w:rsidRDefault="00D143EE" w:rsidP="00BE57FF">
            <w:pPr>
              <w:spacing w:after="0"/>
              <w:rPr>
                <w:color w:val="FF0000"/>
              </w:rPr>
            </w:pPr>
          </w:p>
        </w:tc>
        <w:tc>
          <w:tcPr>
            <w:tcW w:w="7158" w:type="dxa"/>
          </w:tcPr>
          <w:p w:rsidR="00D143EE" w:rsidRPr="007B0F5C" w:rsidRDefault="00D143EE" w:rsidP="00BE57FF">
            <w:pPr>
              <w:spacing w:after="0"/>
              <w:rPr>
                <w:color w:val="FF0000"/>
              </w:rPr>
            </w:pPr>
            <w:r w:rsidRPr="007B0F5C">
              <w:rPr>
                <w:color w:val="FF0000"/>
              </w:rPr>
              <w:t>Need to discuss different scenarios involving different people (ward clerk, nurses, physicians, physician's assistants, interns, etc) and who those people would be in a data exchange.</w:t>
            </w:r>
          </w:p>
        </w:tc>
        <w:tc>
          <w:tcPr>
            <w:tcW w:w="1249" w:type="dxa"/>
          </w:tcPr>
          <w:p w:rsidR="00D143EE" w:rsidRPr="007B0F5C" w:rsidRDefault="007B0F5C" w:rsidP="00BE57FF">
            <w:pPr>
              <w:spacing w:after="0"/>
              <w:rPr>
                <w:color w:val="FF0000"/>
              </w:rPr>
            </w:pPr>
            <w:r>
              <w:rPr>
                <w:color w:val="FF0000"/>
              </w:rPr>
              <w:t>Not started</w:t>
            </w:r>
          </w:p>
        </w:tc>
      </w:tr>
      <w:tr w:rsidR="00D143EE" w:rsidRPr="009211E3" w:rsidTr="007B0F5C">
        <w:trPr>
          <w:cantSplit/>
        </w:trPr>
        <w:tc>
          <w:tcPr>
            <w:tcW w:w="1230" w:type="dxa"/>
          </w:tcPr>
          <w:p w:rsidR="00D143EE" w:rsidRPr="007B0F5C" w:rsidRDefault="00D143EE" w:rsidP="00BE57FF">
            <w:pPr>
              <w:spacing w:after="0"/>
              <w:rPr>
                <w:color w:val="0070C0"/>
              </w:rPr>
            </w:pPr>
            <w:r w:rsidRPr="007B0F5C">
              <w:rPr>
                <w:color w:val="0070C0"/>
              </w:rPr>
              <w:t>11/8/10</w:t>
            </w:r>
          </w:p>
        </w:tc>
        <w:tc>
          <w:tcPr>
            <w:tcW w:w="948" w:type="dxa"/>
          </w:tcPr>
          <w:p w:rsidR="00D143EE" w:rsidRPr="007B0F5C" w:rsidRDefault="007B0F5C" w:rsidP="00AA28DC">
            <w:pPr>
              <w:spacing w:after="0"/>
              <w:rPr>
                <w:color w:val="0070C0"/>
              </w:rPr>
            </w:pPr>
            <w:r w:rsidRPr="007B0F5C">
              <w:rPr>
                <w:color w:val="0070C0"/>
              </w:rPr>
              <w:t>Low</w:t>
            </w:r>
          </w:p>
        </w:tc>
        <w:tc>
          <w:tcPr>
            <w:tcW w:w="7158" w:type="dxa"/>
          </w:tcPr>
          <w:p w:rsidR="00D143EE" w:rsidRPr="007B0F5C" w:rsidRDefault="00D143EE" w:rsidP="00AA28DC">
            <w:pPr>
              <w:spacing w:after="0"/>
              <w:rPr>
                <w:color w:val="0070C0"/>
              </w:rPr>
            </w:pPr>
            <w:r w:rsidRPr="007B0F5C">
              <w:rPr>
                <w:color w:val="0070C0"/>
              </w:rPr>
              <w:t>Tim (ICLN) to determine if they would like to participate in FHIMS.</w:t>
            </w:r>
          </w:p>
        </w:tc>
        <w:tc>
          <w:tcPr>
            <w:tcW w:w="1249" w:type="dxa"/>
          </w:tcPr>
          <w:p w:rsidR="00D143EE" w:rsidRPr="007B0F5C" w:rsidRDefault="00D143EE" w:rsidP="00BE57FF">
            <w:pPr>
              <w:spacing w:after="0"/>
              <w:rPr>
                <w:color w:val="0070C0"/>
              </w:rPr>
            </w:pPr>
          </w:p>
        </w:tc>
      </w:tr>
      <w:tr w:rsidR="00D143EE" w:rsidRPr="007B0F5C" w:rsidTr="007B0F5C">
        <w:trPr>
          <w:cantSplit/>
        </w:trPr>
        <w:tc>
          <w:tcPr>
            <w:tcW w:w="1230" w:type="dxa"/>
          </w:tcPr>
          <w:p w:rsidR="00D143EE" w:rsidRPr="007B0F5C" w:rsidRDefault="00D143EE" w:rsidP="00BE57FF">
            <w:pPr>
              <w:spacing w:after="0"/>
              <w:rPr>
                <w:color w:val="0070C0"/>
              </w:rPr>
            </w:pPr>
            <w:r w:rsidRPr="007B0F5C">
              <w:rPr>
                <w:color w:val="0070C0"/>
              </w:rPr>
              <w:t>11/1/10</w:t>
            </w:r>
          </w:p>
        </w:tc>
        <w:tc>
          <w:tcPr>
            <w:tcW w:w="948" w:type="dxa"/>
          </w:tcPr>
          <w:p w:rsidR="00D143EE" w:rsidRPr="007B0F5C" w:rsidRDefault="00D143EE" w:rsidP="00BE57FF">
            <w:pPr>
              <w:spacing w:after="0"/>
              <w:rPr>
                <w:color w:val="0070C0"/>
              </w:rPr>
            </w:pPr>
          </w:p>
        </w:tc>
        <w:tc>
          <w:tcPr>
            <w:tcW w:w="7158" w:type="dxa"/>
          </w:tcPr>
          <w:p w:rsidR="00D143EE" w:rsidRPr="007B0F5C" w:rsidRDefault="00D143EE" w:rsidP="00BE57FF">
            <w:pPr>
              <w:spacing w:after="0"/>
              <w:rPr>
                <w:color w:val="0070C0"/>
              </w:rPr>
            </w:pPr>
            <w:r w:rsidRPr="007B0F5C">
              <w:rPr>
                <w:color w:val="0070C0"/>
              </w:rPr>
              <w:t>Cindy will update sample accessioning scenarios.</w:t>
            </w:r>
          </w:p>
        </w:tc>
        <w:tc>
          <w:tcPr>
            <w:tcW w:w="1249" w:type="dxa"/>
          </w:tcPr>
          <w:p w:rsidR="00D143EE" w:rsidRPr="007B0F5C" w:rsidRDefault="00D143EE" w:rsidP="00BE57FF">
            <w:pPr>
              <w:spacing w:after="0"/>
              <w:rPr>
                <w:color w:val="0070C0"/>
              </w:rPr>
            </w:pPr>
            <w:r w:rsidRPr="007B0F5C">
              <w:rPr>
                <w:color w:val="0070C0"/>
              </w:rPr>
              <w:t>In process</w:t>
            </w:r>
          </w:p>
        </w:tc>
      </w:tr>
      <w:tr w:rsidR="00D143EE" w:rsidRPr="007B0F5C" w:rsidTr="007B0F5C">
        <w:trPr>
          <w:cantSplit/>
        </w:trPr>
        <w:tc>
          <w:tcPr>
            <w:tcW w:w="1230" w:type="dxa"/>
          </w:tcPr>
          <w:p w:rsidR="00D143EE" w:rsidRPr="007B0F5C" w:rsidRDefault="00D143EE" w:rsidP="00BE57FF">
            <w:pPr>
              <w:spacing w:after="0"/>
              <w:rPr>
                <w:color w:val="0070C0"/>
              </w:rPr>
            </w:pPr>
            <w:r w:rsidRPr="007B0F5C">
              <w:rPr>
                <w:color w:val="0070C0"/>
              </w:rPr>
              <w:t>11/1/10</w:t>
            </w:r>
          </w:p>
        </w:tc>
        <w:tc>
          <w:tcPr>
            <w:tcW w:w="948" w:type="dxa"/>
          </w:tcPr>
          <w:p w:rsidR="00D143EE" w:rsidRPr="007B0F5C" w:rsidRDefault="00D143EE" w:rsidP="00BE57FF">
            <w:pPr>
              <w:spacing w:after="0"/>
              <w:rPr>
                <w:color w:val="0070C0"/>
              </w:rPr>
            </w:pPr>
          </w:p>
        </w:tc>
        <w:tc>
          <w:tcPr>
            <w:tcW w:w="7158" w:type="dxa"/>
          </w:tcPr>
          <w:p w:rsidR="00D143EE" w:rsidRPr="007B0F5C" w:rsidRDefault="00D143EE" w:rsidP="00BE57FF">
            <w:pPr>
              <w:spacing w:after="0"/>
              <w:rPr>
                <w:color w:val="0070C0"/>
              </w:rPr>
            </w:pPr>
            <w:r w:rsidRPr="007B0F5C">
              <w:rPr>
                <w:color w:val="0070C0"/>
              </w:rPr>
              <w:t>Anne will write up lab processes to include as additional scenarios.</w:t>
            </w:r>
          </w:p>
        </w:tc>
        <w:tc>
          <w:tcPr>
            <w:tcW w:w="1249" w:type="dxa"/>
          </w:tcPr>
          <w:p w:rsidR="00D143EE" w:rsidRPr="007B0F5C" w:rsidRDefault="00D143EE" w:rsidP="00BE57FF">
            <w:pPr>
              <w:spacing w:after="0"/>
              <w:rPr>
                <w:color w:val="0070C0"/>
              </w:rPr>
            </w:pPr>
            <w:r w:rsidRPr="007B0F5C">
              <w:rPr>
                <w:color w:val="0070C0"/>
              </w:rPr>
              <w:t>In process</w:t>
            </w:r>
          </w:p>
        </w:tc>
      </w:tr>
      <w:tr w:rsidR="00D143EE" w:rsidRPr="009211E3" w:rsidTr="007B0F5C">
        <w:trPr>
          <w:cantSplit/>
        </w:trPr>
        <w:tc>
          <w:tcPr>
            <w:tcW w:w="1230" w:type="dxa"/>
          </w:tcPr>
          <w:p w:rsidR="00D143EE" w:rsidRPr="007B0F5C" w:rsidRDefault="00D143EE" w:rsidP="00BE57FF">
            <w:pPr>
              <w:spacing w:after="0"/>
              <w:rPr>
                <w:color w:val="FF0000"/>
              </w:rPr>
            </w:pPr>
            <w:r w:rsidRPr="007B0F5C">
              <w:rPr>
                <w:color w:val="FF0000"/>
              </w:rPr>
              <w:t>11/1/10</w:t>
            </w:r>
          </w:p>
        </w:tc>
        <w:tc>
          <w:tcPr>
            <w:tcW w:w="948" w:type="dxa"/>
          </w:tcPr>
          <w:p w:rsidR="00D143EE" w:rsidRPr="007B0F5C" w:rsidRDefault="00D143EE" w:rsidP="00BE57FF">
            <w:pPr>
              <w:spacing w:after="0"/>
              <w:rPr>
                <w:color w:val="FF0000"/>
              </w:rPr>
            </w:pPr>
          </w:p>
        </w:tc>
        <w:tc>
          <w:tcPr>
            <w:tcW w:w="7158" w:type="dxa"/>
          </w:tcPr>
          <w:p w:rsidR="00D143EE" w:rsidRPr="007B0F5C" w:rsidRDefault="00D143EE" w:rsidP="00BE57FF">
            <w:pPr>
              <w:spacing w:after="0"/>
              <w:rPr>
                <w:color w:val="FF0000"/>
              </w:rPr>
            </w:pPr>
            <w:r w:rsidRPr="007B0F5C">
              <w:rPr>
                <w:color w:val="FF0000"/>
              </w:rPr>
              <w:t>Cindy to identify and contact FBI person from LRN National Meeting for participation in the FHIMS Lab calls when we start doing Chain of Custody, slated for phase 2.</w:t>
            </w:r>
          </w:p>
        </w:tc>
        <w:tc>
          <w:tcPr>
            <w:tcW w:w="1249" w:type="dxa"/>
          </w:tcPr>
          <w:p w:rsidR="00D143EE" w:rsidRPr="007B0F5C" w:rsidRDefault="007B0F5C" w:rsidP="00BE57FF">
            <w:pPr>
              <w:spacing w:after="0"/>
              <w:rPr>
                <w:color w:val="FF0000"/>
              </w:rPr>
            </w:pPr>
            <w:r>
              <w:rPr>
                <w:color w:val="FF0000"/>
              </w:rPr>
              <w:t>Not started</w:t>
            </w:r>
          </w:p>
        </w:tc>
      </w:tr>
      <w:tr w:rsidR="00D143EE" w:rsidRPr="009211E3" w:rsidTr="007B0F5C">
        <w:trPr>
          <w:cantSplit/>
        </w:trPr>
        <w:tc>
          <w:tcPr>
            <w:tcW w:w="1230" w:type="dxa"/>
          </w:tcPr>
          <w:p w:rsidR="00D143EE" w:rsidRPr="007B0F5C" w:rsidRDefault="00D143EE" w:rsidP="00BE57FF">
            <w:pPr>
              <w:spacing w:after="0"/>
              <w:rPr>
                <w:color w:val="0070C0"/>
              </w:rPr>
            </w:pPr>
            <w:r w:rsidRPr="007B0F5C">
              <w:rPr>
                <w:color w:val="0070C0"/>
              </w:rPr>
              <w:t>11/1/10</w:t>
            </w:r>
          </w:p>
        </w:tc>
        <w:tc>
          <w:tcPr>
            <w:tcW w:w="948" w:type="dxa"/>
          </w:tcPr>
          <w:p w:rsidR="00D143EE" w:rsidRPr="007B0F5C" w:rsidRDefault="007B0F5C" w:rsidP="00BE57FF">
            <w:pPr>
              <w:spacing w:after="0"/>
              <w:rPr>
                <w:color w:val="0070C0"/>
              </w:rPr>
            </w:pPr>
            <w:r w:rsidRPr="007B0F5C">
              <w:rPr>
                <w:color w:val="0070C0"/>
              </w:rPr>
              <w:t>Med</w:t>
            </w:r>
          </w:p>
        </w:tc>
        <w:tc>
          <w:tcPr>
            <w:tcW w:w="7158" w:type="dxa"/>
          </w:tcPr>
          <w:p w:rsidR="00D143EE" w:rsidRPr="007B0F5C" w:rsidRDefault="00D143EE" w:rsidP="00BE57FF">
            <w:pPr>
              <w:spacing w:after="0"/>
              <w:rPr>
                <w:color w:val="0070C0"/>
              </w:rPr>
            </w:pPr>
            <w:r w:rsidRPr="007B0F5C">
              <w:rPr>
                <w:color w:val="0070C0"/>
              </w:rPr>
              <w:t>Kosta to transform flowchart of outpatient scenario to BPRN.</w:t>
            </w:r>
          </w:p>
        </w:tc>
        <w:tc>
          <w:tcPr>
            <w:tcW w:w="1249" w:type="dxa"/>
          </w:tcPr>
          <w:p w:rsidR="00D143EE" w:rsidRPr="007B0F5C" w:rsidRDefault="00D143EE" w:rsidP="00BE57FF">
            <w:pPr>
              <w:spacing w:after="0"/>
              <w:rPr>
                <w:color w:val="0070C0"/>
              </w:rPr>
            </w:pPr>
            <w:r w:rsidRPr="007B0F5C">
              <w:rPr>
                <w:color w:val="0070C0"/>
              </w:rPr>
              <w:t>In process</w:t>
            </w:r>
          </w:p>
        </w:tc>
      </w:tr>
      <w:tr w:rsidR="00D143EE" w:rsidRPr="009211E3" w:rsidTr="007B0F5C">
        <w:trPr>
          <w:cantSplit/>
        </w:trPr>
        <w:tc>
          <w:tcPr>
            <w:tcW w:w="1230" w:type="dxa"/>
          </w:tcPr>
          <w:p w:rsidR="00D143EE" w:rsidRPr="007B0F5C" w:rsidRDefault="00D143EE" w:rsidP="00BE57FF">
            <w:pPr>
              <w:spacing w:after="0"/>
              <w:rPr>
                <w:color w:val="0070C0"/>
              </w:rPr>
            </w:pPr>
            <w:r w:rsidRPr="007B0F5C">
              <w:rPr>
                <w:color w:val="0070C0"/>
              </w:rPr>
              <w:t>10/25/10</w:t>
            </w:r>
          </w:p>
        </w:tc>
        <w:tc>
          <w:tcPr>
            <w:tcW w:w="948" w:type="dxa"/>
          </w:tcPr>
          <w:p w:rsidR="00D143EE" w:rsidRPr="007B0F5C" w:rsidRDefault="007B0F5C" w:rsidP="00BE57FF">
            <w:pPr>
              <w:spacing w:after="0"/>
              <w:rPr>
                <w:color w:val="0070C0"/>
              </w:rPr>
            </w:pPr>
            <w:r w:rsidRPr="007B0F5C">
              <w:rPr>
                <w:color w:val="0070C0"/>
              </w:rPr>
              <w:t>Low</w:t>
            </w:r>
          </w:p>
        </w:tc>
        <w:tc>
          <w:tcPr>
            <w:tcW w:w="7158" w:type="dxa"/>
          </w:tcPr>
          <w:p w:rsidR="00D143EE" w:rsidRPr="007B0F5C" w:rsidRDefault="00D143EE" w:rsidP="00BE57FF">
            <w:pPr>
              <w:spacing w:after="0"/>
              <w:rPr>
                <w:color w:val="0070C0"/>
              </w:rPr>
            </w:pPr>
            <w:r w:rsidRPr="007B0F5C">
              <w:rPr>
                <w:color w:val="0070C0"/>
              </w:rPr>
              <w:t>Keep in touch with Ted Klein and get material and links</w:t>
            </w:r>
          </w:p>
          <w:p w:rsidR="00D143EE" w:rsidRPr="007B0F5C" w:rsidRDefault="00D143EE" w:rsidP="00AA28DC">
            <w:pPr>
              <w:pStyle w:val="ListParagraph"/>
              <w:numPr>
                <w:ilvl w:val="0"/>
                <w:numId w:val="10"/>
              </w:numPr>
              <w:spacing w:after="0"/>
              <w:rPr>
                <w:color w:val="0070C0"/>
              </w:rPr>
            </w:pPr>
            <w:r w:rsidRPr="007B0F5C">
              <w:rPr>
                <w:color w:val="0070C0"/>
              </w:rPr>
              <w:t>Update 11/1: Ted waiting for approval to release draft version of volume V</w:t>
            </w:r>
          </w:p>
        </w:tc>
        <w:tc>
          <w:tcPr>
            <w:tcW w:w="1249" w:type="dxa"/>
          </w:tcPr>
          <w:p w:rsidR="00D143EE" w:rsidRPr="007B0F5C" w:rsidRDefault="00D143EE" w:rsidP="00BE57FF">
            <w:pPr>
              <w:spacing w:after="0"/>
              <w:rPr>
                <w:color w:val="0070C0"/>
              </w:rPr>
            </w:pPr>
            <w:r w:rsidRPr="007B0F5C">
              <w:rPr>
                <w:color w:val="0070C0"/>
              </w:rPr>
              <w:t>In process</w:t>
            </w:r>
          </w:p>
        </w:tc>
      </w:tr>
      <w:tr w:rsidR="00D143EE" w:rsidRPr="009211E3" w:rsidTr="007B0F5C">
        <w:trPr>
          <w:cantSplit/>
        </w:trPr>
        <w:tc>
          <w:tcPr>
            <w:tcW w:w="1230" w:type="dxa"/>
          </w:tcPr>
          <w:p w:rsidR="00D143EE" w:rsidRPr="007B0F5C" w:rsidRDefault="00D143EE" w:rsidP="00BE57FF">
            <w:pPr>
              <w:spacing w:after="0"/>
              <w:rPr>
                <w:color w:val="00B050"/>
              </w:rPr>
            </w:pPr>
            <w:r w:rsidRPr="007B0F5C">
              <w:rPr>
                <w:color w:val="00B050"/>
              </w:rPr>
              <w:t>10/25/10</w:t>
            </w:r>
          </w:p>
        </w:tc>
        <w:tc>
          <w:tcPr>
            <w:tcW w:w="948" w:type="dxa"/>
          </w:tcPr>
          <w:p w:rsidR="00D143EE" w:rsidRPr="007B0F5C" w:rsidRDefault="007B0F5C" w:rsidP="00BE57FF">
            <w:pPr>
              <w:spacing w:after="0"/>
              <w:rPr>
                <w:color w:val="00B050"/>
              </w:rPr>
            </w:pPr>
            <w:r>
              <w:rPr>
                <w:color w:val="00B050"/>
              </w:rPr>
              <w:t>Low</w:t>
            </w:r>
          </w:p>
        </w:tc>
        <w:tc>
          <w:tcPr>
            <w:tcW w:w="7158" w:type="dxa"/>
          </w:tcPr>
          <w:p w:rsidR="00D143EE" w:rsidRPr="007B0F5C" w:rsidRDefault="00D143EE" w:rsidP="00BE57FF">
            <w:pPr>
              <w:spacing w:after="0"/>
              <w:rPr>
                <w:color w:val="00B050"/>
              </w:rPr>
            </w:pPr>
            <w:r w:rsidRPr="007B0F5C">
              <w:rPr>
                <w:color w:val="00B050"/>
              </w:rPr>
              <w:t xml:space="preserve">Kosta-Galen will organize the </w:t>
            </w:r>
            <w:proofErr w:type="spellStart"/>
            <w:r w:rsidRPr="007B0F5C">
              <w:rPr>
                <w:color w:val="00B050"/>
              </w:rPr>
              <w:t>OpenHealth</w:t>
            </w:r>
            <w:proofErr w:type="spellEnd"/>
            <w:r w:rsidRPr="007B0F5C">
              <w:rPr>
                <w:color w:val="00B050"/>
              </w:rPr>
              <w:t xml:space="preserve"> shared project space for Lab-OO</w:t>
            </w:r>
          </w:p>
          <w:p w:rsidR="00D143EE" w:rsidRPr="007B0F5C" w:rsidRDefault="00D143EE" w:rsidP="00AA28DC">
            <w:pPr>
              <w:pStyle w:val="ListParagraph"/>
              <w:numPr>
                <w:ilvl w:val="0"/>
                <w:numId w:val="10"/>
              </w:numPr>
              <w:spacing w:after="0"/>
              <w:rPr>
                <w:color w:val="00B050"/>
              </w:rPr>
            </w:pPr>
            <w:r w:rsidRPr="007B0F5C">
              <w:rPr>
                <w:color w:val="00B050"/>
              </w:rPr>
              <w:t xml:space="preserve">Update 11/1: Steve working on organizing the </w:t>
            </w:r>
            <w:proofErr w:type="spellStart"/>
            <w:r w:rsidRPr="007B0F5C">
              <w:rPr>
                <w:color w:val="00B050"/>
              </w:rPr>
              <w:t>OpenHealth</w:t>
            </w:r>
            <w:proofErr w:type="spellEnd"/>
            <w:r w:rsidRPr="007B0F5C">
              <w:rPr>
                <w:color w:val="00B050"/>
              </w:rPr>
              <w:t xml:space="preserve"> tools project space</w:t>
            </w:r>
          </w:p>
        </w:tc>
        <w:tc>
          <w:tcPr>
            <w:tcW w:w="1249" w:type="dxa"/>
          </w:tcPr>
          <w:p w:rsidR="00D143EE" w:rsidRPr="007B0F5C" w:rsidRDefault="00D143EE" w:rsidP="00BE57FF">
            <w:pPr>
              <w:spacing w:after="0"/>
              <w:rPr>
                <w:color w:val="00B050"/>
              </w:rPr>
            </w:pPr>
            <w:r w:rsidRPr="007B0F5C">
              <w:rPr>
                <w:color w:val="00B050"/>
              </w:rPr>
              <w:t>In process</w:t>
            </w:r>
          </w:p>
        </w:tc>
      </w:tr>
      <w:tr w:rsidR="00D143EE" w:rsidRPr="009211E3" w:rsidTr="007B0F5C">
        <w:trPr>
          <w:cantSplit/>
        </w:trPr>
        <w:tc>
          <w:tcPr>
            <w:tcW w:w="1230" w:type="dxa"/>
          </w:tcPr>
          <w:p w:rsidR="00D143EE" w:rsidRPr="007B0F5C" w:rsidRDefault="00D143EE" w:rsidP="00BE57FF">
            <w:pPr>
              <w:spacing w:after="0"/>
              <w:rPr>
                <w:color w:val="FF0000"/>
              </w:rPr>
            </w:pPr>
            <w:r w:rsidRPr="007B0F5C">
              <w:rPr>
                <w:color w:val="FF0000"/>
              </w:rPr>
              <w:t>10/25/10</w:t>
            </w:r>
          </w:p>
        </w:tc>
        <w:tc>
          <w:tcPr>
            <w:tcW w:w="948" w:type="dxa"/>
          </w:tcPr>
          <w:p w:rsidR="00D143EE" w:rsidRPr="007B0F5C" w:rsidRDefault="007B0F5C" w:rsidP="00BE57FF">
            <w:pPr>
              <w:spacing w:after="0"/>
              <w:rPr>
                <w:color w:val="FF0000"/>
              </w:rPr>
            </w:pPr>
            <w:r w:rsidRPr="007B0F5C">
              <w:rPr>
                <w:color w:val="FF0000"/>
              </w:rPr>
              <w:t>High</w:t>
            </w:r>
          </w:p>
        </w:tc>
        <w:tc>
          <w:tcPr>
            <w:tcW w:w="7158" w:type="dxa"/>
          </w:tcPr>
          <w:p w:rsidR="00D143EE" w:rsidRPr="007B0F5C" w:rsidRDefault="00D143EE" w:rsidP="00BE57FF">
            <w:pPr>
              <w:spacing w:after="0"/>
              <w:rPr>
                <w:color w:val="FF0000"/>
              </w:rPr>
            </w:pPr>
            <w:r w:rsidRPr="007B0F5C">
              <w:rPr>
                <w:color w:val="FF0000"/>
              </w:rPr>
              <w:t>Prepare for FHA leadership meeting to present FHIMS domains process</w:t>
            </w:r>
          </w:p>
        </w:tc>
        <w:tc>
          <w:tcPr>
            <w:tcW w:w="1249" w:type="dxa"/>
          </w:tcPr>
          <w:p w:rsidR="00D143EE" w:rsidRPr="007B0F5C" w:rsidRDefault="00D143EE" w:rsidP="00BE57FF">
            <w:pPr>
              <w:spacing w:after="0"/>
              <w:rPr>
                <w:color w:val="FF0000"/>
              </w:rPr>
            </w:pPr>
            <w:r w:rsidRPr="007B0F5C">
              <w:rPr>
                <w:color w:val="FF0000"/>
              </w:rPr>
              <w:t>In process</w:t>
            </w:r>
          </w:p>
        </w:tc>
      </w:tr>
      <w:tr w:rsidR="00D143EE" w:rsidRPr="009211E3" w:rsidTr="007B0F5C">
        <w:trPr>
          <w:cantSplit/>
        </w:trPr>
        <w:tc>
          <w:tcPr>
            <w:tcW w:w="1230" w:type="dxa"/>
          </w:tcPr>
          <w:p w:rsidR="00D143EE" w:rsidRPr="007B0F5C" w:rsidRDefault="00D143EE" w:rsidP="00BE57FF">
            <w:pPr>
              <w:spacing w:after="0"/>
              <w:rPr>
                <w:color w:val="0070C0"/>
              </w:rPr>
            </w:pPr>
            <w:r w:rsidRPr="007B0F5C">
              <w:rPr>
                <w:color w:val="0070C0"/>
              </w:rPr>
              <w:t>10/25/10</w:t>
            </w:r>
          </w:p>
        </w:tc>
        <w:tc>
          <w:tcPr>
            <w:tcW w:w="948" w:type="dxa"/>
          </w:tcPr>
          <w:p w:rsidR="00D143EE" w:rsidRPr="007B0F5C" w:rsidRDefault="007B0F5C" w:rsidP="00BE57FF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>Med</w:t>
            </w:r>
          </w:p>
        </w:tc>
        <w:tc>
          <w:tcPr>
            <w:tcW w:w="7158" w:type="dxa"/>
          </w:tcPr>
          <w:p w:rsidR="00D143EE" w:rsidRPr="007B0F5C" w:rsidRDefault="00D143EE" w:rsidP="00BE57FF">
            <w:pPr>
              <w:spacing w:after="0"/>
              <w:rPr>
                <w:color w:val="0070C0"/>
              </w:rPr>
            </w:pPr>
            <w:r w:rsidRPr="007B0F5C">
              <w:rPr>
                <w:color w:val="0070C0"/>
              </w:rPr>
              <w:t xml:space="preserve">Contact laboratory experts, LIMS </w:t>
            </w:r>
            <w:proofErr w:type="spellStart"/>
            <w:r w:rsidRPr="007B0F5C">
              <w:rPr>
                <w:color w:val="0070C0"/>
              </w:rPr>
              <w:t>admins</w:t>
            </w:r>
            <w:proofErr w:type="spellEnd"/>
            <w:r w:rsidRPr="007B0F5C">
              <w:rPr>
                <w:color w:val="0070C0"/>
              </w:rPr>
              <w:t xml:space="preserve">, HL7 OO </w:t>
            </w:r>
            <w:proofErr w:type="spellStart"/>
            <w:r w:rsidRPr="007B0F5C">
              <w:rPr>
                <w:color w:val="0070C0"/>
              </w:rPr>
              <w:t>wg</w:t>
            </w:r>
            <w:proofErr w:type="spellEnd"/>
          </w:p>
          <w:p w:rsidR="00D143EE" w:rsidRPr="007B0F5C" w:rsidRDefault="00D143EE" w:rsidP="00AA28DC">
            <w:pPr>
              <w:pStyle w:val="ListParagraph"/>
              <w:numPr>
                <w:ilvl w:val="0"/>
                <w:numId w:val="10"/>
              </w:numPr>
              <w:spacing w:after="0"/>
              <w:rPr>
                <w:color w:val="0070C0"/>
              </w:rPr>
            </w:pPr>
            <w:r w:rsidRPr="007B0F5C">
              <w:rPr>
                <w:color w:val="0070C0"/>
              </w:rPr>
              <w:t>Update 11/1: HL7 OO WG information shared with interested participants</w:t>
            </w:r>
          </w:p>
        </w:tc>
        <w:tc>
          <w:tcPr>
            <w:tcW w:w="1249" w:type="dxa"/>
          </w:tcPr>
          <w:p w:rsidR="00D143EE" w:rsidRPr="007B0F5C" w:rsidRDefault="00D143EE" w:rsidP="00BE57FF">
            <w:pPr>
              <w:spacing w:after="0"/>
              <w:rPr>
                <w:color w:val="0070C0"/>
              </w:rPr>
            </w:pPr>
            <w:r w:rsidRPr="007B0F5C">
              <w:rPr>
                <w:color w:val="0070C0"/>
              </w:rPr>
              <w:t>In process</w:t>
            </w:r>
          </w:p>
        </w:tc>
      </w:tr>
      <w:tr w:rsidR="007B0F5C" w:rsidRPr="009211E3" w:rsidTr="007B0F5C">
        <w:trPr>
          <w:cantSplit/>
        </w:trPr>
        <w:tc>
          <w:tcPr>
            <w:tcW w:w="1230" w:type="dxa"/>
          </w:tcPr>
          <w:p w:rsidR="007B0F5C" w:rsidRPr="007B0F5C" w:rsidRDefault="007B0F5C">
            <w:pPr>
              <w:pStyle w:val="Default"/>
              <w:rPr>
                <w:color w:val="0070C0"/>
                <w:sz w:val="20"/>
                <w:szCs w:val="20"/>
              </w:rPr>
            </w:pPr>
            <w:r w:rsidRPr="007B0F5C">
              <w:rPr>
                <w:color w:val="0070C0"/>
                <w:sz w:val="20"/>
                <w:szCs w:val="20"/>
              </w:rPr>
              <w:t xml:space="preserve">11/09/10 </w:t>
            </w:r>
          </w:p>
        </w:tc>
        <w:tc>
          <w:tcPr>
            <w:tcW w:w="948" w:type="dxa"/>
          </w:tcPr>
          <w:p w:rsidR="007B0F5C" w:rsidRPr="007B0F5C" w:rsidRDefault="007B0F5C">
            <w:pPr>
              <w:pStyle w:val="Defaul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Med</w:t>
            </w:r>
            <w:r w:rsidRPr="007B0F5C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7158" w:type="dxa"/>
          </w:tcPr>
          <w:p w:rsidR="007B0F5C" w:rsidRPr="007B0F5C" w:rsidRDefault="007B0F5C">
            <w:pPr>
              <w:pStyle w:val="Default"/>
              <w:rPr>
                <w:color w:val="0070C0"/>
                <w:sz w:val="20"/>
                <w:szCs w:val="20"/>
              </w:rPr>
            </w:pPr>
            <w:r w:rsidRPr="007B0F5C">
              <w:rPr>
                <w:color w:val="0070C0"/>
                <w:sz w:val="20"/>
                <w:szCs w:val="20"/>
              </w:rPr>
              <w:t xml:space="preserve">Kosta to present relevant material for Automated Laboratory Management, FERN, </w:t>
            </w:r>
            <w:proofErr w:type="spellStart"/>
            <w:r w:rsidRPr="007B0F5C">
              <w:rPr>
                <w:color w:val="0070C0"/>
                <w:sz w:val="20"/>
                <w:szCs w:val="20"/>
              </w:rPr>
              <w:t>eLEXNET</w:t>
            </w:r>
            <w:proofErr w:type="spellEnd"/>
            <w:r w:rsidRPr="007B0F5C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1249" w:type="dxa"/>
          </w:tcPr>
          <w:p w:rsidR="007B0F5C" w:rsidRPr="007B0F5C" w:rsidRDefault="007B0F5C">
            <w:pPr>
              <w:pStyle w:val="Default"/>
              <w:rPr>
                <w:color w:val="0070C0"/>
                <w:sz w:val="20"/>
                <w:szCs w:val="20"/>
              </w:rPr>
            </w:pPr>
            <w:r w:rsidRPr="007B0F5C">
              <w:rPr>
                <w:color w:val="0070C0"/>
                <w:sz w:val="20"/>
                <w:szCs w:val="20"/>
              </w:rPr>
              <w:t xml:space="preserve">In process </w:t>
            </w:r>
          </w:p>
        </w:tc>
      </w:tr>
      <w:tr w:rsidR="007B0F5C" w:rsidRPr="009211E3" w:rsidTr="007B0F5C">
        <w:trPr>
          <w:cantSplit/>
        </w:trPr>
        <w:tc>
          <w:tcPr>
            <w:tcW w:w="1230" w:type="dxa"/>
          </w:tcPr>
          <w:p w:rsidR="007B0F5C" w:rsidRPr="007B0F5C" w:rsidRDefault="007B0F5C">
            <w:pPr>
              <w:pStyle w:val="Default"/>
              <w:rPr>
                <w:color w:val="0070C0"/>
                <w:sz w:val="20"/>
                <w:szCs w:val="20"/>
              </w:rPr>
            </w:pPr>
            <w:r w:rsidRPr="007B0F5C">
              <w:rPr>
                <w:color w:val="0070C0"/>
                <w:sz w:val="20"/>
                <w:szCs w:val="20"/>
              </w:rPr>
              <w:t xml:space="preserve">11/08/10 </w:t>
            </w:r>
          </w:p>
        </w:tc>
        <w:tc>
          <w:tcPr>
            <w:tcW w:w="948" w:type="dxa"/>
          </w:tcPr>
          <w:p w:rsidR="007B0F5C" w:rsidRPr="007B0F5C" w:rsidRDefault="007B0F5C">
            <w:pPr>
              <w:pStyle w:val="Defaul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Low</w:t>
            </w:r>
            <w:r w:rsidRPr="007B0F5C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7158" w:type="dxa"/>
          </w:tcPr>
          <w:p w:rsidR="007B0F5C" w:rsidRPr="007B0F5C" w:rsidRDefault="007B0F5C">
            <w:pPr>
              <w:pStyle w:val="Default"/>
              <w:rPr>
                <w:color w:val="0070C0"/>
                <w:sz w:val="20"/>
                <w:szCs w:val="20"/>
              </w:rPr>
            </w:pPr>
            <w:r w:rsidRPr="007B0F5C">
              <w:rPr>
                <w:color w:val="0070C0"/>
                <w:sz w:val="20"/>
                <w:szCs w:val="20"/>
              </w:rPr>
              <w:t>Galen to update weekly the FHIMS Lab-OO model and collaborate with Kosta to update about changes from baseline(map .</w:t>
            </w:r>
            <w:proofErr w:type="spellStart"/>
            <w:r w:rsidRPr="007B0F5C">
              <w:rPr>
                <w:color w:val="0070C0"/>
                <w:sz w:val="20"/>
                <w:szCs w:val="20"/>
              </w:rPr>
              <w:t>xls</w:t>
            </w:r>
            <w:proofErr w:type="spellEnd"/>
            <w:r w:rsidRPr="007B0F5C">
              <w:rPr>
                <w:color w:val="0070C0"/>
                <w:sz w:val="20"/>
                <w:szCs w:val="20"/>
              </w:rPr>
              <w:t xml:space="preserve">-overview) </w:t>
            </w:r>
          </w:p>
        </w:tc>
        <w:tc>
          <w:tcPr>
            <w:tcW w:w="1249" w:type="dxa"/>
          </w:tcPr>
          <w:p w:rsidR="007B0F5C" w:rsidRPr="007B0F5C" w:rsidRDefault="007B0F5C">
            <w:pPr>
              <w:pStyle w:val="Default"/>
              <w:rPr>
                <w:color w:val="0070C0"/>
                <w:sz w:val="20"/>
                <w:szCs w:val="20"/>
              </w:rPr>
            </w:pPr>
            <w:r w:rsidRPr="007B0F5C">
              <w:rPr>
                <w:color w:val="0070C0"/>
                <w:sz w:val="20"/>
                <w:szCs w:val="20"/>
              </w:rPr>
              <w:t xml:space="preserve">In process </w:t>
            </w:r>
          </w:p>
        </w:tc>
      </w:tr>
    </w:tbl>
    <w:p w:rsidR="0056064C" w:rsidRDefault="0056064C" w:rsidP="00BE57FF"/>
    <w:p w:rsidR="00D23801" w:rsidRDefault="00D23801" w:rsidP="00D23801">
      <w:pPr>
        <w:pStyle w:val="Heading1"/>
      </w:pPr>
      <w:r>
        <w:t>Completed/Not Tracked Action Items</w:t>
      </w:r>
    </w:p>
    <w:tbl>
      <w:tblPr>
        <w:tblStyle w:val="TableGrid"/>
        <w:tblW w:w="10585" w:type="dxa"/>
        <w:tblLook w:val="04A0"/>
      </w:tblPr>
      <w:tblGrid>
        <w:gridCol w:w="1230"/>
        <w:gridCol w:w="948"/>
        <w:gridCol w:w="7158"/>
        <w:gridCol w:w="1249"/>
      </w:tblGrid>
      <w:tr w:rsidR="00D23801" w:rsidRPr="009211E3" w:rsidTr="00346A86">
        <w:trPr>
          <w:cantSplit/>
          <w:tblHeader/>
        </w:trPr>
        <w:tc>
          <w:tcPr>
            <w:tcW w:w="1230" w:type="dxa"/>
            <w:shd w:val="clear" w:color="auto" w:fill="B8CCE4" w:themeFill="accent1" w:themeFillTint="66"/>
          </w:tcPr>
          <w:p w:rsidR="00D23801" w:rsidRPr="009211E3" w:rsidRDefault="00D23801" w:rsidP="00346A86">
            <w:pPr>
              <w:spacing w:after="0"/>
            </w:pPr>
            <w:r w:rsidRPr="009211E3">
              <w:t>Start Date</w:t>
            </w:r>
          </w:p>
        </w:tc>
        <w:tc>
          <w:tcPr>
            <w:tcW w:w="948" w:type="dxa"/>
            <w:shd w:val="clear" w:color="auto" w:fill="B8CCE4" w:themeFill="accent1" w:themeFillTint="66"/>
          </w:tcPr>
          <w:p w:rsidR="00D23801" w:rsidRPr="009211E3" w:rsidRDefault="00D23801" w:rsidP="00346A86">
            <w:pPr>
              <w:spacing w:after="0"/>
            </w:pPr>
            <w:r>
              <w:t>Priority</w:t>
            </w:r>
          </w:p>
        </w:tc>
        <w:tc>
          <w:tcPr>
            <w:tcW w:w="7158" w:type="dxa"/>
            <w:shd w:val="clear" w:color="auto" w:fill="B8CCE4" w:themeFill="accent1" w:themeFillTint="66"/>
          </w:tcPr>
          <w:p w:rsidR="00D23801" w:rsidRPr="009211E3" w:rsidRDefault="00D23801" w:rsidP="00346A86">
            <w:pPr>
              <w:spacing w:after="0"/>
            </w:pPr>
            <w:r w:rsidRPr="009211E3">
              <w:t>Action Item</w:t>
            </w:r>
          </w:p>
        </w:tc>
        <w:tc>
          <w:tcPr>
            <w:tcW w:w="1249" w:type="dxa"/>
            <w:shd w:val="clear" w:color="auto" w:fill="B8CCE4" w:themeFill="accent1" w:themeFillTint="66"/>
          </w:tcPr>
          <w:p w:rsidR="00D23801" w:rsidRPr="009211E3" w:rsidRDefault="00D23801" w:rsidP="00346A86">
            <w:pPr>
              <w:spacing w:after="0"/>
            </w:pPr>
            <w:r w:rsidRPr="009211E3">
              <w:t>Status</w:t>
            </w:r>
          </w:p>
        </w:tc>
      </w:tr>
      <w:tr w:rsidR="00D23801" w:rsidRPr="009211E3" w:rsidTr="00346A86">
        <w:trPr>
          <w:cantSplit/>
        </w:trPr>
        <w:tc>
          <w:tcPr>
            <w:tcW w:w="1230" w:type="dxa"/>
          </w:tcPr>
          <w:p w:rsidR="00D23801" w:rsidRPr="007B0F5C" w:rsidRDefault="00D23801" w:rsidP="00346A86">
            <w:pPr>
              <w:spacing w:after="0"/>
              <w:rPr>
                <w:color w:val="A6A6A6" w:themeColor="background1" w:themeShade="A6"/>
              </w:rPr>
            </w:pPr>
            <w:r w:rsidRPr="007B0F5C">
              <w:rPr>
                <w:color w:val="A6A6A6" w:themeColor="background1" w:themeShade="A6"/>
              </w:rPr>
              <w:t>11/8/10</w:t>
            </w:r>
          </w:p>
        </w:tc>
        <w:tc>
          <w:tcPr>
            <w:tcW w:w="948" w:type="dxa"/>
          </w:tcPr>
          <w:p w:rsidR="00D23801" w:rsidRPr="007B0F5C" w:rsidRDefault="00D23801" w:rsidP="00346A86">
            <w:pPr>
              <w:spacing w:after="0"/>
              <w:rPr>
                <w:color w:val="A6A6A6" w:themeColor="background1" w:themeShade="A6"/>
              </w:rPr>
            </w:pPr>
          </w:p>
        </w:tc>
        <w:tc>
          <w:tcPr>
            <w:tcW w:w="7158" w:type="dxa"/>
          </w:tcPr>
          <w:p w:rsidR="00D23801" w:rsidRPr="007B0F5C" w:rsidRDefault="00D23801" w:rsidP="00346A86">
            <w:pPr>
              <w:spacing w:after="0"/>
              <w:rPr>
                <w:color w:val="A6A6A6" w:themeColor="background1" w:themeShade="A6"/>
              </w:rPr>
            </w:pPr>
            <w:r w:rsidRPr="007B0F5C">
              <w:rPr>
                <w:color w:val="A6A6A6" w:themeColor="background1" w:themeShade="A6"/>
              </w:rPr>
              <w:t>Tim (ICLN) to discuss with DHS the sharing of the Actionable Data Elements spreadsheets with definition.</w:t>
            </w:r>
          </w:p>
        </w:tc>
        <w:tc>
          <w:tcPr>
            <w:tcW w:w="1249" w:type="dxa"/>
          </w:tcPr>
          <w:p w:rsidR="00D23801" w:rsidRPr="007B0F5C" w:rsidRDefault="00D23801" w:rsidP="00346A86">
            <w:pPr>
              <w:spacing w:after="0"/>
              <w:rPr>
                <w:color w:val="A6A6A6" w:themeColor="background1" w:themeShade="A6"/>
              </w:rPr>
            </w:pPr>
            <w:r w:rsidRPr="007B0F5C">
              <w:rPr>
                <w:color w:val="A6A6A6" w:themeColor="background1" w:themeShade="A6"/>
              </w:rPr>
              <w:t>Not tracked</w:t>
            </w:r>
          </w:p>
        </w:tc>
      </w:tr>
      <w:tr w:rsidR="00D23801" w:rsidRPr="009211E3" w:rsidTr="00346A86">
        <w:trPr>
          <w:cantSplit/>
        </w:trPr>
        <w:tc>
          <w:tcPr>
            <w:tcW w:w="1230" w:type="dxa"/>
          </w:tcPr>
          <w:p w:rsidR="00D23801" w:rsidRPr="007B0F5C" w:rsidRDefault="00D23801" w:rsidP="00346A86">
            <w:pPr>
              <w:spacing w:after="0"/>
              <w:rPr>
                <w:color w:val="00B050"/>
              </w:rPr>
            </w:pPr>
            <w:r w:rsidRPr="007B0F5C">
              <w:rPr>
                <w:color w:val="00B050"/>
              </w:rPr>
              <w:t>11/1/10</w:t>
            </w:r>
          </w:p>
        </w:tc>
        <w:tc>
          <w:tcPr>
            <w:tcW w:w="948" w:type="dxa"/>
          </w:tcPr>
          <w:p w:rsidR="00D23801" w:rsidRPr="007B0F5C" w:rsidRDefault="00D23801" w:rsidP="00346A86">
            <w:pPr>
              <w:spacing w:after="0"/>
              <w:rPr>
                <w:color w:val="00B050"/>
              </w:rPr>
            </w:pPr>
          </w:p>
        </w:tc>
        <w:tc>
          <w:tcPr>
            <w:tcW w:w="7158" w:type="dxa"/>
          </w:tcPr>
          <w:p w:rsidR="00D23801" w:rsidRPr="007B0F5C" w:rsidRDefault="00D23801" w:rsidP="00346A86">
            <w:pPr>
              <w:spacing w:after="0"/>
              <w:rPr>
                <w:color w:val="00B050"/>
              </w:rPr>
            </w:pPr>
            <w:r w:rsidRPr="007B0F5C">
              <w:rPr>
                <w:color w:val="00B050"/>
              </w:rPr>
              <w:t>Cindy to share meeting information for the next meeting when it is sent by the co-chairs.</w:t>
            </w:r>
          </w:p>
        </w:tc>
        <w:tc>
          <w:tcPr>
            <w:tcW w:w="1249" w:type="dxa"/>
          </w:tcPr>
          <w:p w:rsidR="00D23801" w:rsidRPr="007B0F5C" w:rsidRDefault="00D23801" w:rsidP="00346A86">
            <w:pPr>
              <w:spacing w:after="0"/>
              <w:rPr>
                <w:color w:val="00B050"/>
              </w:rPr>
            </w:pPr>
            <w:r w:rsidRPr="007B0F5C">
              <w:rPr>
                <w:color w:val="00B050"/>
              </w:rPr>
              <w:t>Completed</w:t>
            </w:r>
          </w:p>
        </w:tc>
      </w:tr>
      <w:tr w:rsidR="00D23801" w:rsidRPr="009211E3" w:rsidTr="00346A86">
        <w:trPr>
          <w:cantSplit/>
        </w:trPr>
        <w:tc>
          <w:tcPr>
            <w:tcW w:w="1230" w:type="dxa"/>
          </w:tcPr>
          <w:p w:rsidR="00D23801" w:rsidRPr="007B0F5C" w:rsidRDefault="00D23801" w:rsidP="00346A86">
            <w:pPr>
              <w:spacing w:after="0"/>
              <w:rPr>
                <w:color w:val="00B050"/>
              </w:rPr>
            </w:pPr>
            <w:r w:rsidRPr="007B0F5C">
              <w:rPr>
                <w:color w:val="00B050"/>
              </w:rPr>
              <w:t>11/1/10</w:t>
            </w:r>
          </w:p>
        </w:tc>
        <w:tc>
          <w:tcPr>
            <w:tcW w:w="948" w:type="dxa"/>
          </w:tcPr>
          <w:p w:rsidR="00D23801" w:rsidRPr="007B0F5C" w:rsidRDefault="00D23801" w:rsidP="00346A86">
            <w:pPr>
              <w:spacing w:after="0"/>
              <w:rPr>
                <w:color w:val="00B050"/>
              </w:rPr>
            </w:pPr>
          </w:p>
        </w:tc>
        <w:tc>
          <w:tcPr>
            <w:tcW w:w="7158" w:type="dxa"/>
          </w:tcPr>
          <w:p w:rsidR="00D23801" w:rsidRPr="007B0F5C" w:rsidRDefault="00D23801" w:rsidP="00346A86">
            <w:pPr>
              <w:spacing w:after="0"/>
              <w:rPr>
                <w:color w:val="00B050"/>
              </w:rPr>
            </w:pPr>
            <w:r w:rsidRPr="007B0F5C">
              <w:rPr>
                <w:color w:val="00B050"/>
              </w:rPr>
              <w:t>Cindy to send flow chart PDF to Anne Pollack</w:t>
            </w:r>
          </w:p>
        </w:tc>
        <w:tc>
          <w:tcPr>
            <w:tcW w:w="1249" w:type="dxa"/>
          </w:tcPr>
          <w:p w:rsidR="00D23801" w:rsidRPr="007B0F5C" w:rsidRDefault="00D23801" w:rsidP="00346A86">
            <w:pPr>
              <w:spacing w:after="0"/>
              <w:rPr>
                <w:color w:val="00B050"/>
              </w:rPr>
            </w:pPr>
            <w:r w:rsidRPr="007B0F5C">
              <w:rPr>
                <w:color w:val="00B050"/>
              </w:rPr>
              <w:t>Completed</w:t>
            </w:r>
          </w:p>
        </w:tc>
      </w:tr>
    </w:tbl>
    <w:p w:rsidR="00D23801" w:rsidRDefault="00D23801" w:rsidP="00BE57FF"/>
    <w:p w:rsidR="00346A86" w:rsidRDefault="00346A86" w:rsidP="00346A86">
      <w:pPr>
        <w:pStyle w:val="Heading1"/>
      </w:pPr>
      <w:r>
        <w:t>Agenda Next Call: December 6, 2010</w:t>
      </w:r>
    </w:p>
    <w:p w:rsidR="00346A86" w:rsidRDefault="00346A86" w:rsidP="00346A86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ALL-Kosta-Cindy-Anne: Discuss use case and scenarios(UML,BPMN-Visio/RSA),15-20’ </w:t>
      </w:r>
    </w:p>
    <w:p w:rsidR="00346A86" w:rsidRDefault="00346A86" w:rsidP="00BE57FF"/>
    <w:sectPr w:rsidR="00346A86" w:rsidSect="00664F2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451E5"/>
    <w:multiLevelType w:val="hybridMultilevel"/>
    <w:tmpl w:val="86B40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DD0E77"/>
    <w:multiLevelType w:val="hybridMultilevel"/>
    <w:tmpl w:val="3954A9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AF225E64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55866"/>
    <w:multiLevelType w:val="hybridMultilevel"/>
    <w:tmpl w:val="FCA4D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C4B700C"/>
    <w:multiLevelType w:val="hybridMultilevel"/>
    <w:tmpl w:val="192AC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FD8749F"/>
    <w:multiLevelType w:val="hybridMultilevel"/>
    <w:tmpl w:val="95FA46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7C76CBD"/>
    <w:multiLevelType w:val="hybridMultilevel"/>
    <w:tmpl w:val="0EDEB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585214"/>
    <w:multiLevelType w:val="hybridMultilevel"/>
    <w:tmpl w:val="0B46B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BA24ADA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4C316F5"/>
    <w:multiLevelType w:val="hybridMultilevel"/>
    <w:tmpl w:val="A022C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BD71600"/>
    <w:multiLevelType w:val="hybridMultilevel"/>
    <w:tmpl w:val="195C5B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DA41500"/>
    <w:multiLevelType w:val="hybridMultilevel"/>
    <w:tmpl w:val="BB182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E87331F"/>
    <w:multiLevelType w:val="hybridMultilevel"/>
    <w:tmpl w:val="4BF460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7F30060"/>
    <w:multiLevelType w:val="hybridMultilevel"/>
    <w:tmpl w:val="4D7FFEF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684B5480"/>
    <w:multiLevelType w:val="hybridMultilevel"/>
    <w:tmpl w:val="E2E06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95F3139"/>
    <w:multiLevelType w:val="hybridMultilevel"/>
    <w:tmpl w:val="B2503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AC9C5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C0E1EF5"/>
    <w:multiLevelType w:val="hybridMultilevel"/>
    <w:tmpl w:val="CA440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32CF0E"/>
    <w:multiLevelType w:val="hybridMultilevel"/>
    <w:tmpl w:val="047DC3B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7D3A7273"/>
    <w:multiLevelType w:val="hybridMultilevel"/>
    <w:tmpl w:val="C8FAA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2"/>
  </w:num>
  <w:num w:numId="5">
    <w:abstractNumId w:val="14"/>
  </w:num>
  <w:num w:numId="6">
    <w:abstractNumId w:val="0"/>
  </w:num>
  <w:num w:numId="7">
    <w:abstractNumId w:val="4"/>
  </w:num>
  <w:num w:numId="8">
    <w:abstractNumId w:val="9"/>
  </w:num>
  <w:num w:numId="9">
    <w:abstractNumId w:val="10"/>
  </w:num>
  <w:num w:numId="10">
    <w:abstractNumId w:val="5"/>
  </w:num>
  <w:num w:numId="11">
    <w:abstractNumId w:val="8"/>
  </w:num>
  <w:num w:numId="12">
    <w:abstractNumId w:val="1"/>
  </w:num>
  <w:num w:numId="13">
    <w:abstractNumId w:val="6"/>
  </w:num>
  <w:num w:numId="14">
    <w:abstractNumId w:val="13"/>
  </w:num>
  <w:num w:numId="15">
    <w:abstractNumId w:val="16"/>
  </w:num>
  <w:num w:numId="16">
    <w:abstractNumId w:val="12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52567A"/>
    <w:rsid w:val="00003968"/>
    <w:rsid w:val="000112A6"/>
    <w:rsid w:val="00067752"/>
    <w:rsid w:val="00095B77"/>
    <w:rsid w:val="000A3951"/>
    <w:rsid w:val="00135141"/>
    <w:rsid w:val="001407CE"/>
    <w:rsid w:val="00140C93"/>
    <w:rsid w:val="0016773B"/>
    <w:rsid w:val="001C5129"/>
    <w:rsid w:val="001E514A"/>
    <w:rsid w:val="00200024"/>
    <w:rsid w:val="002021B1"/>
    <w:rsid w:val="002176BC"/>
    <w:rsid w:val="002272D8"/>
    <w:rsid w:val="002360D2"/>
    <w:rsid w:val="002955BD"/>
    <w:rsid w:val="00307302"/>
    <w:rsid w:val="00346A86"/>
    <w:rsid w:val="003B1A7D"/>
    <w:rsid w:val="003F2E52"/>
    <w:rsid w:val="003F6954"/>
    <w:rsid w:val="004311D1"/>
    <w:rsid w:val="00443E14"/>
    <w:rsid w:val="004C01CF"/>
    <w:rsid w:val="004C4B44"/>
    <w:rsid w:val="004C621A"/>
    <w:rsid w:val="005036F7"/>
    <w:rsid w:val="0051170C"/>
    <w:rsid w:val="0052567A"/>
    <w:rsid w:val="00530EAA"/>
    <w:rsid w:val="00533F78"/>
    <w:rsid w:val="005404E8"/>
    <w:rsid w:val="0056064C"/>
    <w:rsid w:val="00561CD7"/>
    <w:rsid w:val="00576F39"/>
    <w:rsid w:val="005C1835"/>
    <w:rsid w:val="006116D2"/>
    <w:rsid w:val="00616E1D"/>
    <w:rsid w:val="006301AA"/>
    <w:rsid w:val="006318E9"/>
    <w:rsid w:val="006370BE"/>
    <w:rsid w:val="00647828"/>
    <w:rsid w:val="00664F24"/>
    <w:rsid w:val="006809B6"/>
    <w:rsid w:val="006B5735"/>
    <w:rsid w:val="006C2EF5"/>
    <w:rsid w:val="006C31CC"/>
    <w:rsid w:val="007073A1"/>
    <w:rsid w:val="00727260"/>
    <w:rsid w:val="0074070A"/>
    <w:rsid w:val="007B0F5C"/>
    <w:rsid w:val="00815421"/>
    <w:rsid w:val="00816247"/>
    <w:rsid w:val="008238A4"/>
    <w:rsid w:val="00855101"/>
    <w:rsid w:val="008B136A"/>
    <w:rsid w:val="008C312E"/>
    <w:rsid w:val="00905333"/>
    <w:rsid w:val="009073F6"/>
    <w:rsid w:val="0092063B"/>
    <w:rsid w:val="009211E3"/>
    <w:rsid w:val="009A36FA"/>
    <w:rsid w:val="009D2D99"/>
    <w:rsid w:val="00A52B96"/>
    <w:rsid w:val="00A825B0"/>
    <w:rsid w:val="00AA28DC"/>
    <w:rsid w:val="00AF5675"/>
    <w:rsid w:val="00AF625A"/>
    <w:rsid w:val="00B14C86"/>
    <w:rsid w:val="00B312F5"/>
    <w:rsid w:val="00B43930"/>
    <w:rsid w:val="00BA435F"/>
    <w:rsid w:val="00BE23F7"/>
    <w:rsid w:val="00BE57FF"/>
    <w:rsid w:val="00C105E0"/>
    <w:rsid w:val="00C21EB9"/>
    <w:rsid w:val="00C23730"/>
    <w:rsid w:val="00C94EBC"/>
    <w:rsid w:val="00CA4017"/>
    <w:rsid w:val="00CD2DE9"/>
    <w:rsid w:val="00CF1F27"/>
    <w:rsid w:val="00D01A72"/>
    <w:rsid w:val="00D143EE"/>
    <w:rsid w:val="00D23801"/>
    <w:rsid w:val="00D31991"/>
    <w:rsid w:val="00D32587"/>
    <w:rsid w:val="00D465EF"/>
    <w:rsid w:val="00D46B3F"/>
    <w:rsid w:val="00D6425D"/>
    <w:rsid w:val="00D74194"/>
    <w:rsid w:val="00D75AD3"/>
    <w:rsid w:val="00DB4759"/>
    <w:rsid w:val="00DB5E57"/>
    <w:rsid w:val="00DE1B9A"/>
    <w:rsid w:val="00E22AFC"/>
    <w:rsid w:val="00EB1D29"/>
    <w:rsid w:val="00EE175E"/>
    <w:rsid w:val="00EE660C"/>
    <w:rsid w:val="00EF4FD0"/>
    <w:rsid w:val="00EF741A"/>
    <w:rsid w:val="00F11C91"/>
    <w:rsid w:val="00F2608D"/>
    <w:rsid w:val="00F617CB"/>
    <w:rsid w:val="00F625C1"/>
    <w:rsid w:val="00F938B8"/>
    <w:rsid w:val="00F94416"/>
    <w:rsid w:val="00FB2D59"/>
    <w:rsid w:val="00FD1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F78"/>
    <w:pPr>
      <w:spacing w:after="6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01A7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6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7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C2EF5"/>
    <w:pPr>
      <w:contextualSpacing/>
    </w:pPr>
  </w:style>
  <w:style w:type="paragraph" w:customStyle="1" w:styleId="Default">
    <w:name w:val="Default"/>
    <w:rsid w:val="0052567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256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370BE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27260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2726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4782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21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4070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FreeFormA">
    <w:name w:val="Free Form A"/>
    <w:basedOn w:val="Default"/>
    <w:next w:val="Default"/>
    <w:uiPriority w:val="99"/>
    <w:rsid w:val="00F11C91"/>
    <w:rPr>
      <w:color w:val="auto"/>
    </w:rPr>
  </w:style>
  <w:style w:type="paragraph" w:styleId="Title">
    <w:name w:val="Title"/>
    <w:basedOn w:val="Normal"/>
    <w:next w:val="Normal"/>
    <w:link w:val="TitleChar"/>
    <w:uiPriority w:val="10"/>
    <w:qFormat/>
    <w:rsid w:val="00BA43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43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3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43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94EB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7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rojects.openhealthtools.org/sf/projects/fhim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15820-7E0B-40C7-9D92-015F8EDCC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CDC</Company>
  <LinksUpToDate>false</LinksUpToDate>
  <CharactersWithSpaces>5844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cdv2</dc:creator>
  <cp:keywords/>
  <dc:description/>
  <cp:lastModifiedBy>cdv2</cp:lastModifiedBy>
  <cp:revision>6</cp:revision>
  <dcterms:created xsi:type="dcterms:W3CDTF">2010-12-03T19:54:00Z</dcterms:created>
  <dcterms:modified xsi:type="dcterms:W3CDTF">2010-12-07T21:46:00Z</dcterms:modified>
</cp:coreProperties>
</file>