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Lab-Orders and Observation Domain</w:t>
      </w:r>
    </w:p>
    <w:p w:rsidR="00BA435F" w:rsidRPr="00BA435F" w:rsidRDefault="006F0E5B" w:rsidP="00BA435F">
      <w:pPr>
        <w:pStyle w:val="Subtitle"/>
      </w:pPr>
      <w:r>
        <w:t xml:space="preserve">December </w:t>
      </w:r>
      <w:r w:rsidR="00C67295">
        <w:t>13</w:t>
      </w:r>
      <w:r w:rsidR="00BA435F">
        <w:t>, 2010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C4B44" w:rsidRPr="004C4B44" w:rsidRDefault="004C4B44" w:rsidP="004C4B44">
      <w:pPr>
        <w:spacing w:after="0"/>
      </w:pPr>
      <w:r w:rsidRPr="004C4B44">
        <w:lastRenderedPageBreak/>
        <w:t>Neelima Chennamaraja, VA</w:t>
      </w:r>
    </w:p>
    <w:p w:rsidR="0056064C" w:rsidRDefault="00067752" w:rsidP="00664F24">
      <w:pPr>
        <w:spacing w:after="0"/>
      </w:pPr>
      <w:r>
        <w:t>Mike Fitch</w:t>
      </w:r>
      <w:r w:rsidR="004C4B44">
        <w:t xml:space="preserve">, </w:t>
      </w:r>
      <w:proofErr w:type="spellStart"/>
      <w:proofErr w:type="gramStart"/>
      <w:r w:rsidR="004C4B44">
        <w:t>Do</w:t>
      </w:r>
      <w:r w:rsidR="004311D1">
        <w:t>D</w:t>
      </w:r>
      <w:proofErr w:type="spellEnd"/>
      <w:proofErr w:type="gramEnd"/>
    </w:p>
    <w:p w:rsidR="004C4B44" w:rsidRDefault="004C4B44" w:rsidP="004C4B44">
      <w:pPr>
        <w:spacing w:after="0"/>
      </w:pPr>
      <w:r>
        <w:t xml:space="preserve">Steve Hufnagel, </w:t>
      </w:r>
      <w:proofErr w:type="spellStart"/>
      <w:proofErr w:type="gramStart"/>
      <w:r>
        <w:t>DoD</w:t>
      </w:r>
      <w:proofErr w:type="spellEnd"/>
      <w:proofErr w:type="gramEnd"/>
    </w:p>
    <w:p w:rsidR="00C67295" w:rsidRDefault="00C67295" w:rsidP="004C4B44">
      <w:pPr>
        <w:spacing w:after="0"/>
      </w:pPr>
      <w:r>
        <w:t>Ira Lubin, CDC</w:t>
      </w:r>
    </w:p>
    <w:p w:rsidR="004C4B44" w:rsidRDefault="004C4B44" w:rsidP="004C4B44">
      <w:pPr>
        <w:spacing w:after="0"/>
      </w:pPr>
      <w:r>
        <w:t>Kosta Makrodimitris, FDA</w:t>
      </w:r>
    </w:p>
    <w:p w:rsidR="00664F24" w:rsidRDefault="00664F24" w:rsidP="00664F24">
      <w:pPr>
        <w:spacing w:after="0"/>
      </w:pPr>
      <w:r>
        <w:lastRenderedPageBreak/>
        <w:t>Galen Mulrooney, VA</w:t>
      </w:r>
    </w:p>
    <w:p w:rsidR="006F0E5B" w:rsidRDefault="006F0E5B" w:rsidP="004C4B44">
      <w:pPr>
        <w:spacing w:after="0"/>
      </w:pPr>
      <w:r>
        <w:t>Anne Pollock, CDC</w:t>
      </w:r>
    </w:p>
    <w:p w:rsidR="004C4B44" w:rsidRDefault="004C4B44" w:rsidP="004C4B44">
      <w:pPr>
        <w:spacing w:after="0"/>
      </w:pPr>
      <w:r>
        <w:t>Cindy Vinion, CDC</w:t>
      </w:r>
    </w:p>
    <w:p w:rsidR="00664F24" w:rsidRDefault="00664F24" w:rsidP="00664F24">
      <w:pPr>
        <w:spacing w:after="0"/>
      </w:pPr>
      <w:r>
        <w:t>Steve Wagner, FHA</w:t>
      </w:r>
    </w:p>
    <w:p w:rsidR="00664F24" w:rsidRDefault="00664F24" w:rsidP="00664F24"/>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Neelima Chennamaraja, Kosta Makrodimitris</w:t>
      </w:r>
      <w:r w:rsidR="00BE23F7">
        <w:t>, Galen Mulrooney, Cindy Vinion</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52567A" w:rsidRDefault="0052567A" w:rsidP="007B0F5C">
      <w:pPr>
        <w:pStyle w:val="Heading1"/>
      </w:pPr>
      <w:r>
        <w:t>Summary of Discussion</w:t>
      </w:r>
    </w:p>
    <w:p w:rsidR="008D4FAC" w:rsidRDefault="00C67295" w:rsidP="00AA28DC">
      <w:pPr>
        <w:pStyle w:val="Heading2"/>
      </w:pPr>
      <w:r>
        <w:t>PCAST Report Discussion</w:t>
      </w:r>
    </w:p>
    <w:p w:rsidR="00C67295" w:rsidRPr="00C67295" w:rsidRDefault="00C67295" w:rsidP="00C67295">
      <w:r>
        <w:t xml:space="preserve">Document: </w:t>
      </w:r>
      <w:r w:rsidRPr="00C67295">
        <w:rPr>
          <w:i/>
        </w:rPr>
        <w:t>Report to the President Realizing the Full Potential of Health Information Technology to Improve Healthcare for Americans: The Path Forward</w:t>
      </w:r>
    </w:p>
    <w:p w:rsidR="008D4FAC" w:rsidRDefault="00C67295" w:rsidP="008D4FAC">
      <w:pPr>
        <w:pStyle w:val="ListParagraph"/>
        <w:numPr>
          <w:ilvl w:val="0"/>
          <w:numId w:val="16"/>
        </w:numPr>
      </w:pPr>
      <w:r>
        <w:t xml:space="preserve">Each domain is reviewing the PCAST report </w:t>
      </w:r>
      <w:r w:rsidR="005F7B22">
        <w:t xml:space="preserve">for impacts to their domain.  The larger </w:t>
      </w:r>
      <w:r>
        <w:t xml:space="preserve">FHIMS </w:t>
      </w:r>
      <w:r w:rsidR="005F7B22">
        <w:t xml:space="preserve">group </w:t>
      </w:r>
      <w:r>
        <w:t xml:space="preserve">will be </w:t>
      </w:r>
      <w:r w:rsidR="005F7B22">
        <w:t>discussing the report on Friday, December 17.</w:t>
      </w:r>
    </w:p>
    <w:p w:rsidR="005F7B22" w:rsidRDefault="005F7B22" w:rsidP="008D4FAC">
      <w:pPr>
        <w:pStyle w:val="ListParagraph"/>
        <w:numPr>
          <w:ilvl w:val="0"/>
          <w:numId w:val="16"/>
        </w:numPr>
      </w:pPr>
      <w:r>
        <w:t>Some concerns discussed in the Lab-OO domain include:</w:t>
      </w:r>
    </w:p>
    <w:p w:rsidR="005F7B22" w:rsidRDefault="005F7B22" w:rsidP="005F7B22">
      <w:pPr>
        <w:pStyle w:val="ListParagraph"/>
        <w:numPr>
          <w:ilvl w:val="1"/>
          <w:numId w:val="16"/>
        </w:numPr>
      </w:pPr>
      <w:r>
        <w:t>The use of Data Use and Reciprocal Support Agreements (DURSAs) within Nationwide Health Information Network (NHIN) to legally control who can and cannot share information.  The PCAST report mentions that these are currently point-to-point and are, therefore, a bottleneck on the network.</w:t>
      </w:r>
    </w:p>
    <w:p w:rsidR="005F7B22" w:rsidRDefault="005F7B22" w:rsidP="005F7B22">
      <w:pPr>
        <w:pStyle w:val="ListParagraph"/>
        <w:numPr>
          <w:ilvl w:val="1"/>
          <w:numId w:val="16"/>
        </w:numPr>
      </w:pPr>
      <w:r>
        <w:t>Encryption of the data, both in transit and at rest is called for in the PCAST report.  There was concern on how to predict what can and/or should be encrypted, especially at rest.</w:t>
      </w:r>
    </w:p>
    <w:p w:rsidR="005F7B22" w:rsidRDefault="005F7B22" w:rsidP="005F7B22">
      <w:pPr>
        <w:pStyle w:val="ListParagraph"/>
        <w:numPr>
          <w:ilvl w:val="1"/>
          <w:numId w:val="16"/>
        </w:numPr>
      </w:pPr>
      <w:r>
        <w:t>Patient preferences and their impact to security of the data field</w:t>
      </w:r>
      <w:r w:rsidR="00CC3E2F">
        <w:t>s</w:t>
      </w:r>
      <w:r>
        <w:t>/attribute</w:t>
      </w:r>
      <w:r w:rsidR="00CC3E2F">
        <w:t>s</w:t>
      </w:r>
      <w:r>
        <w:t xml:space="preserve"> w</w:t>
      </w:r>
      <w:r w:rsidR="00CC3E2F">
        <w:t>ere</w:t>
      </w:r>
      <w:r>
        <w:t xml:space="preserve"> also mentioned as a concern.  At what point does patient preference apply or not apply to data exchanges?</w:t>
      </w:r>
    </w:p>
    <w:p w:rsidR="00F0313C" w:rsidRDefault="00CC3E2F" w:rsidP="00CC3E2F">
      <w:pPr>
        <w:pStyle w:val="ListParagraph"/>
        <w:numPr>
          <w:ilvl w:val="1"/>
          <w:numId w:val="16"/>
        </w:numPr>
      </w:pPr>
      <w:r>
        <w:t>Does the PCAST report change the FHIMS project?  If so, how?</w:t>
      </w:r>
    </w:p>
    <w:p w:rsidR="006F0E5B" w:rsidRDefault="00CC3E2F" w:rsidP="006F0E5B">
      <w:pPr>
        <w:pStyle w:val="Heading2"/>
      </w:pPr>
      <w:r>
        <w:t>Planning Discussion</w:t>
      </w:r>
    </w:p>
    <w:p w:rsidR="000E7DD8" w:rsidRDefault="00303CFD" w:rsidP="00D542DF">
      <w:pPr>
        <w:pStyle w:val="ListParagraph"/>
        <w:numPr>
          <w:ilvl w:val="0"/>
          <w:numId w:val="17"/>
        </w:numPr>
      </w:pPr>
      <w:r>
        <w:t>Kosta has started a report to contain information both about what FHIMS Lab-OO has done as well as what the plans are for next year.  Each person can contribute to this document.</w:t>
      </w:r>
    </w:p>
    <w:p w:rsidR="0056064C" w:rsidRDefault="0056064C" w:rsidP="0056064C">
      <w:pPr>
        <w:pStyle w:val="Heading1"/>
      </w:pPr>
      <w:r>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23801" w:rsidP="00BE57FF">
            <w:pPr>
              <w:spacing w:after="0"/>
            </w:pPr>
            <w:r>
              <w:t>Priority</w:t>
            </w: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4B2CBF" w:rsidRPr="009211E3" w:rsidTr="007B0F5C">
        <w:trPr>
          <w:cantSplit/>
        </w:trPr>
        <w:tc>
          <w:tcPr>
            <w:tcW w:w="1230" w:type="dxa"/>
          </w:tcPr>
          <w:p w:rsidR="004B2CBF" w:rsidRPr="00CC3E2F" w:rsidRDefault="004B2CBF" w:rsidP="00D23801">
            <w:pPr>
              <w:spacing w:after="0"/>
              <w:rPr>
                <w:color w:val="00B050"/>
              </w:rPr>
            </w:pPr>
            <w:r w:rsidRPr="00CC3E2F">
              <w:rPr>
                <w:color w:val="00B050"/>
              </w:rPr>
              <w:t>12/6/10</w:t>
            </w:r>
          </w:p>
        </w:tc>
        <w:tc>
          <w:tcPr>
            <w:tcW w:w="948" w:type="dxa"/>
          </w:tcPr>
          <w:p w:rsidR="004B2CBF" w:rsidRPr="00CC3E2F" w:rsidRDefault="004B2CBF" w:rsidP="00D23801">
            <w:pPr>
              <w:spacing w:after="0"/>
              <w:rPr>
                <w:color w:val="00B050"/>
              </w:rPr>
            </w:pPr>
          </w:p>
        </w:tc>
        <w:tc>
          <w:tcPr>
            <w:tcW w:w="7158" w:type="dxa"/>
          </w:tcPr>
          <w:p w:rsidR="004B2CBF" w:rsidRPr="00CC3E2F" w:rsidRDefault="00323E3E" w:rsidP="000E7DD8">
            <w:pPr>
              <w:pStyle w:val="Default"/>
              <w:rPr>
                <w:rFonts w:asciiTheme="minorHAnsi" w:hAnsiTheme="minorHAnsi" w:cstheme="minorBidi"/>
                <w:color w:val="00B050"/>
                <w:sz w:val="22"/>
                <w:szCs w:val="22"/>
              </w:rPr>
            </w:pPr>
            <w:r w:rsidRPr="00CC3E2F">
              <w:rPr>
                <w:rFonts w:asciiTheme="minorHAnsi" w:hAnsiTheme="minorHAnsi" w:cstheme="minorBidi"/>
                <w:color w:val="00B050"/>
                <w:sz w:val="22"/>
                <w:szCs w:val="22"/>
              </w:rPr>
              <w:t xml:space="preserve">Cindy: </w:t>
            </w:r>
            <w:r w:rsidR="000E7DD8" w:rsidRPr="00CC3E2F">
              <w:rPr>
                <w:rFonts w:asciiTheme="minorHAnsi" w:hAnsiTheme="minorHAnsi" w:cstheme="minorBidi"/>
                <w:color w:val="00B050"/>
                <w:sz w:val="22"/>
                <w:szCs w:val="22"/>
              </w:rPr>
              <w:t>Send either DICOM Supplement 122 link or document.</w:t>
            </w:r>
          </w:p>
        </w:tc>
        <w:tc>
          <w:tcPr>
            <w:tcW w:w="1249" w:type="dxa"/>
          </w:tcPr>
          <w:p w:rsidR="004B2CBF" w:rsidRPr="00CC3E2F" w:rsidRDefault="00CC3E2F" w:rsidP="00D23801">
            <w:pPr>
              <w:spacing w:after="0"/>
              <w:rPr>
                <w:color w:val="00B050"/>
              </w:rPr>
            </w:pPr>
            <w:r w:rsidRPr="00CC3E2F">
              <w:rPr>
                <w:color w:val="00B050"/>
              </w:rPr>
              <w:t>Completed</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Mike-Wendy-Kosta-Galen</w:t>
            </w:r>
            <w:r w:rsidR="00903F46">
              <w:rPr>
                <w:rFonts w:asciiTheme="minorHAnsi" w:hAnsiTheme="minorHAnsi" w:cstheme="minorBidi"/>
                <w:color w:val="0070C0"/>
                <w:sz w:val="22"/>
                <w:szCs w:val="22"/>
              </w:rPr>
              <w:t>-Cindy</w:t>
            </w:r>
            <w:r w:rsidRPr="00D23801">
              <w:rPr>
                <w:rFonts w:asciiTheme="minorHAnsi" w:hAnsiTheme="minorHAnsi" w:cstheme="minorBidi"/>
                <w:color w:val="0070C0"/>
                <w:sz w:val="22"/>
                <w:szCs w:val="22"/>
              </w:rPr>
              <w:t xml:space="preserve">: Define-clarify Specimen-Sample filler and placer order number, test identifier, placer group number and </w:t>
            </w:r>
            <w:proofErr w:type="spellStart"/>
            <w:r w:rsidRPr="00D23801">
              <w:rPr>
                <w:rFonts w:asciiTheme="minorHAnsi" w:hAnsiTheme="minorHAnsi" w:cstheme="minorBidi"/>
                <w:color w:val="0070C0"/>
                <w:sz w:val="22"/>
                <w:szCs w:val="22"/>
              </w:rPr>
              <w:t>universalServiceIdentifier</w:t>
            </w:r>
            <w:proofErr w:type="spellEnd"/>
            <w:r w:rsidRPr="00D23801">
              <w:rPr>
                <w:rFonts w:asciiTheme="minorHAnsi" w:hAnsiTheme="minorHAnsi" w:cstheme="minorBidi"/>
                <w:color w:val="0070C0"/>
                <w:sz w:val="22"/>
                <w:szCs w:val="22"/>
              </w:rPr>
              <w:t>. Pathology Laboratory uses specs from DICOM (Supplement 122) to describe the various units (specimen, accession number, etc) in their workflow.</w:t>
            </w:r>
          </w:p>
        </w:tc>
        <w:tc>
          <w:tcPr>
            <w:tcW w:w="1249" w:type="dxa"/>
          </w:tcPr>
          <w:p w:rsidR="00D23801" w:rsidRPr="00D23801" w:rsidRDefault="00D23801" w:rsidP="00D23801">
            <w:pPr>
              <w:spacing w:after="0"/>
              <w:rPr>
                <w:color w:val="0070C0"/>
              </w:rPr>
            </w:pPr>
            <w:r w:rsidRPr="00D23801">
              <w:rPr>
                <w:color w:val="0070C0"/>
              </w:rPr>
              <w:t>In process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lastRenderedPageBreak/>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Kosta-Steve : Services Aware Interoperability Framework and Lab-OO FHIMS relevance </w:t>
            </w:r>
          </w:p>
        </w:tc>
        <w:tc>
          <w:tcPr>
            <w:tcW w:w="1249" w:type="dxa"/>
          </w:tcPr>
          <w:p w:rsidR="00D23801" w:rsidRPr="00D23801" w:rsidRDefault="00D23801" w:rsidP="00D23801">
            <w:pPr>
              <w:spacing w:after="0"/>
              <w:rPr>
                <w:color w:val="0070C0"/>
              </w:rPr>
            </w:pPr>
            <w:r w:rsidRPr="00D23801">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11/15/10</w:t>
            </w:r>
          </w:p>
        </w:tc>
        <w:tc>
          <w:tcPr>
            <w:tcW w:w="948" w:type="dxa"/>
          </w:tcPr>
          <w:p w:rsidR="00D143EE" w:rsidRPr="005C22B4" w:rsidRDefault="00D143EE" w:rsidP="00BE57FF">
            <w:pPr>
              <w:spacing w:after="0"/>
              <w:rPr>
                <w:color w:val="0070C0"/>
              </w:rPr>
            </w:pPr>
            <w:r w:rsidRPr="005C22B4">
              <w:rPr>
                <w:color w:val="0070C0"/>
              </w:rPr>
              <w:t>High</w:t>
            </w:r>
          </w:p>
        </w:tc>
        <w:tc>
          <w:tcPr>
            <w:tcW w:w="7158" w:type="dxa"/>
          </w:tcPr>
          <w:p w:rsidR="00D143EE" w:rsidRPr="005C22B4" w:rsidRDefault="00D143EE" w:rsidP="00D32587">
            <w:pPr>
              <w:spacing w:after="0"/>
              <w:rPr>
                <w:color w:val="0070C0"/>
              </w:rPr>
            </w:pPr>
            <w:r w:rsidRPr="005C22B4">
              <w:rPr>
                <w:color w:val="0070C0"/>
              </w:rPr>
              <w:t>Mike, Cindy, Galen: Finalize definitions</w:t>
            </w:r>
            <w:r w:rsidR="00D32587" w:rsidRPr="005C22B4">
              <w:rPr>
                <w:color w:val="0070C0"/>
              </w:rPr>
              <w:t xml:space="preserve"> for and use of</w:t>
            </w:r>
            <w:r w:rsidRPr="005C22B4">
              <w:rPr>
                <w:color w:val="0070C0"/>
              </w:rPr>
              <w:t xml:space="preserve"> different identifiers &amp; numbers in lab </w:t>
            </w:r>
            <w:r w:rsidR="00D32587" w:rsidRPr="005C22B4">
              <w:rPr>
                <w:color w:val="0070C0"/>
              </w:rPr>
              <w:t xml:space="preserve">domain </w:t>
            </w:r>
            <w:r w:rsidRPr="005C22B4">
              <w:rPr>
                <w:color w:val="0070C0"/>
              </w:rPr>
              <w:t>- filler order number, placer order number, group number, test identifier, etc.</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5C22B4" w:rsidRDefault="00D143EE" w:rsidP="00BE57FF">
            <w:pPr>
              <w:spacing w:after="0"/>
              <w:rPr>
                <w:color w:val="0070C0"/>
              </w:rPr>
            </w:pPr>
            <w:r w:rsidRPr="005C22B4">
              <w:rPr>
                <w:color w:val="0070C0"/>
              </w:rPr>
              <w:t>11/1/10</w:t>
            </w:r>
          </w:p>
        </w:tc>
        <w:tc>
          <w:tcPr>
            <w:tcW w:w="948" w:type="dxa"/>
          </w:tcPr>
          <w:p w:rsidR="00D143EE" w:rsidRPr="005C22B4" w:rsidRDefault="00D143EE" w:rsidP="00BE57FF">
            <w:pPr>
              <w:spacing w:after="0"/>
              <w:rPr>
                <w:color w:val="0070C0"/>
              </w:rPr>
            </w:pPr>
          </w:p>
        </w:tc>
        <w:tc>
          <w:tcPr>
            <w:tcW w:w="7158" w:type="dxa"/>
          </w:tcPr>
          <w:p w:rsidR="00D143EE" w:rsidRPr="005C22B4" w:rsidRDefault="00D143EE" w:rsidP="00BE57FF">
            <w:pPr>
              <w:spacing w:after="0"/>
              <w:rPr>
                <w:color w:val="0070C0"/>
              </w:rPr>
            </w:pPr>
            <w:r w:rsidRPr="005C22B4">
              <w:rPr>
                <w:color w:val="0070C0"/>
              </w:rPr>
              <w:t>Cindy to identify and contact FBI person from LRN National Meeting for participation in the FHIMS Lab calls when we start doing Chain of Custody, slated for phase 2.</w:t>
            </w:r>
          </w:p>
        </w:tc>
        <w:tc>
          <w:tcPr>
            <w:tcW w:w="1249" w:type="dxa"/>
          </w:tcPr>
          <w:p w:rsidR="00D143EE" w:rsidRPr="005C22B4" w:rsidRDefault="005C22B4" w:rsidP="00BE57FF">
            <w:pPr>
              <w:spacing w:after="0"/>
              <w:rPr>
                <w:color w:val="0070C0"/>
              </w:rPr>
            </w:pPr>
            <w:r w:rsidRPr="005C22B4">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p w:rsidR="00D23801" w:rsidRDefault="00D23801" w:rsidP="00D23801">
      <w:pPr>
        <w:pStyle w:val="Heading1"/>
      </w:pPr>
      <w:r>
        <w:t>Completed/Not Tracked Action Items</w:t>
      </w:r>
    </w:p>
    <w:tbl>
      <w:tblPr>
        <w:tblStyle w:val="TableGrid"/>
        <w:tblW w:w="10585" w:type="dxa"/>
        <w:tblLook w:val="04A0"/>
      </w:tblPr>
      <w:tblGrid>
        <w:gridCol w:w="1230"/>
        <w:gridCol w:w="948"/>
        <w:gridCol w:w="7158"/>
        <w:gridCol w:w="1249"/>
      </w:tblGrid>
      <w:tr w:rsidR="00D23801" w:rsidRPr="009211E3" w:rsidTr="00346A86">
        <w:trPr>
          <w:cantSplit/>
          <w:tblHeader/>
        </w:trPr>
        <w:tc>
          <w:tcPr>
            <w:tcW w:w="1230" w:type="dxa"/>
            <w:shd w:val="clear" w:color="auto" w:fill="B8CCE4" w:themeFill="accent1" w:themeFillTint="66"/>
          </w:tcPr>
          <w:p w:rsidR="00D23801" w:rsidRPr="009211E3" w:rsidRDefault="00D23801" w:rsidP="00346A86">
            <w:pPr>
              <w:spacing w:after="0"/>
            </w:pPr>
            <w:r w:rsidRPr="009211E3">
              <w:t>Start Date</w:t>
            </w:r>
          </w:p>
        </w:tc>
        <w:tc>
          <w:tcPr>
            <w:tcW w:w="948" w:type="dxa"/>
            <w:shd w:val="clear" w:color="auto" w:fill="B8CCE4" w:themeFill="accent1" w:themeFillTint="66"/>
          </w:tcPr>
          <w:p w:rsidR="00D23801" w:rsidRPr="009211E3" w:rsidRDefault="00D23801" w:rsidP="00346A86">
            <w:pPr>
              <w:spacing w:after="0"/>
            </w:pPr>
            <w:r>
              <w:t>Priority</w:t>
            </w:r>
          </w:p>
        </w:tc>
        <w:tc>
          <w:tcPr>
            <w:tcW w:w="7158" w:type="dxa"/>
            <w:shd w:val="clear" w:color="auto" w:fill="B8CCE4" w:themeFill="accent1" w:themeFillTint="66"/>
          </w:tcPr>
          <w:p w:rsidR="00D23801" w:rsidRPr="009211E3" w:rsidRDefault="00D23801" w:rsidP="00346A86">
            <w:pPr>
              <w:spacing w:after="0"/>
            </w:pPr>
            <w:r w:rsidRPr="009211E3">
              <w:t>Action Item</w:t>
            </w:r>
          </w:p>
        </w:tc>
        <w:tc>
          <w:tcPr>
            <w:tcW w:w="1249" w:type="dxa"/>
            <w:shd w:val="clear" w:color="auto" w:fill="B8CCE4" w:themeFill="accent1" w:themeFillTint="66"/>
          </w:tcPr>
          <w:p w:rsidR="00D23801" w:rsidRPr="009211E3" w:rsidRDefault="00D23801" w:rsidP="00346A86">
            <w:pPr>
              <w:spacing w:after="0"/>
            </w:pPr>
            <w:r w:rsidRPr="009211E3">
              <w:t>Status</w:t>
            </w:r>
          </w:p>
        </w:tc>
      </w:tr>
      <w:tr w:rsidR="00D23801" w:rsidRPr="009211E3" w:rsidTr="00346A86">
        <w:trPr>
          <w:cantSplit/>
        </w:trPr>
        <w:tc>
          <w:tcPr>
            <w:tcW w:w="1230" w:type="dxa"/>
          </w:tcPr>
          <w:p w:rsidR="00D23801" w:rsidRPr="007B0F5C" w:rsidRDefault="00D23801" w:rsidP="00346A86">
            <w:pPr>
              <w:spacing w:after="0"/>
              <w:rPr>
                <w:color w:val="A6A6A6" w:themeColor="background1" w:themeShade="A6"/>
              </w:rPr>
            </w:pPr>
            <w:r w:rsidRPr="007B0F5C">
              <w:rPr>
                <w:color w:val="A6A6A6" w:themeColor="background1" w:themeShade="A6"/>
              </w:rPr>
              <w:t>11/8/10</w:t>
            </w:r>
          </w:p>
        </w:tc>
        <w:tc>
          <w:tcPr>
            <w:tcW w:w="948" w:type="dxa"/>
          </w:tcPr>
          <w:p w:rsidR="00D23801" w:rsidRPr="007B0F5C" w:rsidRDefault="00D23801" w:rsidP="00346A86">
            <w:pPr>
              <w:spacing w:after="0"/>
              <w:rPr>
                <w:color w:val="A6A6A6" w:themeColor="background1" w:themeShade="A6"/>
              </w:rPr>
            </w:pPr>
          </w:p>
        </w:tc>
        <w:tc>
          <w:tcPr>
            <w:tcW w:w="7158" w:type="dxa"/>
          </w:tcPr>
          <w:p w:rsidR="00D23801" w:rsidRPr="007B0F5C" w:rsidRDefault="00D23801" w:rsidP="00346A86">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23801" w:rsidRPr="007B0F5C" w:rsidRDefault="00D23801" w:rsidP="00346A86">
            <w:pPr>
              <w:spacing w:after="0"/>
              <w:rPr>
                <w:color w:val="A6A6A6" w:themeColor="background1" w:themeShade="A6"/>
              </w:rPr>
            </w:pPr>
            <w:r w:rsidRPr="007B0F5C">
              <w:rPr>
                <w:color w:val="A6A6A6" w:themeColor="background1" w:themeShade="A6"/>
              </w:rPr>
              <w:t>Not tracked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share meeting information for the next meeting when it is sent by the co-chairs.</w:t>
            </w:r>
          </w:p>
        </w:tc>
        <w:tc>
          <w:tcPr>
            <w:tcW w:w="1249" w:type="dxa"/>
          </w:tcPr>
          <w:p w:rsidR="00D23801" w:rsidRPr="007B0F5C" w:rsidRDefault="00D23801" w:rsidP="00346A86">
            <w:pPr>
              <w:spacing w:after="0"/>
              <w:rPr>
                <w:color w:val="00B050"/>
              </w:rPr>
            </w:pPr>
            <w:r w:rsidRPr="007B0F5C">
              <w:rPr>
                <w:color w:val="00B050"/>
              </w:rPr>
              <w:t>Completed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send flow chart PDF to Anne Pollack</w:t>
            </w:r>
          </w:p>
        </w:tc>
        <w:tc>
          <w:tcPr>
            <w:tcW w:w="1249" w:type="dxa"/>
          </w:tcPr>
          <w:p w:rsidR="00D23801" w:rsidRPr="007B0F5C" w:rsidRDefault="00D23801" w:rsidP="00346A86">
            <w:pPr>
              <w:spacing w:after="0"/>
              <w:rPr>
                <w:color w:val="00B050"/>
              </w:rPr>
            </w:pPr>
            <w:r w:rsidRPr="007B0F5C">
              <w:rPr>
                <w:color w:val="00B050"/>
              </w:rPr>
              <w:t>Completed</w:t>
            </w:r>
          </w:p>
        </w:tc>
      </w:tr>
    </w:tbl>
    <w:p w:rsidR="00D23801" w:rsidRDefault="00D23801" w:rsidP="00BE57FF"/>
    <w:p w:rsidR="00346A86" w:rsidRDefault="00346A86" w:rsidP="00346A86">
      <w:pPr>
        <w:pStyle w:val="Heading1"/>
      </w:pPr>
      <w:r>
        <w:t>Agenda Next Call: December</w:t>
      </w:r>
      <w:r w:rsidR="00AD7B70">
        <w:t>27</w:t>
      </w:r>
      <w:r>
        <w:t>, 2010</w:t>
      </w:r>
    </w:p>
    <w:p w:rsidR="00346A86" w:rsidRDefault="00346A86" w:rsidP="00BE57FF"/>
    <w:sectPr w:rsidR="00346A86"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81117"/>
    <w:multiLevelType w:val="hybridMultilevel"/>
    <w:tmpl w:val="D6C6D0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975A2A"/>
    <w:multiLevelType w:val="hybridMultilevel"/>
    <w:tmpl w:val="75EE8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C316F5"/>
    <w:multiLevelType w:val="hybridMultilevel"/>
    <w:tmpl w:val="A022C0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D71600"/>
    <w:multiLevelType w:val="hybridMultilevel"/>
    <w:tmpl w:val="195C5B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84B5480"/>
    <w:multiLevelType w:val="hybridMultilevel"/>
    <w:tmpl w:val="00DC6A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17"/>
  </w:num>
  <w:num w:numId="4">
    <w:abstractNumId w:val="3"/>
  </w:num>
  <w:num w:numId="5">
    <w:abstractNumId w:val="16"/>
  </w:num>
  <w:num w:numId="6">
    <w:abstractNumId w:val="1"/>
  </w:num>
  <w:num w:numId="7">
    <w:abstractNumId w:val="6"/>
  </w:num>
  <w:num w:numId="8">
    <w:abstractNumId w:val="11"/>
  </w:num>
  <w:num w:numId="9">
    <w:abstractNumId w:val="12"/>
  </w:num>
  <w:num w:numId="10">
    <w:abstractNumId w:val="7"/>
  </w:num>
  <w:num w:numId="11">
    <w:abstractNumId w:val="10"/>
  </w:num>
  <w:num w:numId="12">
    <w:abstractNumId w:val="2"/>
  </w:num>
  <w:num w:numId="13">
    <w:abstractNumId w:val="8"/>
  </w:num>
  <w:num w:numId="14">
    <w:abstractNumId w:val="15"/>
  </w:num>
  <w:num w:numId="15">
    <w:abstractNumId w:val="18"/>
  </w:num>
  <w:num w:numId="16">
    <w:abstractNumId w:val="14"/>
  </w:num>
  <w:num w:numId="17">
    <w:abstractNumId w:val="9"/>
  </w:num>
  <w:num w:numId="18">
    <w:abstractNumId w:val="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95B77"/>
    <w:rsid w:val="000A3951"/>
    <w:rsid w:val="000E7DD8"/>
    <w:rsid w:val="00135141"/>
    <w:rsid w:val="001407CE"/>
    <w:rsid w:val="00140C93"/>
    <w:rsid w:val="0016773B"/>
    <w:rsid w:val="001C5129"/>
    <w:rsid w:val="001E514A"/>
    <w:rsid w:val="00200024"/>
    <w:rsid w:val="002021B1"/>
    <w:rsid w:val="002176BC"/>
    <w:rsid w:val="002272D8"/>
    <w:rsid w:val="002360D2"/>
    <w:rsid w:val="002955BD"/>
    <w:rsid w:val="00303CFD"/>
    <w:rsid w:val="00307302"/>
    <w:rsid w:val="00323E3E"/>
    <w:rsid w:val="00342BCF"/>
    <w:rsid w:val="00346A86"/>
    <w:rsid w:val="003B1A7D"/>
    <w:rsid w:val="003F2E52"/>
    <w:rsid w:val="003F6954"/>
    <w:rsid w:val="004311D1"/>
    <w:rsid w:val="00443E14"/>
    <w:rsid w:val="004B2CBF"/>
    <w:rsid w:val="004C01CF"/>
    <w:rsid w:val="004C4B44"/>
    <w:rsid w:val="004C621A"/>
    <w:rsid w:val="005036F7"/>
    <w:rsid w:val="0051170C"/>
    <w:rsid w:val="00523513"/>
    <w:rsid w:val="0052567A"/>
    <w:rsid w:val="00530EAA"/>
    <w:rsid w:val="00533F78"/>
    <w:rsid w:val="005404E8"/>
    <w:rsid w:val="0056064C"/>
    <w:rsid w:val="00561CD7"/>
    <w:rsid w:val="00576F39"/>
    <w:rsid w:val="005C1835"/>
    <w:rsid w:val="005C22B4"/>
    <w:rsid w:val="005F461E"/>
    <w:rsid w:val="005F7B22"/>
    <w:rsid w:val="006051B7"/>
    <w:rsid w:val="006116D2"/>
    <w:rsid w:val="00616E1D"/>
    <w:rsid w:val="006301AA"/>
    <w:rsid w:val="006318E9"/>
    <w:rsid w:val="006370BE"/>
    <w:rsid w:val="00647828"/>
    <w:rsid w:val="006646F7"/>
    <w:rsid w:val="00664F24"/>
    <w:rsid w:val="006809B6"/>
    <w:rsid w:val="006B5735"/>
    <w:rsid w:val="006C2EF5"/>
    <w:rsid w:val="006C31CC"/>
    <w:rsid w:val="006F0E5B"/>
    <w:rsid w:val="007073A1"/>
    <w:rsid w:val="00727260"/>
    <w:rsid w:val="0074070A"/>
    <w:rsid w:val="007B0F5C"/>
    <w:rsid w:val="00815421"/>
    <w:rsid w:val="00816247"/>
    <w:rsid w:val="008238A4"/>
    <w:rsid w:val="008413FD"/>
    <w:rsid w:val="00855101"/>
    <w:rsid w:val="008B136A"/>
    <w:rsid w:val="008C312E"/>
    <w:rsid w:val="008D4FAC"/>
    <w:rsid w:val="00903F46"/>
    <w:rsid w:val="00905333"/>
    <w:rsid w:val="009073F6"/>
    <w:rsid w:val="0092063B"/>
    <w:rsid w:val="009211E3"/>
    <w:rsid w:val="009A36FA"/>
    <w:rsid w:val="009D2D99"/>
    <w:rsid w:val="00A52B96"/>
    <w:rsid w:val="00A825B0"/>
    <w:rsid w:val="00AA28DC"/>
    <w:rsid w:val="00AD7B70"/>
    <w:rsid w:val="00AF5675"/>
    <w:rsid w:val="00AF625A"/>
    <w:rsid w:val="00B14C86"/>
    <w:rsid w:val="00B312F5"/>
    <w:rsid w:val="00B43930"/>
    <w:rsid w:val="00BA435F"/>
    <w:rsid w:val="00BE23F7"/>
    <w:rsid w:val="00BE57FF"/>
    <w:rsid w:val="00C01AEC"/>
    <w:rsid w:val="00C105E0"/>
    <w:rsid w:val="00C21EB9"/>
    <w:rsid w:val="00C23730"/>
    <w:rsid w:val="00C67295"/>
    <w:rsid w:val="00C94EBC"/>
    <w:rsid w:val="00CA4017"/>
    <w:rsid w:val="00CB1D7B"/>
    <w:rsid w:val="00CC3E2F"/>
    <w:rsid w:val="00CD2DE9"/>
    <w:rsid w:val="00CF1F27"/>
    <w:rsid w:val="00D01A72"/>
    <w:rsid w:val="00D143EE"/>
    <w:rsid w:val="00D23801"/>
    <w:rsid w:val="00D31991"/>
    <w:rsid w:val="00D32587"/>
    <w:rsid w:val="00D465EF"/>
    <w:rsid w:val="00D46B3F"/>
    <w:rsid w:val="00D542DF"/>
    <w:rsid w:val="00D6425D"/>
    <w:rsid w:val="00D74194"/>
    <w:rsid w:val="00D75AD3"/>
    <w:rsid w:val="00DB4759"/>
    <w:rsid w:val="00DB5E57"/>
    <w:rsid w:val="00DE1B9A"/>
    <w:rsid w:val="00DF07FD"/>
    <w:rsid w:val="00E22AFC"/>
    <w:rsid w:val="00E6343F"/>
    <w:rsid w:val="00EB1D29"/>
    <w:rsid w:val="00EE175E"/>
    <w:rsid w:val="00EE660C"/>
    <w:rsid w:val="00EF4FD0"/>
    <w:rsid w:val="00EF741A"/>
    <w:rsid w:val="00F0313C"/>
    <w:rsid w:val="00F0660C"/>
    <w:rsid w:val="00F11C91"/>
    <w:rsid w:val="00F2608D"/>
    <w:rsid w:val="00F617CB"/>
    <w:rsid w:val="00F625C1"/>
    <w:rsid w:val="00F938B8"/>
    <w:rsid w:val="00F94416"/>
    <w:rsid w:val="00FB1FE0"/>
    <w:rsid w:val="00FB2D59"/>
    <w:rsid w:val="00FB3734"/>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94EB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2C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7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8ECD5-5CC0-4A96-98CD-D39CAE8E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5</cp:revision>
  <dcterms:created xsi:type="dcterms:W3CDTF">2010-12-20T17:13:00Z</dcterms:created>
  <dcterms:modified xsi:type="dcterms:W3CDTF">2010-12-20T17:50:00Z</dcterms:modified>
</cp:coreProperties>
</file>