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April, 18, 2014  2:30 - 4:30 PM</w:t>
      </w:r>
    </w:p>
    <w:tbl>
      <w:tblPr>
        <w:tblW w:w="963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770"/>
        <w:gridCol w:w="4860"/>
      </w:tblGrid>
      <w:tr>
        <w:tblPrEx>
          <w:shd w:val="clear" w:color="auto" w:fill="ceddeb"/>
        </w:tblPrEx>
        <w:trPr>
          <w:trHeight w:val="330"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Susan Matney- 3M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FHA</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Larry Callahan- DHA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Bill Hess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FDA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Jay Lyle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Utah Dept. of Health</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Steve Wagner- FHA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tabs>
                <w:tab w:val="right" w:pos="3130"/>
              </w:tabs>
            </w:pPr>
            <w:r>
              <w:rPr>
                <w:rFonts w:ascii="Times New Roman" w:hAnsi="Times New Roman"/>
                <w:sz w:val="22"/>
                <w:szCs w:val="22"/>
                <w:rtl w:val="0"/>
                <w:lang w:val="en-US"/>
              </w:rPr>
              <w:t xml:space="preserve">Steve Hufnagel- DOD </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Caitlin Ryan-FHA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Sean Muir  - FHA </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 McCLure </w:t>
            </w:r>
            <w:r>
              <w:rPr>
                <w:rFonts w:ascii="Times New Roman" w:hAnsi="Times New Roman" w:hint="default"/>
                <w:sz w:val="22"/>
                <w:szCs w:val="22"/>
                <w:rtl w:val="0"/>
                <w:lang w:val="en-US"/>
              </w:rPr>
              <w:t xml:space="preserve">– </w:t>
            </w:r>
            <w:r>
              <w:rPr>
                <w:rFonts w:ascii="Times New Roman" w:hAnsi="Times New Roman"/>
                <w:sz w:val="22"/>
                <w:szCs w:val="22"/>
                <w:rtl w:val="0"/>
                <w:lang w:val="en-US"/>
              </w:rPr>
              <w:t xml:space="preserve">FHA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Robert Crawford </w:t>
            </w:r>
            <w:r>
              <w:rPr>
                <w:rFonts w:ascii="Times New Roman" w:hAnsi="Times New Roman" w:hint="default"/>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rFonts w:ascii="Times New Roman" w:hAnsi="Times New Roman" w:hint="default"/>
                <w:sz w:val="22"/>
                <w:szCs w:val="22"/>
                <w:rtl w:val="0"/>
                <w:lang w:val="en-US"/>
              </w:rPr>
              <w:t xml:space="preserve">– </w:t>
            </w:r>
            <w:r>
              <w:rPr>
                <w:rFonts w:ascii="Times New Roman" w:hAnsi="Times New Roman"/>
                <w:sz w:val="22"/>
                <w:szCs w:val="22"/>
                <w:rtl w:val="0"/>
                <w:lang w:val="en-US"/>
              </w:rPr>
              <w:t>FHA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Mead Walker- HL7</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Jackie Mulrooney- FHA</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Benton Bovee- DHA  </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Ioana Singureanu- FHA </w:t>
              <w:tab/>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Lynn Sanders-VHA</w:t>
            </w:r>
          </w:p>
        </w:tc>
      </w:tr>
      <w:tr>
        <w:tblPrEx>
          <w:shd w:val="clear" w:color="auto" w:fill="ceddeb"/>
        </w:tblPrEx>
        <w:trPr>
          <w:trHeight w:val="271" w:hRule="atLeast"/>
        </w:trPr>
        <w:tc>
          <w:tcPr>
            <w:tcW w:type="dxa" w:w="47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 xml:space="preserve">David Bass- VHA  </w:t>
            </w:r>
          </w:p>
        </w:tc>
        <w:tc>
          <w:tcPr>
            <w:tcW w:type="dxa" w:w="48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Gregory Zektser- VHA</w:t>
            </w:r>
          </w:p>
        </w:tc>
      </w:tr>
    </w:tbl>
    <w:p>
      <w:pPr>
        <w:pStyle w:val="Heading 2 A A"/>
        <w:widowControl w:val="0"/>
        <w:ind w:left="118" w:hanging="118"/>
        <w:rPr>
          <w:rFonts w:ascii="Times New Roman" w:cs="Times New Roman" w:hAnsi="Times New Roman" w:eastAsia="Times New Roman"/>
        </w:rPr>
      </w:pPr>
    </w:p>
    <w:p>
      <w:pPr>
        <w:pStyle w:val="Heading 2 A A"/>
        <w:ind w:left="10" w:hanging="1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Updates on S&amp;I Framework integration/initiative and FHA Work</w:t>
        <w:tab/>
      </w:r>
      <w:r>
        <w:rPr>
          <w:rFonts w:ascii="Times New Roman" w:hAnsi="Times New Roman"/>
          <w:i w:val="1"/>
          <w:iCs w:val="1"/>
          <w:sz w:val="24"/>
          <w:szCs w:val="24"/>
          <w:rtl w:val="0"/>
          <w:lang w:val="pt-PT"/>
        </w:rPr>
        <w:t>Steve Wagner</w:t>
      </w:r>
    </w:p>
    <w:p>
      <w:pPr>
        <w:pStyle w:val="List Paragraph"/>
        <w:numPr>
          <w:ilvl w:val="0"/>
          <w:numId w:val="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No updates were given for the SDC or DAF Initiatives</w:t>
      </w:r>
    </w:p>
    <w:p>
      <w:pPr>
        <w:pStyle w:val="List Paragraph"/>
        <w:numPr>
          <w:ilvl w:val="0"/>
          <w:numId w:val="4"/>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reported that there was a new Privacy and Security WG; the timing is opportune as we plan to refresh the Privacy and Security model for FHIM</w:t>
      </w:r>
    </w:p>
    <w:p>
      <w:pPr>
        <w:pStyle w:val="List Paragraph"/>
        <w:numPr>
          <w:ilvl w:val="1"/>
          <w:numId w:val="6"/>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This WG is looking at data provenance not just clinical but record management  as well;</w:t>
      </w:r>
    </w:p>
    <w:p>
      <w:pPr>
        <w:pStyle w:val="List Paragraph"/>
        <w:numPr>
          <w:ilvl w:val="1"/>
          <w:numId w:val="8"/>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expects there to be overlap between our work and what they are doing.</w:t>
      </w:r>
    </w:p>
    <w:p>
      <w:pPr>
        <w:pStyle w:val="List Paragraph"/>
        <w:numPr>
          <w:ilvl w:val="0"/>
          <w:numId w:val="10"/>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The S&amp;I Simplification WG had asked Galen to map its data spreadsheet and have provided him with their latest version; Ioana will take on this task as Galen  travels.</w:t>
      </w:r>
    </w:p>
    <w:p>
      <w:pPr>
        <w:pStyle w:val="List Paragraph"/>
        <w:numPr>
          <w:ilvl w:val="1"/>
          <w:numId w:val="12"/>
        </w:numPr>
        <w:bidi w:val="0"/>
        <w:spacing w:after="0"/>
        <w:ind w:right="0"/>
        <w:jc w:val="left"/>
        <w:rPr>
          <w:rFonts w:ascii="Times New Roman" w:hAnsi="Times New Roman"/>
          <w:sz w:val="24"/>
          <w:szCs w:val="24"/>
          <w:rtl w:val="0"/>
          <w:lang w:val="en-US"/>
        </w:rPr>
      </w:pPr>
      <w:r>
        <w:rPr>
          <w:rFonts w:ascii="Times New Roman" w:hAnsi="Times New Roman"/>
          <w:sz w:val="24"/>
          <w:szCs w:val="24"/>
          <w:rtl w:val="0"/>
          <w:lang w:val="en-US"/>
        </w:rPr>
        <w:t>Galen asked Gary to validate that this would still be valuable as many of these initiatives are complete; Gary feels that it is worthwhile so that we have coverage with the tooling that they are working on.</w:t>
      </w:r>
    </w:p>
    <w:p>
      <w:pPr>
        <w:pStyle w:val="Body B"/>
        <w:spacing w:after="0"/>
        <w:rPr>
          <w:rFonts w:ascii="Times New Roman" w:cs="Times New Roman" w:hAnsi="Times New Roman" w:eastAsia="Times New Roman"/>
          <w:sz w:val="24"/>
          <w:szCs w:val="24"/>
        </w:rPr>
      </w:pP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Terminology Modeling Update </w:t>
        <w:tab/>
      </w:r>
      <w:r>
        <w:rPr>
          <w:rFonts w:ascii="Times New Roman" w:hAnsi="Times New Roman"/>
          <w:i w:val="1"/>
          <w:iCs w:val="1"/>
          <w:sz w:val="24"/>
          <w:szCs w:val="24"/>
          <w:rtl w:val="0"/>
        </w:rPr>
        <w:t>Jay Lyle</w:t>
      </w:r>
    </w:p>
    <w:p>
      <w:pPr>
        <w:pStyle w:val="List Paragraph"/>
        <w:numPr>
          <w:ilvl w:val="0"/>
          <w:numId w:val="14"/>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 group continued to work on the reaction lists provided by the VA and Intermountain Healthcare; the FDA has also provided their SNOMED values.</w:t>
      </w:r>
    </w:p>
    <w:p>
      <w:pPr>
        <w:pStyle w:val="List Paragraph"/>
        <w:numPr>
          <w:ilvl w:val="1"/>
          <w:numId w:val="16"/>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There is a fair amount of overlap between the VA and Intermountain lists; </w:t>
      </w:r>
    </w:p>
    <w:p>
      <w:pPr>
        <w:pStyle w:val="List Paragraph"/>
        <w:numPr>
          <w:ilvl w:val="2"/>
          <w:numId w:val="18"/>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They will use VA</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list as a baseline and use the list they received from Intermountain as needed.</w:t>
      </w:r>
    </w:p>
    <w:p>
      <w:pPr>
        <w:pStyle w:val="List Paragraph"/>
        <w:numPr>
          <w:ilvl w:val="0"/>
          <w:numId w:val="20"/>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The group will revise their draft comment for the NPRM to say that there are better lists than what is suggested in the NPRM and provide an example for them to take into consideration. </w:t>
      </w:r>
    </w:p>
    <w:p>
      <w:pPr>
        <w:pStyle w:val="List Paragraph"/>
        <w:spacing w:after="0" w:line="240" w:lineRule="auto"/>
        <w:ind w:left="0" w:firstLine="0"/>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Other business</w:t>
      </w:r>
    </w:p>
    <w:p>
      <w:pPr>
        <w:pStyle w:val="List Paragraph"/>
        <w:numPr>
          <w:ilvl w:val="0"/>
          <w:numId w:val="22"/>
        </w:numPr>
        <w:bidi w:val="0"/>
        <w:spacing w:after="0" w:line="24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No other business was shared.</w:t>
      </w:r>
    </w:p>
    <w:p>
      <w:pPr>
        <w:pStyle w:val="List Paragraph"/>
        <w:spacing w:after="0" w:line="240" w:lineRule="auto"/>
        <w:rPr>
          <w:rFonts w:ascii="Times New Roman" w:cs="Times New Roman" w:hAnsi="Times New Roman" w:eastAsia="Times New Roman"/>
          <w:b w:val="1"/>
          <w:bCs w:val="1"/>
          <w:sz w:val="24"/>
          <w:szCs w:val="24"/>
        </w:rPr>
      </w:pPr>
    </w:p>
    <w:p>
      <w:pPr>
        <w:pStyle w:val="List Paragraph"/>
        <w:spacing w:after="0" w:line="240" w:lineRule="auto"/>
        <w:ind w:left="0" w:firstLine="0"/>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Modeling the Adverse Event Reporting Domain</w:t>
        <w:tab/>
      </w:r>
      <w:r>
        <w:rPr>
          <w:rFonts w:ascii="Times New Roman" w:hAnsi="Times New Roman"/>
          <w:i w:val="1"/>
          <w:iCs w:val="1"/>
          <w:sz w:val="24"/>
          <w:szCs w:val="24"/>
          <w:rtl w:val="0"/>
          <w:lang w:val="en-US"/>
        </w:rPr>
        <w:t>Galen Mulrooney</w:t>
      </w:r>
    </w:p>
    <w:p>
      <w:pPr>
        <w:pStyle w:val="List Paragraph"/>
        <w:numPr>
          <w:ilvl w:val="0"/>
          <w:numId w:val="2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He  has finished modeling the E2B (R3) from ICH; </w:t>
      </w:r>
    </w:p>
    <w:p>
      <w:pPr>
        <w:pStyle w:val="List Paragraph"/>
        <w:numPr>
          <w:ilvl w:val="0"/>
          <w:numId w:val="2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refactored the model to reflect last week</w:t>
      </w:r>
      <w:r>
        <w:rPr>
          <w:rFonts w:ascii="Times New Roman" w:hAnsi="Times New Roman" w:hint="default"/>
          <w:sz w:val="24"/>
          <w:szCs w:val="24"/>
          <w:rtl w:val="0"/>
          <w:lang w:val="en-US"/>
        </w:rPr>
        <w:t>’</w:t>
      </w:r>
      <w:r>
        <w:rPr>
          <w:rFonts w:ascii="Times New Roman" w:hAnsi="Times New Roman"/>
          <w:sz w:val="24"/>
          <w:szCs w:val="24"/>
          <w:rtl w:val="0"/>
          <w:lang w:val="en-US"/>
        </w:rPr>
        <w:t>s conversation and walked the group through those updates.</w:t>
      </w:r>
    </w:p>
    <w:p>
      <w:pPr>
        <w:pStyle w:val="List Paragraph"/>
        <w:numPr>
          <w:ilvl w:val="0"/>
          <w:numId w:val="2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We examined the Characterization of the Drug Role and looked at the hierarchy that was created.</w:t>
      </w:r>
    </w:p>
    <w:p>
      <w:pPr>
        <w:pStyle w:val="List Paragraph"/>
        <w:numPr>
          <w:ilvl w:val="1"/>
          <w:numId w:val="3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was first decided that SuspectedProduct and ConcomitantProduct should be modeled as roles not observations;</w:t>
      </w:r>
    </w:p>
    <w:p>
      <w:pPr>
        <w:pStyle w:val="List Paragraph"/>
        <w:numPr>
          <w:ilvl w:val="1"/>
          <w:numId w:val="3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After discussing combination drugs and common products the hierarchy was collapsed; combining the subclasses for SuspectedProduct and ConcomitantProduct </w:t>
      </w:r>
    </w:p>
    <w:p>
      <w:pPr>
        <w:pStyle w:val="List Paragraph"/>
        <w:numPr>
          <w:ilvl w:val="2"/>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For the purpose of this model; if someone wants to know if this is a device, a drug, or both they will have to review the term.</w:t>
      </w:r>
    </w:p>
    <w:p>
      <w:pPr>
        <w:pStyle w:val="List Paragraph"/>
        <w:numPr>
          <w:ilvl w:val="0"/>
          <w:numId w:val="3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group discussed the addition of an </w:t>
      </w:r>
      <w:r>
        <w:rPr>
          <w:rFonts w:ascii="Times New Roman" w:hAnsi="Times New Roman" w:hint="default"/>
          <w:sz w:val="24"/>
          <w:szCs w:val="24"/>
          <w:rtl w:val="0"/>
          <w:lang w:val="en-US"/>
        </w:rPr>
        <w:t>“</w:t>
      </w:r>
      <w:r>
        <w:rPr>
          <w:rFonts w:ascii="Times New Roman" w:hAnsi="Times New Roman"/>
          <w:sz w:val="24"/>
          <w:szCs w:val="24"/>
          <w:rtl w:val="0"/>
          <w:lang w:val="en-US"/>
        </w:rPr>
        <w:t>action taken</w:t>
      </w:r>
      <w:r>
        <w:rPr>
          <w:rFonts w:ascii="Times New Roman" w:hAnsi="Times New Roman" w:hint="default"/>
          <w:sz w:val="24"/>
          <w:szCs w:val="24"/>
          <w:rtl w:val="0"/>
          <w:lang w:val="en-US"/>
        </w:rPr>
        <w:t xml:space="preserve">” </w:t>
      </w:r>
      <w:r>
        <w:rPr>
          <w:rFonts w:ascii="Times New Roman" w:hAnsi="Times New Roman"/>
          <w:sz w:val="24"/>
          <w:szCs w:val="24"/>
          <w:rtl w:val="0"/>
          <w:lang w:val="en-US"/>
        </w:rPr>
        <w:t>attribute within AbstractProductRole. The ICH only deals with drugs; now that we have made these broader some of the fields do not make sense.</w:t>
      </w:r>
    </w:p>
    <w:p>
      <w:pPr>
        <w:pStyle w:val="List Paragraph"/>
        <w:numPr>
          <w:ilvl w:val="1"/>
          <w:numId w:val="3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This is ok for our purposes as this will be the top level of the FHIM that will not have vocabulary bound to it; we will need clear implementation templates with distinct, associated value sets.</w:t>
      </w:r>
    </w:p>
    <w:p>
      <w:pPr>
        <w:pStyle w:val="List Paragraph"/>
        <w:numPr>
          <w:ilvl w:val="0"/>
          <w:numId w:val="4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Information that is independently obtained from the user should be captured here if there is no terminological core.</w:t>
      </w:r>
    </w:p>
    <w:p>
      <w:pPr>
        <w:pStyle w:val="List Paragraph"/>
        <w:numPr>
          <w:ilvl w:val="0"/>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Galen reviewed the ICSR Mapping Spreadsheet that was sent to the group. </w:t>
      </w:r>
    </w:p>
    <w:p>
      <w:pPr>
        <w:pStyle w:val="List Paragraph"/>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Has coverage on every data element in the ICSR with the exception of a couple;</w:t>
      </w:r>
    </w:p>
    <w:p>
      <w:pPr>
        <w:pStyle w:val="List Paragraph"/>
        <w:numPr>
          <w:ilvl w:val="1"/>
          <w:numId w:val="4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Next Galen will fill in the fields for  MedWatch and VAERS forms;</w:t>
      </w:r>
    </w:p>
    <w:p>
      <w:pPr>
        <w:pStyle w:val="List Paragraph"/>
        <w:numPr>
          <w:ilvl w:val="1"/>
          <w:numId w:val="4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Once the domain is complete he will create a FHIR resource for one of them and try to implement it.</w:t>
      </w:r>
    </w:p>
    <w:p>
      <w:pPr>
        <w:pStyle w:val="List Paragraph"/>
        <w:numPr>
          <w:ilvl w:val="0"/>
          <w:numId w:val="5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Data Elements Spreadsheet was reviewed; there are 196 so far with the definitions filled in. Galen asked that the terminology group look at the codes and concepts he has found in the specification. </w:t>
      </w:r>
    </w:p>
    <w:p>
      <w:pPr>
        <w:pStyle w:val="List Paragraph"/>
        <w:numPr>
          <w:ilvl w:val="1"/>
          <w:numId w:val="5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Galen will not create value sets for things that the FDA is not concerned with at the MedWatch level.</w:t>
      </w:r>
    </w:p>
    <w:p>
      <w:pPr>
        <w:pStyle w:val="List Paragraph"/>
        <w:numPr>
          <w:ilvl w:val="1"/>
          <w:numId w:val="5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goal for next week is to complete modeling of MedWatch and VAERS;</w:t>
      </w:r>
    </w:p>
    <w:p>
      <w:pPr>
        <w:pStyle w:val="List Paragraph"/>
        <w:numPr>
          <w:ilvl w:val="0"/>
          <w:numId w:val="56"/>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Mapping the PHRI spreadsheet to the FHIM; Galen said that this he expects this to be fairly easy as PHRI maps to ICSR but noted that there are about 100 items that are not in ICH.</w:t>
      </w: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63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Times New Roman" w:hAnsi="Times New Roman"/>
                <w:rtl w:val="0"/>
                <w:lang w:val="en-US"/>
              </w:rPr>
              <w:t>Due Date</w:t>
            </w:r>
          </w:p>
        </w:tc>
      </w:tr>
      <w:tr>
        <w:tblPrEx>
          <w:shd w:val="clear" w:color="auto" w:fill="ceddeb"/>
        </w:tblPrEx>
        <w:trPr>
          <w:trHeight w:val="34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rFonts w:ascii="Times New Roman" w:hAnsi="Times New Roman"/>
                <w:sz w:val="24"/>
                <w:szCs w:val="24"/>
                <w:rtl w:val="0"/>
                <w:lang w:val="en-US"/>
              </w:rPr>
              <w:t>None for this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List Paragraph"/>
        <w:widowControl w:val="0"/>
        <w:numPr>
          <w:ilvl w:val="0"/>
          <w:numId w:val="57"/>
        </w:numPr>
        <w:spacing w:after="0" w:line="240" w:lineRule="auto"/>
      </w:pPr>
    </w:p>
    <w:p>
      <w:pPr>
        <w:pStyle w:val="List Paragraph"/>
        <w:spacing w:after="0" w:line="240" w:lineRule="auto"/>
        <w:ind w:left="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t>
      </w: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Wrap up: </w:t>
      </w:r>
      <w:r>
        <w:rPr>
          <w:rFonts w:ascii="Times New Roman" w:hAnsi="Times New Roman"/>
          <w:sz w:val="24"/>
          <w:szCs w:val="24"/>
          <w:rtl w:val="0"/>
          <w:lang w:val="en-US"/>
        </w:rPr>
        <w:t>Galen ended the discussion early as it was the Friday before a holiday. He noted that the May 2</w:t>
      </w:r>
      <w:r>
        <w:rPr>
          <w:rFonts w:ascii="Times New Roman" w:hAnsi="Times New Roman"/>
          <w:sz w:val="24"/>
          <w:szCs w:val="24"/>
          <w:vertAlign w:val="superscript"/>
          <w:rtl w:val="0"/>
          <w:lang w:val="en-US"/>
        </w:rPr>
        <w:t>nd</w:t>
      </w:r>
      <w:r>
        <w:rPr>
          <w:rFonts w:ascii="Times New Roman" w:hAnsi="Times New Roman"/>
          <w:sz w:val="24"/>
          <w:szCs w:val="24"/>
          <w:rtl w:val="0"/>
          <w:lang w:val="en-US"/>
        </w:rPr>
        <w:t xml:space="preserve"> an d May 9</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meetings will be canceled due to scheduling conflicts.</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Next Meeting:</w:t>
      </w:r>
      <w:r>
        <w:rPr>
          <w:rFonts w:ascii="Times New Roman" w:hAnsi="Times New Roman"/>
          <w:sz w:val="24"/>
          <w:szCs w:val="24"/>
          <w:rtl w:val="0"/>
          <w:lang w:val="en-US"/>
        </w:rPr>
        <w:t xml:space="preserve"> Friday, April 25, 2014 at 2:30 EDT </w:t>
      </w:r>
    </w:p>
    <w:p>
      <w:pPr>
        <w:pStyle w:val="Body B"/>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Information for future FHIM information and terminology modeling calls:</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 xml:space="preserve"> 1) Information Modeling (IM) project call (Every Friday)</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Time of Call: 2:30 to 4:30 PM Eastern Time</w:t>
      </w:r>
    </w:p>
    <w:p>
      <w:pPr>
        <w:pStyle w:val="Body B"/>
        <w:spacing w:after="0"/>
        <w:rPr>
          <w:rFonts w:ascii="Times New Roman" w:cs="Times New Roman" w:hAnsi="Times New Roman" w:eastAsia="Times New Roman"/>
          <w:sz w:val="24"/>
          <w:szCs w:val="24"/>
        </w:rPr>
      </w:pPr>
      <w:r>
        <w:rPr>
          <w:rFonts w:ascii="Times New Roman" w:hAnsi="Times New Roman"/>
          <w:sz w:val="24"/>
          <w:szCs w:val="24"/>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sz w:val="24"/>
          <w:szCs w:val="24"/>
        </w:rPr>
      </w:pP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2) Terminology Modeling calls (Every Wednesday)</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Time of Call: 2:00 to 3:30 PM Eastern Time</w:t>
      </w:r>
    </w:p>
    <w:p>
      <w:pPr>
        <w:pStyle w:val="Body B"/>
        <w:spacing w:after="0"/>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Dial-in Information: 1 1 (773) 945-1031 Access Code: 849-124-653</w:t>
      </w:r>
    </w:p>
    <w:p>
      <w:pPr>
        <w:pStyle w:val="Body B"/>
        <w:spacing w:after="0"/>
      </w:pPr>
      <w:r>
        <w:rPr>
          <w:rStyle w:val="None"/>
          <w:rFonts w:ascii="Times New Roman" w:hAnsi="Times New Roman"/>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177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177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1050"/>
        </w:tabs>
        <w:ind w:left="102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1770"/>
        </w:tabs>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1050"/>
        </w:tabs>
        <w:ind w:left="102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770"/>
        </w:tabs>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770"/>
        </w:tabs>
        <w:ind w:left="174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77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77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77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77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77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77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77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2490"/>
        </w:tabs>
        <w:ind w:left="105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490"/>
        </w:tabs>
        <w:ind w:left="1770" w:hanging="3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490"/>
        </w:tabs>
        <w:ind w:left="24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49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49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49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49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49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49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1050"/>
        </w:tabs>
        <w:ind w:left="102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1050"/>
        </w:tabs>
        <w:ind w:left="17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50"/>
        </w:tabs>
        <w:ind w:left="24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50"/>
        </w:tabs>
        <w:ind w:left="31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50"/>
        </w:tabs>
        <w:ind w:left="39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50"/>
        </w:tabs>
        <w:ind w:left="46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50"/>
        </w:tabs>
        <w:ind w:left="53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50"/>
        </w:tabs>
        <w:ind w:left="60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50"/>
        </w:tabs>
        <w:ind w:left="67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690"/>
        </w:tabs>
        <w:ind w:left="663" w:hanging="303"/>
      </w:pPr>
      <w:rPr>
        <w:rFonts w:hAnsi="Arial Unicode MS"/>
        <w:b w:val="1"/>
        <w:bCs w:val="1"/>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213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2130"/>
        </w:tabs>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tabs>
          <w:tab w:val="left" w:pos="1410"/>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410"/>
        </w:tabs>
        <w:ind w:left="138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141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1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1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tabs>
          <w:tab w:val="left" w:pos="690"/>
        </w:tabs>
        <w:ind w:left="663" w:hanging="30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690"/>
        </w:tabs>
        <w:ind w:left="1383" w:hanging="30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9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9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9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9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9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9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9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4"/>
    <w:lvlOverride w:ilvl="0">
      <w:lvl w:ilvl="0">
        <w:start w:val="1"/>
        <w:numFmt w:val="bullet"/>
        <w:suff w:val="tab"/>
        <w:lvlText w:val="-"/>
        <w:lvlJc w:val="left"/>
        <w:pPr>
          <w:tabs>
            <w:tab w:val="num" w:pos="663"/>
            <w:tab w:val="left" w:pos="690"/>
          </w:tabs>
          <w:ind w:left="771" w:hanging="41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tabs>
            <w:tab w:val="left" w:pos="690"/>
            <w:tab w:val="num" w:pos="1383"/>
          </w:tabs>
          <w:ind w:left="1491"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690"/>
            <w:tab w:val="num" w:pos="2103"/>
          </w:tabs>
          <w:ind w:left="2211" w:hanging="4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690"/>
            <w:tab w:val="num" w:pos="2823"/>
          </w:tabs>
          <w:ind w:left="2931"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690"/>
            <w:tab w:val="num" w:pos="3543"/>
          </w:tabs>
          <w:ind w:left="3651"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690"/>
            <w:tab w:val="num" w:pos="4263"/>
          </w:tabs>
          <w:ind w:left="4371"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690"/>
            <w:tab w:val="num" w:pos="4983"/>
          </w:tabs>
          <w:ind w:left="5091"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690"/>
            <w:tab w:val="num" w:pos="5703"/>
          </w:tabs>
          <w:ind w:left="5811" w:hanging="4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690"/>
            <w:tab w:val="num" w:pos="6423"/>
          </w:tabs>
          <w:ind w:left="6531" w:hanging="41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