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35F" w:rsidRDefault="00BA435F" w:rsidP="00BA435F">
      <w:pPr>
        <w:pStyle w:val="Title"/>
        <w:rPr>
          <w:b/>
          <w:bCs/>
          <w:sz w:val="28"/>
          <w:szCs w:val="28"/>
        </w:rPr>
      </w:pPr>
      <w:r>
        <w:rPr>
          <w:b/>
          <w:bCs/>
          <w:sz w:val="28"/>
          <w:szCs w:val="28"/>
        </w:rPr>
        <w:t>FHIMS Lab-Orders and Observation Domain</w:t>
      </w:r>
    </w:p>
    <w:p w:rsidR="00BA435F" w:rsidRPr="00BA435F" w:rsidRDefault="00BA435F" w:rsidP="00BA435F">
      <w:pPr>
        <w:pStyle w:val="Subtitle"/>
      </w:pPr>
      <w:r>
        <w:t xml:space="preserve">November </w:t>
      </w:r>
      <w:r w:rsidR="006809B6">
        <w:t>29</w:t>
      </w:r>
      <w:r>
        <w:t>, 2010 Meeting Minutes</w:t>
      </w:r>
    </w:p>
    <w:p w:rsidR="0056064C" w:rsidRDefault="0056064C" w:rsidP="0052567A">
      <w:pPr>
        <w:pStyle w:val="Heading1"/>
      </w:pPr>
      <w:r>
        <w:t>Attendees</w:t>
      </w:r>
    </w:p>
    <w:p w:rsidR="00664F24" w:rsidRDefault="00664F24" w:rsidP="0056064C">
      <w:pPr>
        <w:sectPr w:rsidR="00664F24" w:rsidSect="006318E9">
          <w:pgSz w:w="12240" w:h="15840"/>
          <w:pgMar w:top="1440" w:right="1440" w:bottom="1440" w:left="1440" w:header="720" w:footer="720" w:gutter="0"/>
          <w:cols w:space="720"/>
          <w:docGrid w:linePitch="360"/>
        </w:sectPr>
      </w:pPr>
    </w:p>
    <w:p w:rsidR="004C4B44" w:rsidRPr="004C4B44" w:rsidRDefault="004C4B44" w:rsidP="004C4B44">
      <w:pPr>
        <w:spacing w:after="0"/>
      </w:pPr>
      <w:r w:rsidRPr="004C4B44">
        <w:lastRenderedPageBreak/>
        <w:t>Neelima Chennamaraja, VA</w:t>
      </w:r>
    </w:p>
    <w:p w:rsidR="0056064C" w:rsidRDefault="00067752" w:rsidP="00664F24">
      <w:pPr>
        <w:spacing w:after="0"/>
      </w:pPr>
      <w:r>
        <w:t>Mike Fitch</w:t>
      </w:r>
      <w:r w:rsidR="004C4B44">
        <w:t xml:space="preserve">, </w:t>
      </w:r>
      <w:proofErr w:type="spellStart"/>
      <w:proofErr w:type="gramStart"/>
      <w:r w:rsidR="004C4B44">
        <w:t>Do</w:t>
      </w:r>
      <w:r w:rsidR="004311D1">
        <w:t>D</w:t>
      </w:r>
      <w:proofErr w:type="spellEnd"/>
      <w:proofErr w:type="gramEnd"/>
    </w:p>
    <w:p w:rsidR="004C4B44" w:rsidRDefault="004C4B44" w:rsidP="004C4B44">
      <w:pPr>
        <w:spacing w:after="0"/>
      </w:pPr>
      <w:r>
        <w:t xml:space="preserve">Steve Hufnagel, </w:t>
      </w:r>
      <w:proofErr w:type="spellStart"/>
      <w:proofErr w:type="gramStart"/>
      <w:r>
        <w:t>DoD</w:t>
      </w:r>
      <w:proofErr w:type="spellEnd"/>
      <w:proofErr w:type="gramEnd"/>
    </w:p>
    <w:p w:rsidR="00FB2D59" w:rsidRDefault="00FB2D59" w:rsidP="004C4B44">
      <w:pPr>
        <w:spacing w:after="0"/>
      </w:pPr>
      <w:r>
        <w:t>Sandy Jones, CDC</w:t>
      </w:r>
    </w:p>
    <w:p w:rsidR="004C4B44" w:rsidRDefault="004C4B44" w:rsidP="004C4B44">
      <w:pPr>
        <w:spacing w:after="0"/>
      </w:pPr>
      <w:r>
        <w:t>Kosta Makrodimitris, FDA</w:t>
      </w:r>
    </w:p>
    <w:p w:rsidR="00664F24" w:rsidRDefault="00664F24" w:rsidP="00664F24">
      <w:pPr>
        <w:spacing w:after="0"/>
      </w:pPr>
      <w:r>
        <w:lastRenderedPageBreak/>
        <w:t>Galen Mulrooney, VA</w:t>
      </w:r>
    </w:p>
    <w:p w:rsidR="004C4B44" w:rsidRDefault="004C4B44" w:rsidP="004C4B44">
      <w:pPr>
        <w:spacing w:after="0"/>
      </w:pPr>
      <w:r>
        <w:t>Cindy Vinion, CDC</w:t>
      </w:r>
    </w:p>
    <w:p w:rsidR="00664F24" w:rsidRDefault="00664F24" w:rsidP="00664F24">
      <w:pPr>
        <w:spacing w:after="0"/>
      </w:pPr>
      <w:r>
        <w:t>Steve Wagner, FHA</w:t>
      </w:r>
    </w:p>
    <w:p w:rsidR="00664F24" w:rsidRDefault="00664F24" w:rsidP="00664F24"/>
    <w:p w:rsidR="00F11C91" w:rsidRPr="00664F24" w:rsidRDefault="00F11C91" w:rsidP="00664F24">
      <w:pPr>
        <w:sectPr w:rsidR="00F11C91" w:rsidRPr="00664F24" w:rsidSect="00664F24">
          <w:type w:val="continuous"/>
          <w:pgSz w:w="12240" w:h="15840"/>
          <w:pgMar w:top="1440" w:right="1440" w:bottom="1440" w:left="1440" w:header="720" w:footer="720" w:gutter="0"/>
          <w:cols w:num="2" w:space="720"/>
          <w:docGrid w:linePitch="360"/>
        </w:sectPr>
      </w:pPr>
    </w:p>
    <w:p w:rsidR="00F11C91" w:rsidRDefault="00F11C91" w:rsidP="00F11C91">
      <w:pPr>
        <w:pStyle w:val="Heading1"/>
      </w:pPr>
      <w:r>
        <w:lastRenderedPageBreak/>
        <w:t xml:space="preserve">Leadership team </w:t>
      </w:r>
    </w:p>
    <w:p w:rsidR="0056064C" w:rsidRDefault="00F11C91" w:rsidP="00F11C91">
      <w:r>
        <w:t>Neelima Chennamaraja, Kosta Makrodimitris</w:t>
      </w:r>
      <w:r w:rsidR="00BE23F7">
        <w:t>, Galen Mulrooney, Cindy Vinion</w:t>
      </w:r>
    </w:p>
    <w:p w:rsidR="007B0F5C" w:rsidRDefault="007B0F5C" w:rsidP="007B0F5C">
      <w:r>
        <w:t xml:space="preserve">Website: </w:t>
      </w:r>
      <w:hyperlink r:id="rId6" w:history="1">
        <w:r w:rsidRPr="00887531">
          <w:rPr>
            <w:rStyle w:val="Hyperlink"/>
          </w:rPr>
          <w:t>https://www.projects.openhealthtools.org/sf/projects/fhims/</w:t>
        </w:r>
      </w:hyperlink>
      <w:r>
        <w:t xml:space="preserve"> </w:t>
      </w:r>
    </w:p>
    <w:p w:rsidR="00A825B0" w:rsidRDefault="00A825B0" w:rsidP="007B0F5C">
      <w:pPr>
        <w:pStyle w:val="Heading1"/>
      </w:pPr>
      <w:r>
        <w:t>Agenda</w:t>
      </w:r>
    </w:p>
    <w:p w:rsidR="00346A86" w:rsidRDefault="00346A86" w:rsidP="00346A86">
      <w:pPr>
        <w:pStyle w:val="Default"/>
        <w:numPr>
          <w:ilvl w:val="0"/>
          <w:numId w:val="14"/>
        </w:numPr>
        <w:rPr>
          <w:sz w:val="22"/>
          <w:szCs w:val="22"/>
        </w:rPr>
      </w:pPr>
      <w:r>
        <w:rPr>
          <w:sz w:val="23"/>
          <w:szCs w:val="23"/>
        </w:rPr>
        <w:t>A</w:t>
      </w:r>
      <w:r>
        <w:rPr>
          <w:sz w:val="22"/>
          <w:szCs w:val="22"/>
        </w:rPr>
        <w:t xml:space="preserve">LL-Galen: Modeling HITSP C35/C36/C37 constructs and maps HL7 2.5.1.IG OBR/OBX section, 60-70’ </w:t>
      </w:r>
    </w:p>
    <w:p w:rsidR="00346A86" w:rsidRDefault="00346A86" w:rsidP="00346A86">
      <w:pPr>
        <w:pStyle w:val="Default"/>
        <w:numPr>
          <w:ilvl w:val="0"/>
          <w:numId w:val="14"/>
        </w:numPr>
        <w:rPr>
          <w:sz w:val="22"/>
          <w:szCs w:val="22"/>
        </w:rPr>
      </w:pPr>
      <w:r>
        <w:rPr>
          <w:sz w:val="22"/>
          <w:szCs w:val="22"/>
        </w:rPr>
        <w:t xml:space="preserve">ALL-Kosta-Cindy-Anne: Discuss use case and scenarios(UML,BPMN-Visio/RSA),15-20’ </w:t>
      </w:r>
    </w:p>
    <w:p w:rsidR="00346A86" w:rsidRDefault="00346A86" w:rsidP="00346A86">
      <w:pPr>
        <w:pStyle w:val="Default"/>
        <w:numPr>
          <w:ilvl w:val="0"/>
          <w:numId w:val="14"/>
        </w:numPr>
        <w:rPr>
          <w:sz w:val="22"/>
          <w:szCs w:val="22"/>
        </w:rPr>
      </w:pPr>
      <w:r>
        <w:rPr>
          <w:sz w:val="22"/>
          <w:szCs w:val="22"/>
        </w:rPr>
        <w:t xml:space="preserve">Kosta: HL7 Normative 2010, RIM , Lab-OO HL7 activities/membership(2-3’) </w:t>
      </w:r>
    </w:p>
    <w:p w:rsidR="00346A86" w:rsidRDefault="00346A86" w:rsidP="00346A86">
      <w:pPr>
        <w:pStyle w:val="Default"/>
        <w:numPr>
          <w:ilvl w:val="0"/>
          <w:numId w:val="14"/>
        </w:numPr>
        <w:rPr>
          <w:sz w:val="23"/>
          <w:szCs w:val="23"/>
        </w:rPr>
      </w:pPr>
      <w:r>
        <w:rPr>
          <w:sz w:val="23"/>
          <w:szCs w:val="23"/>
        </w:rPr>
        <w:t xml:space="preserve">ALL: Milestones-Plans-Risks for modeling &amp; \ use cases(next iteration) (2-3’) </w:t>
      </w:r>
    </w:p>
    <w:p w:rsidR="0052567A" w:rsidRDefault="0052567A" w:rsidP="007B0F5C">
      <w:pPr>
        <w:pStyle w:val="Heading1"/>
      </w:pPr>
      <w:r>
        <w:t>Summary of Discussion</w:t>
      </w:r>
    </w:p>
    <w:p w:rsidR="00AA28DC" w:rsidRDefault="00AA28DC" w:rsidP="00AA28DC">
      <w:pPr>
        <w:pStyle w:val="Heading2"/>
      </w:pPr>
      <w:r>
        <w:t>Modeling</w:t>
      </w:r>
    </w:p>
    <w:p w:rsidR="006116D2" w:rsidRDefault="006C31CC" w:rsidP="00CF1F27">
      <w:pPr>
        <w:pStyle w:val="ListParagraph"/>
        <w:numPr>
          <w:ilvl w:val="0"/>
          <w:numId w:val="11"/>
        </w:numPr>
      </w:pPr>
      <w:r>
        <w:t>Galen opened the discussion with defined the difference between sample and specimen (from 11/22 meeting).  It has been decided that samples are collected and specimens are tested.</w:t>
      </w:r>
    </w:p>
    <w:p w:rsidR="006C31CC" w:rsidRDefault="006C31CC" w:rsidP="00CF1F27">
      <w:pPr>
        <w:pStyle w:val="ListParagraph"/>
        <w:numPr>
          <w:ilvl w:val="0"/>
          <w:numId w:val="11"/>
        </w:numPr>
      </w:pPr>
      <w:r>
        <w:t>Mike mentioned that the definition of sample comes from statistics.  The collected sample is considered a statistical random sample of the whole subject (person, animal, area, object, etc).</w:t>
      </w:r>
    </w:p>
    <w:p w:rsidR="006C31CC" w:rsidRDefault="006C31CC" w:rsidP="00CF1F27">
      <w:pPr>
        <w:pStyle w:val="ListParagraph"/>
        <w:numPr>
          <w:ilvl w:val="0"/>
          <w:numId w:val="11"/>
        </w:numPr>
      </w:pPr>
      <w:r>
        <w:t>The model still has some sample and specimen attributes reversed; Galen will update the model to reflect the updated definitions.</w:t>
      </w:r>
    </w:p>
    <w:p w:rsidR="002360D2" w:rsidRDefault="002360D2" w:rsidP="00CF1F27">
      <w:pPr>
        <w:pStyle w:val="ListParagraph"/>
        <w:numPr>
          <w:ilvl w:val="0"/>
          <w:numId w:val="11"/>
        </w:numPr>
      </w:pPr>
      <w:r>
        <w:t xml:space="preserve">A container object was added to the model from discussions last week (11/22).  </w:t>
      </w:r>
    </w:p>
    <w:p w:rsidR="002360D2" w:rsidRDefault="002360D2" w:rsidP="00CF1F27">
      <w:pPr>
        <w:pStyle w:val="ListParagraph"/>
        <w:numPr>
          <w:ilvl w:val="0"/>
          <w:numId w:val="11"/>
        </w:numPr>
      </w:pPr>
      <w:r>
        <w:t xml:space="preserve">Cindy asked where the </w:t>
      </w:r>
      <w:r w:rsidR="003F6954">
        <w:t xml:space="preserve">container </w:t>
      </w:r>
      <w:r>
        <w:t>additives were listed in the model.</w:t>
      </w:r>
    </w:p>
    <w:p w:rsidR="00EF4FD0" w:rsidRDefault="002360D2" w:rsidP="00CF1F27">
      <w:pPr>
        <w:pStyle w:val="ListParagraph"/>
        <w:numPr>
          <w:ilvl w:val="0"/>
          <w:numId w:val="11"/>
        </w:numPr>
      </w:pPr>
      <w:r>
        <w:t xml:space="preserve">Galen answered that since the containers often arrive with additives already added, container type may </w:t>
      </w:r>
      <w:r w:rsidR="00EF4FD0">
        <w:t xml:space="preserve">be understood to </w:t>
      </w:r>
      <w:r>
        <w:t xml:space="preserve">include additives.  </w:t>
      </w:r>
    </w:p>
    <w:p w:rsidR="006C31CC" w:rsidRDefault="00EF4FD0" w:rsidP="00CF1F27">
      <w:pPr>
        <w:pStyle w:val="ListParagraph"/>
        <w:numPr>
          <w:ilvl w:val="0"/>
          <w:numId w:val="11"/>
        </w:numPr>
      </w:pPr>
      <w:r>
        <w:t xml:space="preserve">After discussion by the group, it was decided that while many containers do include additives, </w:t>
      </w:r>
      <w:r w:rsidR="002360D2">
        <w:t>other containers may be used that do not contain additives,</w:t>
      </w:r>
      <w:r>
        <w:t xml:space="preserve"> so</w:t>
      </w:r>
      <w:r w:rsidR="002360D2">
        <w:t xml:space="preserve"> an additive attribute will be added to the </w:t>
      </w:r>
      <w:r>
        <w:t>Container object</w:t>
      </w:r>
      <w:r w:rsidR="003F6954">
        <w:t xml:space="preserve"> as an optional attribute</w:t>
      </w:r>
      <w:r>
        <w:t>.</w:t>
      </w:r>
      <w:r w:rsidR="003F6954">
        <w:t xml:space="preserve">  In some instances, more than one additive may be added to the container; therefore, the additive attribute may repeat.</w:t>
      </w:r>
    </w:p>
    <w:p w:rsidR="003F6954" w:rsidRDefault="003F6954" w:rsidP="00CF1F27">
      <w:pPr>
        <w:pStyle w:val="ListParagraph"/>
        <w:numPr>
          <w:ilvl w:val="0"/>
          <w:numId w:val="11"/>
        </w:numPr>
      </w:pPr>
      <w:r>
        <w:t>Cindy questioned if we needed to know how much additive is in the container.  Mike confirmed that the ratio between the collected sample and the additive is important but that the container with additive size dictates the ratio; the instructions are to fill up the container.  It was decided that, for now, we would not include amounts or volume.</w:t>
      </w:r>
    </w:p>
    <w:p w:rsidR="00EF4FD0" w:rsidRDefault="00B312F5" w:rsidP="00CF1F27">
      <w:pPr>
        <w:pStyle w:val="ListParagraph"/>
        <w:numPr>
          <w:ilvl w:val="0"/>
          <w:numId w:val="11"/>
        </w:numPr>
      </w:pPr>
      <w:r>
        <w:t>Galen proceeded with modeling using the SPM segment from the HL7 2.x message.</w:t>
      </w:r>
    </w:p>
    <w:p w:rsidR="00B312F5" w:rsidRDefault="00B312F5" w:rsidP="00CF1F27">
      <w:pPr>
        <w:pStyle w:val="ListParagraph"/>
        <w:numPr>
          <w:ilvl w:val="0"/>
          <w:numId w:val="11"/>
        </w:numPr>
      </w:pPr>
      <w:r>
        <w:t xml:space="preserve">Galen initially mapped the set id to the id in the sample and specimen objects.  Cindy pointed out that the set id in an HL7 message counts the occurrences of the segment in the message or group within the message.  It does not need to be modeled.  Galen marked the field as "structural" in the </w:t>
      </w:r>
      <w:r>
        <w:lastRenderedPageBreak/>
        <w:t>excel spreadsheet</w:t>
      </w:r>
      <w:r w:rsidR="00F2608D">
        <w:t xml:space="preserve"> &amp; mapped the specimen id (SPM.2</w:t>
      </w:r>
      <w:r>
        <w:t>) to the id attribute in the Specimen object.  Cindy mentioned that since the SPM segment can be used for both orders and results, then the SPM segment may describe either a (collected) specimen or a (analyzed) sample; therefore, the fields in the SPM segment should be mapped to attributes in both the Sample and Specimen objects in the model.</w:t>
      </w:r>
    </w:p>
    <w:p w:rsidR="00F2608D" w:rsidRDefault="00F2608D" w:rsidP="00CF1F27">
      <w:pPr>
        <w:pStyle w:val="ListParagraph"/>
        <w:numPr>
          <w:ilvl w:val="0"/>
          <w:numId w:val="11"/>
        </w:numPr>
      </w:pPr>
      <w:r>
        <w:t>When working with the Parent Sample ID (SPM.3), we identified the need to group or pool specimens or samples.  (See below for the HL7 definition of group and pool, from HL7 Table 0369.)</w:t>
      </w:r>
    </w:p>
    <w:p w:rsidR="00F2608D" w:rsidRDefault="00F2608D" w:rsidP="00F2608D">
      <w:pPr>
        <w:pStyle w:val="ListParagraph"/>
        <w:numPr>
          <w:ilvl w:val="1"/>
          <w:numId w:val="11"/>
        </w:numPr>
      </w:pPr>
      <w:r w:rsidRPr="00F2608D">
        <w:t>Group (where a specimen consists of multiple</w:t>
      </w:r>
      <w:r>
        <w:t xml:space="preserve"> </w:t>
      </w:r>
      <w:r w:rsidRPr="00F2608D">
        <w:t>individual elements that are not individually</w:t>
      </w:r>
      <w:r>
        <w:t xml:space="preserve"> </w:t>
      </w:r>
      <w:r w:rsidRPr="00F2608D">
        <w:t>identified)</w:t>
      </w:r>
    </w:p>
    <w:p w:rsidR="00F2608D" w:rsidRDefault="00F2608D" w:rsidP="00F2608D">
      <w:pPr>
        <w:pStyle w:val="ListParagraph"/>
        <w:numPr>
          <w:ilvl w:val="1"/>
          <w:numId w:val="11"/>
        </w:numPr>
      </w:pPr>
      <w:r w:rsidRPr="00F2608D">
        <w:t>Pool (aliquots of individual specimens combined to</w:t>
      </w:r>
      <w:r>
        <w:t xml:space="preserve"> </w:t>
      </w:r>
      <w:r w:rsidRPr="00F2608D">
        <w:t>form a single specimen representing all of the</w:t>
      </w:r>
      <w:r>
        <w:t xml:space="preserve"> </w:t>
      </w:r>
      <w:r w:rsidRPr="00F2608D">
        <w:t>components.)</w:t>
      </w:r>
    </w:p>
    <w:p w:rsidR="00B312F5" w:rsidRDefault="00F2608D" w:rsidP="00CF1F27">
      <w:pPr>
        <w:pStyle w:val="ListParagraph"/>
        <w:numPr>
          <w:ilvl w:val="0"/>
          <w:numId w:val="11"/>
        </w:numPr>
      </w:pPr>
      <w:r>
        <w:t>Cindy mentioned that grouping may be done when collecting a sample - for example random sampling of soil for analysis or sampling products during a manufacturing process.  Kosta confirmed that food sampling may also be performed this way.</w:t>
      </w:r>
    </w:p>
    <w:p w:rsidR="00F2608D" w:rsidRDefault="00F2608D" w:rsidP="00CF1F27">
      <w:pPr>
        <w:pStyle w:val="ListParagraph"/>
        <w:numPr>
          <w:ilvl w:val="0"/>
          <w:numId w:val="11"/>
        </w:numPr>
      </w:pPr>
      <w:r>
        <w:t>Cindy mentioned that specimens may be combined (pooled) to facilitate rapid testing of a large number of samples at one time.  This technique may be used in environmental, animal, or food testing.</w:t>
      </w:r>
    </w:p>
    <w:p w:rsidR="00F2608D" w:rsidRDefault="00F2608D" w:rsidP="00CF1F27">
      <w:pPr>
        <w:pStyle w:val="ListParagraph"/>
        <w:numPr>
          <w:ilvl w:val="0"/>
          <w:numId w:val="11"/>
        </w:numPr>
      </w:pPr>
      <w:r>
        <w:t xml:space="preserve">Galen accommodated the need for grouping or pooling by adding a </w:t>
      </w:r>
      <w:proofErr w:type="spellStart"/>
      <w:r>
        <w:t>relatedSpecimen</w:t>
      </w:r>
      <w:proofErr w:type="spellEnd"/>
      <w:r>
        <w:t xml:space="preserve"> object to the model.  This object still needs some work.</w:t>
      </w:r>
    </w:p>
    <w:p w:rsidR="00F2608D" w:rsidRDefault="00F2608D" w:rsidP="00CF1F27">
      <w:pPr>
        <w:pStyle w:val="ListParagraph"/>
        <w:numPr>
          <w:ilvl w:val="0"/>
          <w:numId w:val="11"/>
        </w:numPr>
      </w:pPr>
      <w:r>
        <w:t>Galen will be posting the updated model and spreadsheet on OHT for review.</w:t>
      </w:r>
    </w:p>
    <w:p w:rsidR="008C312E" w:rsidRDefault="008C312E" w:rsidP="008C312E">
      <w:pPr>
        <w:pStyle w:val="Heading2"/>
      </w:pPr>
      <w:r>
        <w:t>Other Discussion</w:t>
      </w:r>
    </w:p>
    <w:p w:rsidR="008C312E" w:rsidRDefault="008C312E" w:rsidP="008C312E">
      <w:pPr>
        <w:pStyle w:val="ListParagraph"/>
        <w:numPr>
          <w:ilvl w:val="0"/>
          <w:numId w:val="15"/>
        </w:numPr>
      </w:pPr>
      <w:r>
        <w:t>Kosta noted that HHS Innovates is seeking nominations with a closing deadline of Nov 30; he asked if FHIMS Lab-OO wanted to submit any nominations.  Steve W suggested finding out what kind of innovations HHS is looking for prior to submitting.</w:t>
      </w:r>
    </w:p>
    <w:p w:rsidR="008C312E" w:rsidRPr="008C312E" w:rsidRDefault="008C312E" w:rsidP="008C312E">
      <w:pPr>
        <w:pStyle w:val="ListParagraph"/>
        <w:numPr>
          <w:ilvl w:val="0"/>
          <w:numId w:val="15"/>
        </w:numPr>
      </w:pPr>
      <w:r>
        <w:t xml:space="preserve">Kosta asked about an email from Nikolay Lipskiy (CDC) asking about a vision for FHIMS including sharing value sets (SVS) use cases and modeling efforts.  Steve W mentioned that FHIMS does have a vision for having a Terminology domain and he has recently received inquiries from VA and </w:t>
      </w:r>
      <w:proofErr w:type="spellStart"/>
      <w:proofErr w:type="gramStart"/>
      <w:r>
        <w:t>DoD</w:t>
      </w:r>
      <w:proofErr w:type="spellEnd"/>
      <w:proofErr w:type="gramEnd"/>
      <w:r>
        <w:t xml:space="preserve"> as well as CDC.  Terminologists are needed to lead and participate in this domain.</w:t>
      </w:r>
    </w:p>
    <w:p w:rsidR="0056064C" w:rsidRDefault="0056064C" w:rsidP="0056064C">
      <w:pPr>
        <w:pStyle w:val="Heading1"/>
      </w:pPr>
      <w:r>
        <w:t>Action Items</w:t>
      </w:r>
    </w:p>
    <w:tbl>
      <w:tblPr>
        <w:tblStyle w:val="TableGrid"/>
        <w:tblW w:w="10585" w:type="dxa"/>
        <w:tblLook w:val="04A0"/>
      </w:tblPr>
      <w:tblGrid>
        <w:gridCol w:w="1230"/>
        <w:gridCol w:w="948"/>
        <w:gridCol w:w="7158"/>
        <w:gridCol w:w="1249"/>
      </w:tblGrid>
      <w:tr w:rsidR="00D143EE" w:rsidRPr="009211E3" w:rsidTr="007B0F5C">
        <w:trPr>
          <w:cantSplit/>
          <w:tblHeader/>
        </w:trPr>
        <w:tc>
          <w:tcPr>
            <w:tcW w:w="1230" w:type="dxa"/>
            <w:shd w:val="clear" w:color="auto" w:fill="B8CCE4" w:themeFill="accent1" w:themeFillTint="66"/>
          </w:tcPr>
          <w:p w:rsidR="00D143EE" w:rsidRPr="009211E3" w:rsidRDefault="00D143EE" w:rsidP="00BE57FF">
            <w:pPr>
              <w:spacing w:after="0"/>
            </w:pPr>
            <w:r w:rsidRPr="009211E3">
              <w:t>Start Date</w:t>
            </w:r>
          </w:p>
        </w:tc>
        <w:tc>
          <w:tcPr>
            <w:tcW w:w="948" w:type="dxa"/>
            <w:shd w:val="clear" w:color="auto" w:fill="B8CCE4" w:themeFill="accent1" w:themeFillTint="66"/>
          </w:tcPr>
          <w:p w:rsidR="00D143EE" w:rsidRPr="009211E3" w:rsidRDefault="00D23801" w:rsidP="00BE57FF">
            <w:pPr>
              <w:spacing w:after="0"/>
            </w:pPr>
            <w:r>
              <w:t>Priority</w:t>
            </w:r>
          </w:p>
        </w:tc>
        <w:tc>
          <w:tcPr>
            <w:tcW w:w="7158" w:type="dxa"/>
            <w:shd w:val="clear" w:color="auto" w:fill="B8CCE4" w:themeFill="accent1" w:themeFillTint="66"/>
          </w:tcPr>
          <w:p w:rsidR="00D143EE" w:rsidRPr="009211E3" w:rsidRDefault="00D143EE" w:rsidP="00BE57FF">
            <w:pPr>
              <w:spacing w:after="0"/>
            </w:pPr>
            <w:r w:rsidRPr="009211E3">
              <w:t>Action Item</w:t>
            </w:r>
          </w:p>
        </w:tc>
        <w:tc>
          <w:tcPr>
            <w:tcW w:w="1249" w:type="dxa"/>
            <w:shd w:val="clear" w:color="auto" w:fill="B8CCE4" w:themeFill="accent1" w:themeFillTint="66"/>
          </w:tcPr>
          <w:p w:rsidR="00D143EE" w:rsidRPr="009211E3" w:rsidRDefault="00D143EE" w:rsidP="00BE57FF">
            <w:pPr>
              <w:spacing w:after="0"/>
            </w:pPr>
            <w:r w:rsidRPr="009211E3">
              <w:t>Status</w:t>
            </w:r>
          </w:p>
        </w:tc>
      </w:tr>
      <w:tr w:rsidR="00D23801" w:rsidRPr="009211E3" w:rsidTr="007B0F5C">
        <w:trPr>
          <w:cantSplit/>
        </w:trPr>
        <w:tc>
          <w:tcPr>
            <w:tcW w:w="1230" w:type="dxa"/>
          </w:tcPr>
          <w:p w:rsidR="00D23801" w:rsidRPr="00D23801" w:rsidRDefault="00D23801" w:rsidP="00D23801">
            <w:pPr>
              <w:spacing w:after="0"/>
              <w:rPr>
                <w:color w:val="0070C0"/>
              </w:rPr>
            </w:pPr>
            <w:r w:rsidRPr="00D23801">
              <w:rPr>
                <w:color w:val="0070C0"/>
              </w:rPr>
              <w:t>11/22/10</w:t>
            </w:r>
          </w:p>
        </w:tc>
        <w:tc>
          <w:tcPr>
            <w:tcW w:w="948" w:type="dxa"/>
          </w:tcPr>
          <w:p w:rsidR="00D23801" w:rsidRPr="00D23801" w:rsidRDefault="00D23801" w:rsidP="00D23801">
            <w:pPr>
              <w:spacing w:after="0"/>
              <w:rPr>
                <w:color w:val="0070C0"/>
              </w:rPr>
            </w:pPr>
            <w:r w:rsidRPr="00D23801">
              <w:rPr>
                <w:color w:val="0070C0"/>
              </w:rPr>
              <w:t>Low</w:t>
            </w:r>
          </w:p>
        </w:tc>
        <w:tc>
          <w:tcPr>
            <w:tcW w:w="7158" w:type="dxa"/>
          </w:tcPr>
          <w:p w:rsidR="00D23801" w:rsidRPr="00D23801" w:rsidRDefault="00D23801" w:rsidP="00D23801">
            <w:pPr>
              <w:pStyle w:val="Default"/>
              <w:rPr>
                <w:rFonts w:asciiTheme="minorHAnsi" w:hAnsiTheme="minorHAnsi" w:cstheme="minorBidi"/>
                <w:color w:val="0070C0"/>
                <w:sz w:val="22"/>
                <w:szCs w:val="22"/>
              </w:rPr>
            </w:pPr>
            <w:r w:rsidRPr="00D23801">
              <w:rPr>
                <w:rFonts w:asciiTheme="minorHAnsi" w:hAnsiTheme="minorHAnsi" w:cstheme="minorBidi"/>
                <w:color w:val="0070C0"/>
                <w:sz w:val="22"/>
                <w:szCs w:val="22"/>
              </w:rPr>
              <w:t xml:space="preserve">Mike-Wendy-Kosta-Galen: Define-clarify Specimen-Sample filler and placer order number, test identifier, placer group number and </w:t>
            </w:r>
            <w:proofErr w:type="spellStart"/>
            <w:r w:rsidRPr="00D23801">
              <w:rPr>
                <w:rFonts w:asciiTheme="minorHAnsi" w:hAnsiTheme="minorHAnsi" w:cstheme="minorBidi"/>
                <w:color w:val="0070C0"/>
                <w:sz w:val="22"/>
                <w:szCs w:val="22"/>
              </w:rPr>
              <w:t>universalServiceIdentifier</w:t>
            </w:r>
            <w:proofErr w:type="spellEnd"/>
            <w:r w:rsidRPr="00D23801">
              <w:rPr>
                <w:rFonts w:asciiTheme="minorHAnsi" w:hAnsiTheme="minorHAnsi" w:cstheme="minorBidi"/>
                <w:color w:val="0070C0"/>
                <w:sz w:val="22"/>
                <w:szCs w:val="22"/>
              </w:rPr>
              <w:t>. Pathology Laboratory uses specs from DICOM (Supplement 122) to describe the various units (specimen, accession number, etc) in their workflow.</w:t>
            </w:r>
          </w:p>
        </w:tc>
        <w:tc>
          <w:tcPr>
            <w:tcW w:w="1249" w:type="dxa"/>
          </w:tcPr>
          <w:p w:rsidR="00D23801" w:rsidRPr="00D23801" w:rsidRDefault="00D23801" w:rsidP="00D23801">
            <w:pPr>
              <w:spacing w:after="0"/>
              <w:rPr>
                <w:color w:val="0070C0"/>
              </w:rPr>
            </w:pPr>
            <w:r w:rsidRPr="00D23801">
              <w:rPr>
                <w:color w:val="0070C0"/>
              </w:rPr>
              <w:t>In process</w:t>
            </w:r>
          </w:p>
        </w:tc>
      </w:tr>
      <w:tr w:rsidR="00D23801" w:rsidRPr="009211E3" w:rsidTr="007B0F5C">
        <w:trPr>
          <w:cantSplit/>
        </w:trPr>
        <w:tc>
          <w:tcPr>
            <w:tcW w:w="1230" w:type="dxa"/>
          </w:tcPr>
          <w:p w:rsidR="00D23801" w:rsidRPr="00D23801" w:rsidRDefault="00D23801" w:rsidP="00D23801">
            <w:pPr>
              <w:spacing w:after="0"/>
              <w:rPr>
                <w:color w:val="0070C0"/>
              </w:rPr>
            </w:pPr>
            <w:r w:rsidRPr="00D23801">
              <w:rPr>
                <w:color w:val="0070C0"/>
              </w:rPr>
              <w:t>11/22/10</w:t>
            </w:r>
          </w:p>
        </w:tc>
        <w:tc>
          <w:tcPr>
            <w:tcW w:w="948" w:type="dxa"/>
          </w:tcPr>
          <w:p w:rsidR="00D23801" w:rsidRPr="00D23801" w:rsidRDefault="00D23801" w:rsidP="00D23801">
            <w:pPr>
              <w:spacing w:after="0"/>
              <w:rPr>
                <w:color w:val="0070C0"/>
              </w:rPr>
            </w:pPr>
            <w:r w:rsidRPr="00D23801">
              <w:rPr>
                <w:color w:val="0070C0"/>
              </w:rPr>
              <w:t>Low</w:t>
            </w:r>
          </w:p>
        </w:tc>
        <w:tc>
          <w:tcPr>
            <w:tcW w:w="7158" w:type="dxa"/>
          </w:tcPr>
          <w:p w:rsidR="00D23801" w:rsidRPr="00D23801" w:rsidRDefault="00D23801" w:rsidP="00D23801">
            <w:pPr>
              <w:pStyle w:val="Default"/>
              <w:rPr>
                <w:rFonts w:asciiTheme="minorHAnsi" w:hAnsiTheme="minorHAnsi" w:cstheme="minorBidi"/>
                <w:color w:val="0070C0"/>
                <w:sz w:val="22"/>
                <w:szCs w:val="22"/>
              </w:rPr>
            </w:pPr>
            <w:r w:rsidRPr="00D23801">
              <w:rPr>
                <w:rFonts w:asciiTheme="minorHAnsi" w:hAnsiTheme="minorHAnsi" w:cstheme="minorBidi"/>
                <w:color w:val="0070C0"/>
                <w:sz w:val="22"/>
                <w:szCs w:val="22"/>
              </w:rPr>
              <w:t xml:space="preserve">Kosta-Steve : Services Aware Interoperability Framework and Lab-OO FHIMS relevance </w:t>
            </w:r>
          </w:p>
        </w:tc>
        <w:tc>
          <w:tcPr>
            <w:tcW w:w="1249" w:type="dxa"/>
          </w:tcPr>
          <w:p w:rsidR="00D23801" w:rsidRPr="00D23801" w:rsidRDefault="00D23801" w:rsidP="00D23801">
            <w:pPr>
              <w:spacing w:after="0"/>
              <w:rPr>
                <w:color w:val="0070C0"/>
              </w:rPr>
            </w:pPr>
            <w:r w:rsidRPr="00D23801">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11/15/10</w:t>
            </w:r>
          </w:p>
        </w:tc>
        <w:tc>
          <w:tcPr>
            <w:tcW w:w="948" w:type="dxa"/>
          </w:tcPr>
          <w:p w:rsidR="00D143EE" w:rsidRPr="007B0F5C" w:rsidRDefault="00D143EE" w:rsidP="00BE57FF">
            <w:pPr>
              <w:spacing w:after="0"/>
              <w:rPr>
                <w:color w:val="FF0000"/>
              </w:rPr>
            </w:pPr>
            <w:r w:rsidRPr="007B0F5C">
              <w:rPr>
                <w:color w:val="FF0000"/>
              </w:rPr>
              <w:t>High</w:t>
            </w:r>
          </w:p>
        </w:tc>
        <w:tc>
          <w:tcPr>
            <w:tcW w:w="7158" w:type="dxa"/>
          </w:tcPr>
          <w:p w:rsidR="00D143EE" w:rsidRPr="007B0F5C" w:rsidRDefault="00D143EE" w:rsidP="00D32587">
            <w:pPr>
              <w:spacing w:after="0"/>
              <w:rPr>
                <w:color w:val="FF0000"/>
              </w:rPr>
            </w:pPr>
            <w:r w:rsidRPr="007B0F5C">
              <w:rPr>
                <w:color w:val="FF0000"/>
              </w:rPr>
              <w:t>Mike, Cindy, Galen: Finalize definitions</w:t>
            </w:r>
            <w:r w:rsidR="00D32587" w:rsidRPr="007B0F5C">
              <w:rPr>
                <w:color w:val="FF0000"/>
              </w:rPr>
              <w:t xml:space="preserve"> for and use of</w:t>
            </w:r>
            <w:r w:rsidRPr="007B0F5C">
              <w:rPr>
                <w:color w:val="FF0000"/>
              </w:rPr>
              <w:t xml:space="preserve"> different identifiers &amp; numbers in lab </w:t>
            </w:r>
            <w:r w:rsidR="00D32587" w:rsidRPr="007B0F5C">
              <w:rPr>
                <w:color w:val="FF0000"/>
              </w:rPr>
              <w:t xml:space="preserve">domain </w:t>
            </w:r>
            <w:r w:rsidRPr="007B0F5C">
              <w:rPr>
                <w:color w:val="FF0000"/>
              </w:rPr>
              <w:t>- filler order number, placer order number, group number, test identifier, etc.</w:t>
            </w:r>
          </w:p>
        </w:tc>
        <w:tc>
          <w:tcPr>
            <w:tcW w:w="1249" w:type="dxa"/>
          </w:tcPr>
          <w:p w:rsidR="00D143EE" w:rsidRPr="007B0F5C" w:rsidRDefault="00D143EE" w:rsidP="00BE57FF">
            <w:pPr>
              <w:spacing w:after="0"/>
              <w:rPr>
                <w:color w:val="FF0000"/>
              </w:rPr>
            </w:pP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11/8/10</w:t>
            </w:r>
          </w:p>
        </w:tc>
        <w:tc>
          <w:tcPr>
            <w:tcW w:w="948" w:type="dxa"/>
          </w:tcPr>
          <w:p w:rsidR="00D143EE" w:rsidRPr="007B0F5C" w:rsidRDefault="00D143EE" w:rsidP="00BE57FF">
            <w:pPr>
              <w:spacing w:after="0"/>
              <w:rPr>
                <w:color w:val="FF0000"/>
              </w:rPr>
            </w:pPr>
          </w:p>
        </w:tc>
        <w:tc>
          <w:tcPr>
            <w:tcW w:w="7158" w:type="dxa"/>
          </w:tcPr>
          <w:p w:rsidR="00D143EE" w:rsidRPr="007B0F5C" w:rsidRDefault="00D143EE" w:rsidP="00BE57FF">
            <w:pPr>
              <w:spacing w:after="0"/>
              <w:rPr>
                <w:color w:val="FF0000"/>
              </w:rPr>
            </w:pPr>
            <w:r w:rsidRPr="007B0F5C">
              <w:rPr>
                <w:color w:val="FF0000"/>
              </w:rPr>
              <w:t>Need to discuss different scenarios involving different people (ward clerk, nurses, physicians, physician's assistants, interns, etc) and who those people would be in a data exchange.</w:t>
            </w:r>
          </w:p>
        </w:tc>
        <w:tc>
          <w:tcPr>
            <w:tcW w:w="1249" w:type="dxa"/>
          </w:tcPr>
          <w:p w:rsidR="00D143EE" w:rsidRPr="007B0F5C" w:rsidRDefault="007B0F5C" w:rsidP="00BE57FF">
            <w:pPr>
              <w:spacing w:after="0"/>
              <w:rPr>
                <w:color w:val="FF0000"/>
              </w:rPr>
            </w:pPr>
            <w:r>
              <w:rPr>
                <w:color w:val="FF0000"/>
              </w:rPr>
              <w:t>Not started</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11/8/10</w:t>
            </w:r>
          </w:p>
        </w:tc>
        <w:tc>
          <w:tcPr>
            <w:tcW w:w="948" w:type="dxa"/>
          </w:tcPr>
          <w:p w:rsidR="00D143EE" w:rsidRPr="007B0F5C" w:rsidRDefault="007B0F5C" w:rsidP="00AA28DC">
            <w:pPr>
              <w:spacing w:after="0"/>
              <w:rPr>
                <w:color w:val="0070C0"/>
              </w:rPr>
            </w:pPr>
            <w:r w:rsidRPr="007B0F5C">
              <w:rPr>
                <w:color w:val="0070C0"/>
              </w:rPr>
              <w:t>Low</w:t>
            </w:r>
          </w:p>
        </w:tc>
        <w:tc>
          <w:tcPr>
            <w:tcW w:w="7158" w:type="dxa"/>
          </w:tcPr>
          <w:p w:rsidR="00D143EE" w:rsidRPr="007B0F5C" w:rsidRDefault="00D143EE" w:rsidP="00AA28DC">
            <w:pPr>
              <w:spacing w:after="0"/>
              <w:rPr>
                <w:color w:val="0070C0"/>
              </w:rPr>
            </w:pPr>
            <w:r w:rsidRPr="007B0F5C">
              <w:rPr>
                <w:color w:val="0070C0"/>
              </w:rPr>
              <w:t>Tim (ICLN) to determine if they would like to participate in FHIMS.</w:t>
            </w:r>
          </w:p>
        </w:tc>
        <w:tc>
          <w:tcPr>
            <w:tcW w:w="1249" w:type="dxa"/>
          </w:tcPr>
          <w:p w:rsidR="00D143EE" w:rsidRPr="007B0F5C" w:rsidRDefault="00D143EE" w:rsidP="00BE57FF">
            <w:pPr>
              <w:spacing w:after="0"/>
              <w:rPr>
                <w:color w:val="0070C0"/>
              </w:rPr>
            </w:pP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Cindy will update sample accessioning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7B0F5C" w:rsidTr="007B0F5C">
        <w:trPr>
          <w:cantSplit/>
        </w:trPr>
        <w:tc>
          <w:tcPr>
            <w:tcW w:w="1230" w:type="dxa"/>
          </w:tcPr>
          <w:p w:rsidR="00D143EE" w:rsidRPr="007B0F5C" w:rsidRDefault="00D143EE" w:rsidP="00BE57FF">
            <w:pPr>
              <w:spacing w:after="0"/>
              <w:rPr>
                <w:color w:val="0070C0"/>
              </w:rPr>
            </w:pPr>
            <w:r w:rsidRPr="007B0F5C">
              <w:rPr>
                <w:color w:val="0070C0"/>
              </w:rPr>
              <w:lastRenderedPageBreak/>
              <w:t>11/1/10</w:t>
            </w:r>
          </w:p>
        </w:tc>
        <w:tc>
          <w:tcPr>
            <w:tcW w:w="948" w:type="dxa"/>
          </w:tcPr>
          <w:p w:rsidR="00D143EE" w:rsidRPr="007B0F5C" w:rsidRDefault="00D143EE" w:rsidP="00BE57FF">
            <w:pPr>
              <w:spacing w:after="0"/>
              <w:rPr>
                <w:color w:val="0070C0"/>
              </w:rPr>
            </w:pPr>
          </w:p>
        </w:tc>
        <w:tc>
          <w:tcPr>
            <w:tcW w:w="7158" w:type="dxa"/>
          </w:tcPr>
          <w:p w:rsidR="00D143EE" w:rsidRPr="007B0F5C" w:rsidRDefault="00D143EE" w:rsidP="00BE57FF">
            <w:pPr>
              <w:spacing w:after="0"/>
              <w:rPr>
                <w:color w:val="0070C0"/>
              </w:rPr>
            </w:pPr>
            <w:r w:rsidRPr="007B0F5C">
              <w:rPr>
                <w:color w:val="0070C0"/>
              </w:rPr>
              <w:t>Anne will write up lab processes to include as additional scenarios.</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11/1/10</w:t>
            </w:r>
          </w:p>
        </w:tc>
        <w:tc>
          <w:tcPr>
            <w:tcW w:w="948" w:type="dxa"/>
          </w:tcPr>
          <w:p w:rsidR="00D143EE" w:rsidRPr="007B0F5C" w:rsidRDefault="00D143EE" w:rsidP="00BE57FF">
            <w:pPr>
              <w:spacing w:after="0"/>
              <w:rPr>
                <w:color w:val="FF0000"/>
              </w:rPr>
            </w:pPr>
          </w:p>
        </w:tc>
        <w:tc>
          <w:tcPr>
            <w:tcW w:w="7158" w:type="dxa"/>
          </w:tcPr>
          <w:p w:rsidR="00D143EE" w:rsidRPr="007B0F5C" w:rsidRDefault="00D143EE" w:rsidP="00BE57FF">
            <w:pPr>
              <w:spacing w:after="0"/>
              <w:rPr>
                <w:color w:val="FF0000"/>
              </w:rPr>
            </w:pPr>
            <w:r w:rsidRPr="007B0F5C">
              <w:rPr>
                <w:color w:val="FF0000"/>
              </w:rPr>
              <w:t>Cindy to identify and contact FBI person from LRN National Meeting for participation in the FHIMS Lab calls when we start doing Chain of Custody, slated for phase 2.</w:t>
            </w:r>
          </w:p>
        </w:tc>
        <w:tc>
          <w:tcPr>
            <w:tcW w:w="1249" w:type="dxa"/>
          </w:tcPr>
          <w:p w:rsidR="00D143EE" w:rsidRPr="007B0F5C" w:rsidRDefault="007B0F5C" w:rsidP="00BE57FF">
            <w:pPr>
              <w:spacing w:after="0"/>
              <w:rPr>
                <w:color w:val="FF0000"/>
              </w:rPr>
            </w:pPr>
            <w:r>
              <w:rPr>
                <w:color w:val="FF0000"/>
              </w:rPr>
              <w:t>Not started</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11/1/10</w:t>
            </w:r>
          </w:p>
        </w:tc>
        <w:tc>
          <w:tcPr>
            <w:tcW w:w="948" w:type="dxa"/>
          </w:tcPr>
          <w:p w:rsidR="00D143EE" w:rsidRPr="007B0F5C" w:rsidRDefault="007B0F5C" w:rsidP="00BE57FF">
            <w:pPr>
              <w:spacing w:after="0"/>
              <w:rPr>
                <w:color w:val="0070C0"/>
              </w:rPr>
            </w:pPr>
            <w:r w:rsidRPr="007B0F5C">
              <w:rPr>
                <w:color w:val="0070C0"/>
              </w:rPr>
              <w:t>Med</w:t>
            </w:r>
          </w:p>
        </w:tc>
        <w:tc>
          <w:tcPr>
            <w:tcW w:w="7158" w:type="dxa"/>
          </w:tcPr>
          <w:p w:rsidR="00D143EE" w:rsidRPr="007B0F5C" w:rsidRDefault="00D143EE" w:rsidP="00BE57FF">
            <w:pPr>
              <w:spacing w:after="0"/>
              <w:rPr>
                <w:color w:val="0070C0"/>
              </w:rPr>
            </w:pPr>
            <w:r w:rsidRPr="007B0F5C">
              <w:rPr>
                <w:color w:val="0070C0"/>
              </w:rPr>
              <w:t>Kosta to transform flowchart of outpatient scenario to BPRN.</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10/25/10</w:t>
            </w:r>
          </w:p>
        </w:tc>
        <w:tc>
          <w:tcPr>
            <w:tcW w:w="948" w:type="dxa"/>
          </w:tcPr>
          <w:p w:rsidR="00D143EE" w:rsidRPr="007B0F5C" w:rsidRDefault="007B0F5C" w:rsidP="00BE57FF">
            <w:pPr>
              <w:spacing w:after="0"/>
              <w:rPr>
                <w:color w:val="0070C0"/>
              </w:rPr>
            </w:pPr>
            <w:r w:rsidRPr="007B0F5C">
              <w:rPr>
                <w:color w:val="0070C0"/>
              </w:rPr>
              <w:t>Low</w:t>
            </w:r>
          </w:p>
        </w:tc>
        <w:tc>
          <w:tcPr>
            <w:tcW w:w="7158" w:type="dxa"/>
          </w:tcPr>
          <w:p w:rsidR="00D143EE" w:rsidRPr="007B0F5C" w:rsidRDefault="00D143EE" w:rsidP="00BE57FF">
            <w:pPr>
              <w:spacing w:after="0"/>
              <w:rPr>
                <w:color w:val="0070C0"/>
              </w:rPr>
            </w:pPr>
            <w:r w:rsidRPr="007B0F5C">
              <w:rPr>
                <w:color w:val="0070C0"/>
              </w:rPr>
              <w:t>Keep in touch with Ted Klein and get material and links</w:t>
            </w:r>
          </w:p>
          <w:p w:rsidR="00D143EE" w:rsidRPr="007B0F5C" w:rsidRDefault="00D143EE" w:rsidP="00AA28DC">
            <w:pPr>
              <w:pStyle w:val="ListParagraph"/>
              <w:numPr>
                <w:ilvl w:val="0"/>
                <w:numId w:val="10"/>
              </w:numPr>
              <w:spacing w:after="0"/>
              <w:rPr>
                <w:color w:val="0070C0"/>
              </w:rPr>
            </w:pPr>
            <w:r w:rsidRPr="007B0F5C">
              <w:rPr>
                <w:color w:val="0070C0"/>
              </w:rPr>
              <w:t>Update 11/1: Ted waiting for approval to release draft version of volume V</w:t>
            </w:r>
          </w:p>
        </w:tc>
        <w:tc>
          <w:tcPr>
            <w:tcW w:w="1249" w:type="dxa"/>
          </w:tcPr>
          <w:p w:rsidR="00D143EE" w:rsidRPr="007B0F5C" w:rsidRDefault="00D143EE" w:rsidP="00BE57FF">
            <w:pPr>
              <w:spacing w:after="0"/>
              <w:rPr>
                <w:color w:val="0070C0"/>
              </w:rPr>
            </w:pPr>
            <w:r w:rsidRPr="007B0F5C">
              <w:rPr>
                <w:color w:val="0070C0"/>
              </w:rPr>
              <w:t>In process</w:t>
            </w:r>
          </w:p>
        </w:tc>
      </w:tr>
      <w:tr w:rsidR="00D143EE" w:rsidRPr="009211E3" w:rsidTr="007B0F5C">
        <w:trPr>
          <w:cantSplit/>
        </w:trPr>
        <w:tc>
          <w:tcPr>
            <w:tcW w:w="1230" w:type="dxa"/>
          </w:tcPr>
          <w:p w:rsidR="00D143EE" w:rsidRPr="007B0F5C" w:rsidRDefault="00D143EE" w:rsidP="00BE57FF">
            <w:pPr>
              <w:spacing w:after="0"/>
              <w:rPr>
                <w:color w:val="00B050"/>
              </w:rPr>
            </w:pPr>
            <w:r w:rsidRPr="007B0F5C">
              <w:rPr>
                <w:color w:val="00B050"/>
              </w:rPr>
              <w:t>10/25/10</w:t>
            </w:r>
          </w:p>
        </w:tc>
        <w:tc>
          <w:tcPr>
            <w:tcW w:w="948" w:type="dxa"/>
          </w:tcPr>
          <w:p w:rsidR="00D143EE" w:rsidRPr="007B0F5C" w:rsidRDefault="007B0F5C" w:rsidP="00BE57FF">
            <w:pPr>
              <w:spacing w:after="0"/>
              <w:rPr>
                <w:color w:val="00B050"/>
              </w:rPr>
            </w:pPr>
            <w:r>
              <w:rPr>
                <w:color w:val="00B050"/>
              </w:rPr>
              <w:t>Low</w:t>
            </w:r>
          </w:p>
        </w:tc>
        <w:tc>
          <w:tcPr>
            <w:tcW w:w="7158" w:type="dxa"/>
          </w:tcPr>
          <w:p w:rsidR="00D143EE" w:rsidRPr="007B0F5C" w:rsidRDefault="00D143EE" w:rsidP="00BE57FF">
            <w:pPr>
              <w:spacing w:after="0"/>
              <w:rPr>
                <w:color w:val="00B050"/>
              </w:rPr>
            </w:pPr>
            <w:r w:rsidRPr="007B0F5C">
              <w:rPr>
                <w:color w:val="00B050"/>
              </w:rPr>
              <w:t xml:space="preserve">Kosta-Galen will organize the </w:t>
            </w:r>
            <w:proofErr w:type="spellStart"/>
            <w:r w:rsidRPr="007B0F5C">
              <w:rPr>
                <w:color w:val="00B050"/>
              </w:rPr>
              <w:t>OpenHealth</w:t>
            </w:r>
            <w:proofErr w:type="spellEnd"/>
            <w:r w:rsidRPr="007B0F5C">
              <w:rPr>
                <w:color w:val="00B050"/>
              </w:rPr>
              <w:t xml:space="preserve"> shared project space for Lab-OO</w:t>
            </w:r>
          </w:p>
          <w:p w:rsidR="00D143EE" w:rsidRPr="007B0F5C" w:rsidRDefault="00D143EE" w:rsidP="00AA28DC">
            <w:pPr>
              <w:pStyle w:val="ListParagraph"/>
              <w:numPr>
                <w:ilvl w:val="0"/>
                <w:numId w:val="10"/>
              </w:numPr>
              <w:spacing w:after="0"/>
              <w:rPr>
                <w:color w:val="00B050"/>
              </w:rPr>
            </w:pPr>
            <w:r w:rsidRPr="007B0F5C">
              <w:rPr>
                <w:color w:val="00B050"/>
              </w:rPr>
              <w:t xml:space="preserve">Update 11/1: Steve working on organizing the </w:t>
            </w:r>
            <w:proofErr w:type="spellStart"/>
            <w:r w:rsidRPr="007B0F5C">
              <w:rPr>
                <w:color w:val="00B050"/>
              </w:rPr>
              <w:t>OpenHealth</w:t>
            </w:r>
            <w:proofErr w:type="spellEnd"/>
            <w:r w:rsidRPr="007B0F5C">
              <w:rPr>
                <w:color w:val="00B050"/>
              </w:rPr>
              <w:t xml:space="preserve"> tools project space</w:t>
            </w:r>
          </w:p>
        </w:tc>
        <w:tc>
          <w:tcPr>
            <w:tcW w:w="1249" w:type="dxa"/>
          </w:tcPr>
          <w:p w:rsidR="00D143EE" w:rsidRPr="007B0F5C" w:rsidRDefault="00D143EE" w:rsidP="00BE57FF">
            <w:pPr>
              <w:spacing w:after="0"/>
              <w:rPr>
                <w:color w:val="00B050"/>
              </w:rPr>
            </w:pPr>
            <w:r w:rsidRPr="007B0F5C">
              <w:rPr>
                <w:color w:val="00B050"/>
              </w:rPr>
              <w:t>In process</w:t>
            </w:r>
          </w:p>
        </w:tc>
      </w:tr>
      <w:tr w:rsidR="00D143EE" w:rsidRPr="009211E3" w:rsidTr="007B0F5C">
        <w:trPr>
          <w:cantSplit/>
        </w:trPr>
        <w:tc>
          <w:tcPr>
            <w:tcW w:w="1230" w:type="dxa"/>
          </w:tcPr>
          <w:p w:rsidR="00D143EE" w:rsidRPr="007B0F5C" w:rsidRDefault="00D143EE" w:rsidP="00BE57FF">
            <w:pPr>
              <w:spacing w:after="0"/>
              <w:rPr>
                <w:color w:val="FF0000"/>
              </w:rPr>
            </w:pPr>
            <w:r w:rsidRPr="007B0F5C">
              <w:rPr>
                <w:color w:val="FF0000"/>
              </w:rPr>
              <w:t>10/25/10</w:t>
            </w:r>
          </w:p>
        </w:tc>
        <w:tc>
          <w:tcPr>
            <w:tcW w:w="948" w:type="dxa"/>
          </w:tcPr>
          <w:p w:rsidR="00D143EE" w:rsidRPr="007B0F5C" w:rsidRDefault="007B0F5C" w:rsidP="00BE57FF">
            <w:pPr>
              <w:spacing w:after="0"/>
              <w:rPr>
                <w:color w:val="FF0000"/>
              </w:rPr>
            </w:pPr>
            <w:r w:rsidRPr="007B0F5C">
              <w:rPr>
                <w:color w:val="FF0000"/>
              </w:rPr>
              <w:t>High</w:t>
            </w:r>
          </w:p>
        </w:tc>
        <w:tc>
          <w:tcPr>
            <w:tcW w:w="7158" w:type="dxa"/>
          </w:tcPr>
          <w:p w:rsidR="00D143EE" w:rsidRPr="007B0F5C" w:rsidRDefault="00D143EE" w:rsidP="00BE57FF">
            <w:pPr>
              <w:spacing w:after="0"/>
              <w:rPr>
                <w:color w:val="FF0000"/>
              </w:rPr>
            </w:pPr>
            <w:r w:rsidRPr="007B0F5C">
              <w:rPr>
                <w:color w:val="FF0000"/>
              </w:rPr>
              <w:t>Prepare for FHA leadership meeting to present FHIMS domains process</w:t>
            </w:r>
          </w:p>
        </w:tc>
        <w:tc>
          <w:tcPr>
            <w:tcW w:w="1249" w:type="dxa"/>
          </w:tcPr>
          <w:p w:rsidR="00D143EE" w:rsidRPr="007B0F5C" w:rsidRDefault="00D143EE" w:rsidP="00BE57FF">
            <w:pPr>
              <w:spacing w:after="0"/>
              <w:rPr>
                <w:color w:val="FF0000"/>
              </w:rPr>
            </w:pPr>
            <w:r w:rsidRPr="007B0F5C">
              <w:rPr>
                <w:color w:val="FF0000"/>
              </w:rPr>
              <w:t>In process</w:t>
            </w:r>
          </w:p>
        </w:tc>
      </w:tr>
      <w:tr w:rsidR="00D143EE" w:rsidRPr="009211E3" w:rsidTr="007B0F5C">
        <w:trPr>
          <w:cantSplit/>
        </w:trPr>
        <w:tc>
          <w:tcPr>
            <w:tcW w:w="1230" w:type="dxa"/>
          </w:tcPr>
          <w:p w:rsidR="00D143EE" w:rsidRPr="007B0F5C" w:rsidRDefault="00D143EE" w:rsidP="00BE57FF">
            <w:pPr>
              <w:spacing w:after="0"/>
              <w:rPr>
                <w:color w:val="0070C0"/>
              </w:rPr>
            </w:pPr>
            <w:r w:rsidRPr="007B0F5C">
              <w:rPr>
                <w:color w:val="0070C0"/>
              </w:rPr>
              <w:t>10/25/10</w:t>
            </w:r>
          </w:p>
        </w:tc>
        <w:tc>
          <w:tcPr>
            <w:tcW w:w="948" w:type="dxa"/>
          </w:tcPr>
          <w:p w:rsidR="00D143EE" w:rsidRPr="007B0F5C" w:rsidRDefault="007B0F5C" w:rsidP="00BE57FF">
            <w:pPr>
              <w:spacing w:after="0"/>
              <w:rPr>
                <w:color w:val="0070C0"/>
              </w:rPr>
            </w:pPr>
            <w:r>
              <w:rPr>
                <w:color w:val="0070C0"/>
              </w:rPr>
              <w:t>Med</w:t>
            </w:r>
          </w:p>
        </w:tc>
        <w:tc>
          <w:tcPr>
            <w:tcW w:w="7158" w:type="dxa"/>
          </w:tcPr>
          <w:p w:rsidR="00D143EE" w:rsidRPr="007B0F5C" w:rsidRDefault="00D143EE" w:rsidP="00BE57FF">
            <w:pPr>
              <w:spacing w:after="0"/>
              <w:rPr>
                <w:color w:val="0070C0"/>
              </w:rPr>
            </w:pPr>
            <w:r w:rsidRPr="007B0F5C">
              <w:rPr>
                <w:color w:val="0070C0"/>
              </w:rPr>
              <w:t xml:space="preserve">Contact laboratory experts, LIMS </w:t>
            </w:r>
            <w:proofErr w:type="spellStart"/>
            <w:r w:rsidRPr="007B0F5C">
              <w:rPr>
                <w:color w:val="0070C0"/>
              </w:rPr>
              <w:t>admins</w:t>
            </w:r>
            <w:proofErr w:type="spellEnd"/>
            <w:r w:rsidRPr="007B0F5C">
              <w:rPr>
                <w:color w:val="0070C0"/>
              </w:rPr>
              <w:t xml:space="preserve">, HL7 OO </w:t>
            </w:r>
            <w:proofErr w:type="spellStart"/>
            <w:r w:rsidRPr="007B0F5C">
              <w:rPr>
                <w:color w:val="0070C0"/>
              </w:rPr>
              <w:t>wg</w:t>
            </w:r>
            <w:proofErr w:type="spellEnd"/>
          </w:p>
          <w:p w:rsidR="00D143EE" w:rsidRPr="007B0F5C" w:rsidRDefault="00D143EE" w:rsidP="00AA28DC">
            <w:pPr>
              <w:pStyle w:val="ListParagraph"/>
              <w:numPr>
                <w:ilvl w:val="0"/>
                <w:numId w:val="10"/>
              </w:numPr>
              <w:spacing w:after="0"/>
              <w:rPr>
                <w:color w:val="0070C0"/>
              </w:rPr>
            </w:pPr>
            <w:r w:rsidRPr="007B0F5C">
              <w:rPr>
                <w:color w:val="0070C0"/>
              </w:rPr>
              <w:t>Update 11/1: HL7 OO WG information shared with interested participants</w:t>
            </w:r>
          </w:p>
        </w:tc>
        <w:tc>
          <w:tcPr>
            <w:tcW w:w="1249" w:type="dxa"/>
          </w:tcPr>
          <w:p w:rsidR="00D143EE" w:rsidRPr="007B0F5C" w:rsidRDefault="00D143EE" w:rsidP="00BE57FF">
            <w:pPr>
              <w:spacing w:after="0"/>
              <w:rPr>
                <w:color w:val="0070C0"/>
              </w:rPr>
            </w:pPr>
            <w:r w:rsidRPr="007B0F5C">
              <w:rPr>
                <w:color w:val="0070C0"/>
              </w:rPr>
              <w:t>In process</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11/09/10 </w:t>
            </w:r>
          </w:p>
        </w:tc>
        <w:tc>
          <w:tcPr>
            <w:tcW w:w="948" w:type="dxa"/>
          </w:tcPr>
          <w:p w:rsidR="007B0F5C" w:rsidRPr="007B0F5C" w:rsidRDefault="007B0F5C">
            <w:pPr>
              <w:pStyle w:val="Default"/>
              <w:rPr>
                <w:color w:val="0070C0"/>
                <w:sz w:val="20"/>
                <w:szCs w:val="20"/>
              </w:rPr>
            </w:pPr>
            <w:r>
              <w:rPr>
                <w:color w:val="0070C0"/>
                <w:sz w:val="20"/>
                <w:szCs w:val="20"/>
              </w:rPr>
              <w:t>Med</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 xml:space="preserve">Kosta to present relevant material for Automated Laboratory Management, FERN, </w:t>
            </w:r>
            <w:proofErr w:type="spellStart"/>
            <w:r w:rsidRPr="007B0F5C">
              <w:rPr>
                <w:color w:val="0070C0"/>
                <w:sz w:val="20"/>
                <w:szCs w:val="20"/>
              </w:rPr>
              <w:t>eLEXNET</w:t>
            </w:r>
            <w:proofErr w:type="spellEnd"/>
            <w:r w:rsidRPr="007B0F5C">
              <w:rPr>
                <w:color w:val="0070C0"/>
                <w:sz w:val="20"/>
                <w:szCs w:val="20"/>
              </w:rPr>
              <w:t xml:space="preserve">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r w:rsidR="007B0F5C" w:rsidRPr="009211E3" w:rsidTr="007B0F5C">
        <w:trPr>
          <w:cantSplit/>
        </w:trPr>
        <w:tc>
          <w:tcPr>
            <w:tcW w:w="1230" w:type="dxa"/>
          </w:tcPr>
          <w:p w:rsidR="007B0F5C" w:rsidRPr="007B0F5C" w:rsidRDefault="007B0F5C">
            <w:pPr>
              <w:pStyle w:val="Default"/>
              <w:rPr>
                <w:color w:val="0070C0"/>
                <w:sz w:val="20"/>
                <w:szCs w:val="20"/>
              </w:rPr>
            </w:pPr>
            <w:r w:rsidRPr="007B0F5C">
              <w:rPr>
                <w:color w:val="0070C0"/>
                <w:sz w:val="20"/>
                <w:szCs w:val="20"/>
              </w:rPr>
              <w:t xml:space="preserve">11/08/10 </w:t>
            </w:r>
          </w:p>
        </w:tc>
        <w:tc>
          <w:tcPr>
            <w:tcW w:w="948" w:type="dxa"/>
          </w:tcPr>
          <w:p w:rsidR="007B0F5C" w:rsidRPr="007B0F5C" w:rsidRDefault="007B0F5C">
            <w:pPr>
              <w:pStyle w:val="Default"/>
              <w:rPr>
                <w:color w:val="0070C0"/>
                <w:sz w:val="20"/>
                <w:szCs w:val="20"/>
              </w:rPr>
            </w:pPr>
            <w:r>
              <w:rPr>
                <w:color w:val="0070C0"/>
                <w:sz w:val="20"/>
                <w:szCs w:val="20"/>
              </w:rPr>
              <w:t>Low</w:t>
            </w:r>
            <w:r w:rsidRPr="007B0F5C">
              <w:rPr>
                <w:color w:val="0070C0"/>
                <w:sz w:val="20"/>
                <w:szCs w:val="20"/>
              </w:rPr>
              <w:t xml:space="preserve"> </w:t>
            </w:r>
          </w:p>
        </w:tc>
        <w:tc>
          <w:tcPr>
            <w:tcW w:w="7158" w:type="dxa"/>
          </w:tcPr>
          <w:p w:rsidR="007B0F5C" w:rsidRPr="007B0F5C" w:rsidRDefault="007B0F5C">
            <w:pPr>
              <w:pStyle w:val="Default"/>
              <w:rPr>
                <w:color w:val="0070C0"/>
                <w:sz w:val="20"/>
                <w:szCs w:val="20"/>
              </w:rPr>
            </w:pPr>
            <w:r w:rsidRPr="007B0F5C">
              <w:rPr>
                <w:color w:val="0070C0"/>
                <w:sz w:val="20"/>
                <w:szCs w:val="20"/>
              </w:rPr>
              <w:t>Galen to update weekly the FHIMS Lab-OO model and collaborate with Kosta to update about changes from baseline(map .</w:t>
            </w:r>
            <w:proofErr w:type="spellStart"/>
            <w:r w:rsidRPr="007B0F5C">
              <w:rPr>
                <w:color w:val="0070C0"/>
                <w:sz w:val="20"/>
                <w:szCs w:val="20"/>
              </w:rPr>
              <w:t>xls</w:t>
            </w:r>
            <w:proofErr w:type="spellEnd"/>
            <w:r w:rsidRPr="007B0F5C">
              <w:rPr>
                <w:color w:val="0070C0"/>
                <w:sz w:val="20"/>
                <w:szCs w:val="20"/>
              </w:rPr>
              <w:t xml:space="preserve">-overview) </w:t>
            </w:r>
          </w:p>
        </w:tc>
        <w:tc>
          <w:tcPr>
            <w:tcW w:w="1249" w:type="dxa"/>
          </w:tcPr>
          <w:p w:rsidR="007B0F5C" w:rsidRPr="007B0F5C" w:rsidRDefault="007B0F5C">
            <w:pPr>
              <w:pStyle w:val="Default"/>
              <w:rPr>
                <w:color w:val="0070C0"/>
                <w:sz w:val="20"/>
                <w:szCs w:val="20"/>
              </w:rPr>
            </w:pPr>
            <w:r w:rsidRPr="007B0F5C">
              <w:rPr>
                <w:color w:val="0070C0"/>
                <w:sz w:val="20"/>
                <w:szCs w:val="20"/>
              </w:rPr>
              <w:t xml:space="preserve">In process </w:t>
            </w:r>
          </w:p>
        </w:tc>
      </w:tr>
    </w:tbl>
    <w:p w:rsidR="0056064C" w:rsidRDefault="0056064C" w:rsidP="00BE57FF"/>
    <w:p w:rsidR="00D23801" w:rsidRDefault="00D23801" w:rsidP="00D23801">
      <w:pPr>
        <w:pStyle w:val="Heading1"/>
      </w:pPr>
      <w:r>
        <w:t>Completed/Not Tracked Action Items</w:t>
      </w:r>
    </w:p>
    <w:tbl>
      <w:tblPr>
        <w:tblStyle w:val="TableGrid"/>
        <w:tblW w:w="10585" w:type="dxa"/>
        <w:tblLook w:val="04A0"/>
      </w:tblPr>
      <w:tblGrid>
        <w:gridCol w:w="1230"/>
        <w:gridCol w:w="948"/>
        <w:gridCol w:w="7158"/>
        <w:gridCol w:w="1249"/>
      </w:tblGrid>
      <w:tr w:rsidR="00D23801" w:rsidRPr="009211E3" w:rsidTr="00346A86">
        <w:trPr>
          <w:cantSplit/>
          <w:tblHeader/>
        </w:trPr>
        <w:tc>
          <w:tcPr>
            <w:tcW w:w="1230" w:type="dxa"/>
            <w:shd w:val="clear" w:color="auto" w:fill="B8CCE4" w:themeFill="accent1" w:themeFillTint="66"/>
          </w:tcPr>
          <w:p w:rsidR="00D23801" w:rsidRPr="009211E3" w:rsidRDefault="00D23801" w:rsidP="00346A86">
            <w:pPr>
              <w:spacing w:after="0"/>
            </w:pPr>
            <w:r w:rsidRPr="009211E3">
              <w:t>Start Date</w:t>
            </w:r>
          </w:p>
        </w:tc>
        <w:tc>
          <w:tcPr>
            <w:tcW w:w="948" w:type="dxa"/>
            <w:shd w:val="clear" w:color="auto" w:fill="B8CCE4" w:themeFill="accent1" w:themeFillTint="66"/>
          </w:tcPr>
          <w:p w:rsidR="00D23801" w:rsidRPr="009211E3" w:rsidRDefault="00D23801" w:rsidP="00346A86">
            <w:pPr>
              <w:spacing w:after="0"/>
            </w:pPr>
            <w:r>
              <w:t>Priority</w:t>
            </w:r>
          </w:p>
        </w:tc>
        <w:tc>
          <w:tcPr>
            <w:tcW w:w="7158" w:type="dxa"/>
            <w:shd w:val="clear" w:color="auto" w:fill="B8CCE4" w:themeFill="accent1" w:themeFillTint="66"/>
          </w:tcPr>
          <w:p w:rsidR="00D23801" w:rsidRPr="009211E3" w:rsidRDefault="00D23801" w:rsidP="00346A86">
            <w:pPr>
              <w:spacing w:after="0"/>
            </w:pPr>
            <w:r w:rsidRPr="009211E3">
              <w:t>Action Item</w:t>
            </w:r>
          </w:p>
        </w:tc>
        <w:tc>
          <w:tcPr>
            <w:tcW w:w="1249" w:type="dxa"/>
            <w:shd w:val="clear" w:color="auto" w:fill="B8CCE4" w:themeFill="accent1" w:themeFillTint="66"/>
          </w:tcPr>
          <w:p w:rsidR="00D23801" w:rsidRPr="009211E3" w:rsidRDefault="00D23801" w:rsidP="00346A86">
            <w:pPr>
              <w:spacing w:after="0"/>
            </w:pPr>
            <w:r w:rsidRPr="009211E3">
              <w:t>Status</w:t>
            </w:r>
          </w:p>
        </w:tc>
      </w:tr>
      <w:tr w:rsidR="00D23801" w:rsidRPr="009211E3" w:rsidTr="00346A86">
        <w:trPr>
          <w:cantSplit/>
        </w:trPr>
        <w:tc>
          <w:tcPr>
            <w:tcW w:w="1230" w:type="dxa"/>
          </w:tcPr>
          <w:p w:rsidR="00D23801" w:rsidRPr="007B0F5C" w:rsidRDefault="00D23801" w:rsidP="00346A86">
            <w:pPr>
              <w:spacing w:after="0"/>
              <w:rPr>
                <w:color w:val="A6A6A6" w:themeColor="background1" w:themeShade="A6"/>
              </w:rPr>
            </w:pPr>
            <w:r w:rsidRPr="007B0F5C">
              <w:rPr>
                <w:color w:val="A6A6A6" w:themeColor="background1" w:themeShade="A6"/>
              </w:rPr>
              <w:t>11/8/10</w:t>
            </w:r>
          </w:p>
        </w:tc>
        <w:tc>
          <w:tcPr>
            <w:tcW w:w="948" w:type="dxa"/>
          </w:tcPr>
          <w:p w:rsidR="00D23801" w:rsidRPr="007B0F5C" w:rsidRDefault="00D23801" w:rsidP="00346A86">
            <w:pPr>
              <w:spacing w:after="0"/>
              <w:rPr>
                <w:color w:val="A6A6A6" w:themeColor="background1" w:themeShade="A6"/>
              </w:rPr>
            </w:pPr>
          </w:p>
        </w:tc>
        <w:tc>
          <w:tcPr>
            <w:tcW w:w="7158" w:type="dxa"/>
          </w:tcPr>
          <w:p w:rsidR="00D23801" w:rsidRPr="007B0F5C" w:rsidRDefault="00D23801" w:rsidP="00346A86">
            <w:pPr>
              <w:spacing w:after="0"/>
              <w:rPr>
                <w:color w:val="A6A6A6" w:themeColor="background1" w:themeShade="A6"/>
              </w:rPr>
            </w:pPr>
            <w:r w:rsidRPr="007B0F5C">
              <w:rPr>
                <w:color w:val="A6A6A6" w:themeColor="background1" w:themeShade="A6"/>
              </w:rPr>
              <w:t>Tim (ICLN) to discuss with DHS the sharing of the Actionable Data Elements spreadsheets with definition.</w:t>
            </w:r>
          </w:p>
        </w:tc>
        <w:tc>
          <w:tcPr>
            <w:tcW w:w="1249" w:type="dxa"/>
          </w:tcPr>
          <w:p w:rsidR="00D23801" w:rsidRPr="007B0F5C" w:rsidRDefault="00D23801" w:rsidP="00346A86">
            <w:pPr>
              <w:spacing w:after="0"/>
              <w:rPr>
                <w:color w:val="A6A6A6" w:themeColor="background1" w:themeShade="A6"/>
              </w:rPr>
            </w:pPr>
            <w:r w:rsidRPr="007B0F5C">
              <w:rPr>
                <w:color w:val="A6A6A6" w:themeColor="background1" w:themeShade="A6"/>
              </w:rPr>
              <w:t>Not tracked</w:t>
            </w:r>
          </w:p>
        </w:tc>
      </w:tr>
      <w:tr w:rsidR="00D23801" w:rsidRPr="009211E3" w:rsidTr="00346A86">
        <w:trPr>
          <w:cantSplit/>
        </w:trPr>
        <w:tc>
          <w:tcPr>
            <w:tcW w:w="1230" w:type="dxa"/>
          </w:tcPr>
          <w:p w:rsidR="00D23801" w:rsidRPr="007B0F5C" w:rsidRDefault="00D23801" w:rsidP="00346A86">
            <w:pPr>
              <w:spacing w:after="0"/>
              <w:rPr>
                <w:color w:val="00B050"/>
              </w:rPr>
            </w:pPr>
            <w:r w:rsidRPr="007B0F5C">
              <w:rPr>
                <w:color w:val="00B050"/>
              </w:rPr>
              <w:t>11/1/10</w:t>
            </w:r>
          </w:p>
        </w:tc>
        <w:tc>
          <w:tcPr>
            <w:tcW w:w="948" w:type="dxa"/>
          </w:tcPr>
          <w:p w:rsidR="00D23801" w:rsidRPr="007B0F5C" w:rsidRDefault="00D23801" w:rsidP="00346A86">
            <w:pPr>
              <w:spacing w:after="0"/>
              <w:rPr>
                <w:color w:val="00B050"/>
              </w:rPr>
            </w:pPr>
          </w:p>
        </w:tc>
        <w:tc>
          <w:tcPr>
            <w:tcW w:w="7158" w:type="dxa"/>
          </w:tcPr>
          <w:p w:rsidR="00D23801" w:rsidRPr="007B0F5C" w:rsidRDefault="00D23801" w:rsidP="00346A86">
            <w:pPr>
              <w:spacing w:after="0"/>
              <w:rPr>
                <w:color w:val="00B050"/>
              </w:rPr>
            </w:pPr>
            <w:r w:rsidRPr="007B0F5C">
              <w:rPr>
                <w:color w:val="00B050"/>
              </w:rPr>
              <w:t>Cindy to share meeting information for the next meeting when it is sent by the co-chairs.</w:t>
            </w:r>
          </w:p>
        </w:tc>
        <w:tc>
          <w:tcPr>
            <w:tcW w:w="1249" w:type="dxa"/>
          </w:tcPr>
          <w:p w:rsidR="00D23801" w:rsidRPr="007B0F5C" w:rsidRDefault="00D23801" w:rsidP="00346A86">
            <w:pPr>
              <w:spacing w:after="0"/>
              <w:rPr>
                <w:color w:val="00B050"/>
              </w:rPr>
            </w:pPr>
            <w:r w:rsidRPr="007B0F5C">
              <w:rPr>
                <w:color w:val="00B050"/>
              </w:rPr>
              <w:t>Completed</w:t>
            </w:r>
          </w:p>
        </w:tc>
      </w:tr>
      <w:tr w:rsidR="00D23801" w:rsidRPr="009211E3" w:rsidTr="00346A86">
        <w:trPr>
          <w:cantSplit/>
        </w:trPr>
        <w:tc>
          <w:tcPr>
            <w:tcW w:w="1230" w:type="dxa"/>
          </w:tcPr>
          <w:p w:rsidR="00D23801" w:rsidRPr="007B0F5C" w:rsidRDefault="00D23801" w:rsidP="00346A86">
            <w:pPr>
              <w:spacing w:after="0"/>
              <w:rPr>
                <w:color w:val="00B050"/>
              </w:rPr>
            </w:pPr>
            <w:r w:rsidRPr="007B0F5C">
              <w:rPr>
                <w:color w:val="00B050"/>
              </w:rPr>
              <w:t>11/1/10</w:t>
            </w:r>
          </w:p>
        </w:tc>
        <w:tc>
          <w:tcPr>
            <w:tcW w:w="948" w:type="dxa"/>
          </w:tcPr>
          <w:p w:rsidR="00D23801" w:rsidRPr="007B0F5C" w:rsidRDefault="00D23801" w:rsidP="00346A86">
            <w:pPr>
              <w:spacing w:after="0"/>
              <w:rPr>
                <w:color w:val="00B050"/>
              </w:rPr>
            </w:pPr>
          </w:p>
        </w:tc>
        <w:tc>
          <w:tcPr>
            <w:tcW w:w="7158" w:type="dxa"/>
          </w:tcPr>
          <w:p w:rsidR="00D23801" w:rsidRPr="007B0F5C" w:rsidRDefault="00D23801" w:rsidP="00346A86">
            <w:pPr>
              <w:spacing w:after="0"/>
              <w:rPr>
                <w:color w:val="00B050"/>
              </w:rPr>
            </w:pPr>
            <w:r w:rsidRPr="007B0F5C">
              <w:rPr>
                <w:color w:val="00B050"/>
              </w:rPr>
              <w:t>Cindy to send flow chart PDF to Anne Pollack</w:t>
            </w:r>
          </w:p>
        </w:tc>
        <w:tc>
          <w:tcPr>
            <w:tcW w:w="1249" w:type="dxa"/>
          </w:tcPr>
          <w:p w:rsidR="00D23801" w:rsidRPr="007B0F5C" w:rsidRDefault="00D23801" w:rsidP="00346A86">
            <w:pPr>
              <w:spacing w:after="0"/>
              <w:rPr>
                <w:color w:val="00B050"/>
              </w:rPr>
            </w:pPr>
            <w:r w:rsidRPr="007B0F5C">
              <w:rPr>
                <w:color w:val="00B050"/>
              </w:rPr>
              <w:t>Completed</w:t>
            </w:r>
          </w:p>
        </w:tc>
      </w:tr>
    </w:tbl>
    <w:p w:rsidR="00D23801" w:rsidRDefault="00D23801" w:rsidP="00BE57FF"/>
    <w:p w:rsidR="00346A86" w:rsidRDefault="00346A86" w:rsidP="00346A86">
      <w:pPr>
        <w:pStyle w:val="Heading1"/>
      </w:pPr>
      <w:r>
        <w:t>Agenda Next Call: December 6, 2010</w:t>
      </w:r>
    </w:p>
    <w:p w:rsidR="00346A86" w:rsidRDefault="00346A86" w:rsidP="00346A86">
      <w:pPr>
        <w:pStyle w:val="Default"/>
        <w:numPr>
          <w:ilvl w:val="0"/>
          <w:numId w:val="14"/>
        </w:numPr>
        <w:rPr>
          <w:sz w:val="22"/>
          <w:szCs w:val="22"/>
        </w:rPr>
      </w:pPr>
      <w:r>
        <w:rPr>
          <w:sz w:val="22"/>
          <w:szCs w:val="22"/>
        </w:rPr>
        <w:t xml:space="preserve">ALL-Kosta-Cindy-Anne: Discuss use case and scenarios(UML,BPMN-Visio/RSA),15-20’ </w:t>
      </w:r>
    </w:p>
    <w:p w:rsidR="00346A86" w:rsidRDefault="00346A86" w:rsidP="00BE57FF"/>
    <w:sectPr w:rsidR="00346A86" w:rsidSect="00664F24">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2451E5"/>
    <w:multiLevelType w:val="hybridMultilevel"/>
    <w:tmpl w:val="86B40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DD0E77"/>
    <w:multiLevelType w:val="hybridMultilevel"/>
    <w:tmpl w:val="3954A9DA"/>
    <w:lvl w:ilvl="0" w:tplc="04090003">
      <w:start w:val="1"/>
      <w:numFmt w:val="bullet"/>
      <w:lvlText w:val="o"/>
      <w:lvlJc w:val="left"/>
      <w:pPr>
        <w:ind w:left="720" w:hanging="360"/>
      </w:pPr>
      <w:rPr>
        <w:rFonts w:ascii="Courier New" w:hAnsi="Courier New" w:cs="Courier New" w:hint="default"/>
      </w:rPr>
    </w:lvl>
    <w:lvl w:ilvl="1" w:tplc="AF225E64">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55866"/>
    <w:multiLevelType w:val="hybridMultilevel"/>
    <w:tmpl w:val="FCA4D8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4B700C"/>
    <w:multiLevelType w:val="hybridMultilevel"/>
    <w:tmpl w:val="192AC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D8749F"/>
    <w:multiLevelType w:val="hybridMultilevel"/>
    <w:tmpl w:val="95FA4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7C76CBD"/>
    <w:multiLevelType w:val="hybridMultilevel"/>
    <w:tmpl w:val="0EDEB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585214"/>
    <w:multiLevelType w:val="hybridMultilevel"/>
    <w:tmpl w:val="0B46BFBA"/>
    <w:lvl w:ilvl="0" w:tplc="04090001">
      <w:start w:val="1"/>
      <w:numFmt w:val="bullet"/>
      <w:lvlText w:val=""/>
      <w:lvlJc w:val="left"/>
      <w:pPr>
        <w:ind w:left="360" w:hanging="360"/>
      </w:pPr>
      <w:rPr>
        <w:rFonts w:ascii="Symbol" w:hAnsi="Symbol" w:hint="default"/>
      </w:rPr>
    </w:lvl>
    <w:lvl w:ilvl="1" w:tplc="EBA24ADA">
      <w:numFmt w:val="bullet"/>
      <w:lvlText w:val="•"/>
      <w:lvlJc w:val="left"/>
      <w:pPr>
        <w:ind w:left="1080" w:hanging="360"/>
      </w:pPr>
      <w:rPr>
        <w:rFonts w:ascii="Calibri" w:eastAsiaTheme="minorHAnsi" w:hAnsi="Calibri"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BD71600"/>
    <w:multiLevelType w:val="hybridMultilevel"/>
    <w:tmpl w:val="4BDA50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DA41500"/>
    <w:multiLevelType w:val="hybridMultilevel"/>
    <w:tmpl w:val="BB182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E87331F"/>
    <w:multiLevelType w:val="hybridMultilevel"/>
    <w:tmpl w:val="4BF46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F30060"/>
    <w:multiLevelType w:val="hybridMultilevel"/>
    <w:tmpl w:val="4D7FFEF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695F3139"/>
    <w:multiLevelType w:val="hybridMultilevel"/>
    <w:tmpl w:val="B250394A"/>
    <w:lvl w:ilvl="0" w:tplc="04090001">
      <w:start w:val="1"/>
      <w:numFmt w:val="bullet"/>
      <w:lvlText w:val=""/>
      <w:lvlJc w:val="left"/>
      <w:pPr>
        <w:ind w:left="360" w:hanging="360"/>
      </w:pPr>
      <w:rPr>
        <w:rFonts w:ascii="Symbol" w:hAnsi="Symbol" w:hint="default"/>
      </w:rPr>
    </w:lvl>
    <w:lvl w:ilvl="1" w:tplc="43AC9C56">
      <w:numFmt w:val="bullet"/>
      <w:lvlText w:val="•"/>
      <w:lvlJc w:val="left"/>
      <w:pPr>
        <w:ind w:left="1080" w:hanging="360"/>
      </w:pPr>
      <w:rPr>
        <w:rFonts w:ascii="Arial" w:eastAsiaTheme="minorHAnsi"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C0E1EF5"/>
    <w:multiLevelType w:val="hybridMultilevel"/>
    <w:tmpl w:val="CA44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32CF0E"/>
    <w:multiLevelType w:val="hybridMultilevel"/>
    <w:tmpl w:val="047DC3B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7D3A7273"/>
    <w:multiLevelType w:val="hybridMultilevel"/>
    <w:tmpl w:val="C8FA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13"/>
  </w:num>
  <w:num w:numId="4">
    <w:abstractNumId w:val="2"/>
  </w:num>
  <w:num w:numId="5">
    <w:abstractNumId w:val="12"/>
  </w:num>
  <w:num w:numId="6">
    <w:abstractNumId w:val="0"/>
  </w:num>
  <w:num w:numId="7">
    <w:abstractNumId w:val="4"/>
  </w:num>
  <w:num w:numId="8">
    <w:abstractNumId w:val="8"/>
  </w:num>
  <w:num w:numId="9">
    <w:abstractNumId w:val="9"/>
  </w:num>
  <w:num w:numId="10">
    <w:abstractNumId w:val="5"/>
  </w:num>
  <w:num w:numId="11">
    <w:abstractNumId w:val="7"/>
  </w:num>
  <w:num w:numId="12">
    <w:abstractNumId w:val="1"/>
  </w:num>
  <w:num w:numId="13">
    <w:abstractNumId w:val="6"/>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52567A"/>
    <w:rsid w:val="00003968"/>
    <w:rsid w:val="000112A6"/>
    <w:rsid w:val="00067752"/>
    <w:rsid w:val="00095B77"/>
    <w:rsid w:val="000A3951"/>
    <w:rsid w:val="00135141"/>
    <w:rsid w:val="001407CE"/>
    <w:rsid w:val="0016773B"/>
    <w:rsid w:val="001C5129"/>
    <w:rsid w:val="001E514A"/>
    <w:rsid w:val="00200024"/>
    <w:rsid w:val="002021B1"/>
    <w:rsid w:val="002176BC"/>
    <w:rsid w:val="002360D2"/>
    <w:rsid w:val="002955BD"/>
    <w:rsid w:val="00307302"/>
    <w:rsid w:val="00346A86"/>
    <w:rsid w:val="003B1A7D"/>
    <w:rsid w:val="003F2E52"/>
    <w:rsid w:val="003F6954"/>
    <w:rsid w:val="004311D1"/>
    <w:rsid w:val="00443E14"/>
    <w:rsid w:val="004C01CF"/>
    <w:rsid w:val="004C4B44"/>
    <w:rsid w:val="005036F7"/>
    <w:rsid w:val="0051170C"/>
    <w:rsid w:val="0052567A"/>
    <w:rsid w:val="00530EAA"/>
    <w:rsid w:val="00533F78"/>
    <w:rsid w:val="005404E8"/>
    <w:rsid w:val="0056064C"/>
    <w:rsid w:val="00576F39"/>
    <w:rsid w:val="006116D2"/>
    <w:rsid w:val="00616E1D"/>
    <w:rsid w:val="006301AA"/>
    <w:rsid w:val="006318E9"/>
    <w:rsid w:val="006370BE"/>
    <w:rsid w:val="00647828"/>
    <w:rsid w:val="00664F24"/>
    <w:rsid w:val="006809B6"/>
    <w:rsid w:val="006B5735"/>
    <w:rsid w:val="006C2EF5"/>
    <w:rsid w:val="006C31CC"/>
    <w:rsid w:val="007073A1"/>
    <w:rsid w:val="00727260"/>
    <w:rsid w:val="0074070A"/>
    <w:rsid w:val="007B0F5C"/>
    <w:rsid w:val="00815421"/>
    <w:rsid w:val="00816247"/>
    <w:rsid w:val="008238A4"/>
    <w:rsid w:val="00855101"/>
    <w:rsid w:val="008B136A"/>
    <w:rsid w:val="008C312E"/>
    <w:rsid w:val="00905333"/>
    <w:rsid w:val="009073F6"/>
    <w:rsid w:val="0092063B"/>
    <w:rsid w:val="009211E3"/>
    <w:rsid w:val="009A36FA"/>
    <w:rsid w:val="009D2D99"/>
    <w:rsid w:val="00A825B0"/>
    <w:rsid w:val="00AA28DC"/>
    <w:rsid w:val="00AF5675"/>
    <w:rsid w:val="00AF625A"/>
    <w:rsid w:val="00B14C86"/>
    <w:rsid w:val="00B312F5"/>
    <w:rsid w:val="00B43930"/>
    <w:rsid w:val="00BA435F"/>
    <w:rsid w:val="00BE23F7"/>
    <w:rsid w:val="00BE57FF"/>
    <w:rsid w:val="00C105E0"/>
    <w:rsid w:val="00C21EB9"/>
    <w:rsid w:val="00C23730"/>
    <w:rsid w:val="00CD2DE9"/>
    <w:rsid w:val="00CF1F27"/>
    <w:rsid w:val="00D01A72"/>
    <w:rsid w:val="00D143EE"/>
    <w:rsid w:val="00D23801"/>
    <w:rsid w:val="00D31991"/>
    <w:rsid w:val="00D32587"/>
    <w:rsid w:val="00D465EF"/>
    <w:rsid w:val="00D46B3F"/>
    <w:rsid w:val="00D6425D"/>
    <w:rsid w:val="00D74194"/>
    <w:rsid w:val="00D75AD3"/>
    <w:rsid w:val="00DB4759"/>
    <w:rsid w:val="00DE1B9A"/>
    <w:rsid w:val="00E22AFC"/>
    <w:rsid w:val="00EB1D29"/>
    <w:rsid w:val="00EE175E"/>
    <w:rsid w:val="00EE660C"/>
    <w:rsid w:val="00EF4FD0"/>
    <w:rsid w:val="00F11C91"/>
    <w:rsid w:val="00F2608D"/>
    <w:rsid w:val="00F617CB"/>
    <w:rsid w:val="00F625C1"/>
    <w:rsid w:val="00F938B8"/>
    <w:rsid w:val="00F94416"/>
    <w:rsid w:val="00FB2D59"/>
    <w:rsid w:val="00FD1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F78"/>
    <w:pPr>
      <w:spacing w:after="60" w:line="240" w:lineRule="auto"/>
    </w:pPr>
  </w:style>
  <w:style w:type="paragraph" w:styleId="Heading1">
    <w:name w:val="heading 1"/>
    <w:basedOn w:val="Normal"/>
    <w:next w:val="Normal"/>
    <w:link w:val="Heading1Char"/>
    <w:uiPriority w:val="9"/>
    <w:qFormat/>
    <w:rsid w:val="00D01A7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6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07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A7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C2EF5"/>
    <w:pPr>
      <w:contextualSpacing/>
    </w:pPr>
  </w:style>
  <w:style w:type="paragraph" w:customStyle="1" w:styleId="Default">
    <w:name w:val="Default"/>
    <w:rsid w:val="0052567A"/>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52567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70BE"/>
    <w:rPr>
      <w:color w:val="0000FF" w:themeColor="hyperlink"/>
      <w:u w:val="single"/>
    </w:rPr>
  </w:style>
  <w:style w:type="paragraph" w:styleId="DocumentMap">
    <w:name w:val="Document Map"/>
    <w:basedOn w:val="Normal"/>
    <w:link w:val="DocumentMapChar"/>
    <w:uiPriority w:val="99"/>
    <w:semiHidden/>
    <w:unhideWhenUsed/>
    <w:rsid w:val="0072726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27260"/>
    <w:rPr>
      <w:rFonts w:ascii="Tahoma" w:hAnsi="Tahoma" w:cs="Tahoma"/>
      <w:sz w:val="16"/>
      <w:szCs w:val="16"/>
    </w:rPr>
  </w:style>
  <w:style w:type="character" w:styleId="FollowedHyperlink">
    <w:name w:val="FollowedHyperlink"/>
    <w:basedOn w:val="DefaultParagraphFont"/>
    <w:uiPriority w:val="99"/>
    <w:semiHidden/>
    <w:unhideWhenUsed/>
    <w:rsid w:val="00647828"/>
    <w:rPr>
      <w:color w:val="800080" w:themeColor="followedHyperlink"/>
      <w:u w:val="single"/>
    </w:rPr>
  </w:style>
  <w:style w:type="table" w:styleId="TableGrid">
    <w:name w:val="Table Grid"/>
    <w:basedOn w:val="TableNormal"/>
    <w:uiPriority w:val="59"/>
    <w:rsid w:val="009211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4070A"/>
    <w:rPr>
      <w:rFonts w:asciiTheme="majorHAnsi" w:eastAsiaTheme="majorEastAsia" w:hAnsiTheme="majorHAnsi" w:cstheme="majorBidi"/>
      <w:b/>
      <w:bCs/>
      <w:color w:val="4F81BD" w:themeColor="accent1"/>
    </w:rPr>
  </w:style>
  <w:style w:type="paragraph" w:customStyle="1" w:styleId="FreeFormA">
    <w:name w:val="Free Form A"/>
    <w:basedOn w:val="Default"/>
    <w:next w:val="Default"/>
    <w:uiPriority w:val="99"/>
    <w:rsid w:val="00F11C91"/>
    <w:rPr>
      <w:color w:val="auto"/>
    </w:rPr>
  </w:style>
  <w:style w:type="paragraph" w:styleId="Title">
    <w:name w:val="Title"/>
    <w:basedOn w:val="Normal"/>
    <w:next w:val="Normal"/>
    <w:link w:val="TitleChar"/>
    <w:uiPriority w:val="10"/>
    <w:qFormat/>
    <w:rsid w:val="00BA435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435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A435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A435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ojects.openhealthtools.org/sf/projects/fhim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B2716-291C-4D88-890B-7C346B973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CDC</Company>
  <LinksUpToDate>false</LinksUpToDate>
  <CharactersWithSpaces>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cdv2</dc:creator>
  <cp:keywords/>
  <dc:description/>
  <cp:lastModifiedBy>cdv2</cp:lastModifiedBy>
  <cp:revision>14</cp:revision>
  <dcterms:created xsi:type="dcterms:W3CDTF">2010-11-29T15:07:00Z</dcterms:created>
  <dcterms:modified xsi:type="dcterms:W3CDTF">2010-11-30T17:29:00Z</dcterms:modified>
</cp:coreProperties>
</file>