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4F" w:rsidRPr="00515A46" w:rsidRDefault="00246806">
      <w:pPr>
        <w:rPr>
          <w:b/>
        </w:rPr>
      </w:pPr>
      <w:bookmarkStart w:id="0" w:name="_Hlk494280844"/>
      <w:r w:rsidRPr="00515A46">
        <w:rPr>
          <w:b/>
        </w:rPr>
        <w:t>Allergy Domain Terminologies</w:t>
      </w:r>
    </w:p>
    <w:p w:rsidR="00515A46" w:rsidRDefault="00241BD3">
      <w:bookmarkStart w:id="1" w:name="_Hlk494279484"/>
      <w:r>
        <w:t xml:space="preserve">This document lists the elements </w:t>
      </w:r>
      <w:r w:rsidR="00515A46">
        <w:t xml:space="preserve">identified as coded properties in the </w:t>
      </w:r>
      <w:r>
        <w:t xml:space="preserve">FHIM </w:t>
      </w:r>
      <w:r w:rsidR="00515A46">
        <w:t xml:space="preserve">Allergy &amp; Intolerance domain. They are captured from existing standards – in this case, C-CDA and FHIR. </w:t>
      </w:r>
      <w:r>
        <w:t xml:space="preserve">(V2 core does not address allergies.) </w:t>
      </w:r>
      <w:r w:rsidR="00515A46">
        <w:t xml:space="preserve">The FHIM publishes both bindings, but </w:t>
      </w:r>
      <w:r w:rsidR="00515A46" w:rsidRPr="00C84DA8">
        <w:rPr>
          <w:u w:val="single"/>
        </w:rPr>
        <w:t>we propose that the owning work group</w:t>
      </w:r>
      <w:r w:rsidR="00C84DA8">
        <w:rPr>
          <w:u w:val="single"/>
        </w:rPr>
        <w:t>s</w:t>
      </w:r>
      <w:r w:rsidR="00515A46" w:rsidRPr="00C84DA8">
        <w:rPr>
          <w:u w:val="single"/>
        </w:rPr>
        <w:t xml:space="preserve"> harmonize</w:t>
      </w:r>
      <w:r w:rsidR="00515A46">
        <w:t xml:space="preserve"> them, in whatever fashion seems appropriate, so that </w:t>
      </w:r>
      <w:r w:rsidR="00BD733F">
        <w:t xml:space="preserve">the respective synonymous elements use shared </w:t>
      </w:r>
      <w:r w:rsidR="00515A46">
        <w:t>value set</w:t>
      </w:r>
      <w:r w:rsidR="00BD733F">
        <w:t>s</w:t>
      </w:r>
      <w:r w:rsidR="00515A46">
        <w:t xml:space="preserve"> to support common understanding of the data irrespective of the format in which it is shared.</w:t>
      </w:r>
    </w:p>
    <w:p w:rsidR="00246806" w:rsidRDefault="00515A46">
      <w:r>
        <w:t xml:space="preserve">In cases where we have two value sets and we wish to select one as the single standard for common understanding, we have identified several selection criteria. These criteria should be ranked by priority </w:t>
      </w:r>
      <w:proofErr w:type="gramStart"/>
      <w:r>
        <w:t>in order to</w:t>
      </w:r>
      <w:proofErr w:type="gramEnd"/>
      <w:r>
        <w:t xml:space="preserve"> support a more transparent and </w:t>
      </w:r>
      <w:r w:rsidR="00D80C1E">
        <w:t>collaborative selection process.</w:t>
      </w:r>
      <w:r w:rsidR="00E44D45">
        <w:t xml:space="preserve"> There may be cases where thorough consideration suggests that neither value set is ideal, and one or the other might be modified to provide the best available solution</w:t>
      </w:r>
      <w:r w:rsidR="00C84DA8">
        <w:t xml:space="preserve"> for both specifications</w:t>
      </w:r>
      <w:r w:rsidR="00E44D45">
        <w:t>.</w:t>
      </w:r>
    </w:p>
    <w:p w:rsidR="00E44D45" w:rsidRDefault="00E44D45">
      <w:r>
        <w:t>Selection criteria:</w:t>
      </w:r>
    </w:p>
    <w:p w:rsidR="004370BD" w:rsidRDefault="004370BD" w:rsidP="00246806">
      <w:pPr>
        <w:pStyle w:val="ListParagraph"/>
        <w:numPr>
          <w:ilvl w:val="0"/>
          <w:numId w:val="3"/>
        </w:numPr>
      </w:pPr>
      <w:r>
        <w:t>Clarity of meaning and correctness of terms</w:t>
      </w:r>
    </w:p>
    <w:p w:rsidR="00246806" w:rsidRDefault="00246806" w:rsidP="00246806">
      <w:pPr>
        <w:pStyle w:val="ListParagraph"/>
        <w:numPr>
          <w:ilvl w:val="0"/>
          <w:numId w:val="3"/>
        </w:numPr>
      </w:pPr>
      <w:r>
        <w:t>Legibility</w:t>
      </w:r>
    </w:p>
    <w:p w:rsidR="004370BD" w:rsidRDefault="00BD733F" w:rsidP="004370BD">
      <w:pPr>
        <w:pStyle w:val="ListParagraph"/>
        <w:numPr>
          <w:ilvl w:val="0"/>
          <w:numId w:val="3"/>
        </w:numPr>
      </w:pPr>
      <w:r>
        <w:t>Size of i</w:t>
      </w:r>
      <w:r w:rsidR="00246806">
        <w:t>nstalled base</w:t>
      </w:r>
      <w:r>
        <w:t xml:space="preserve"> &amp; cost of change</w:t>
      </w:r>
    </w:p>
    <w:p w:rsidR="00515A46" w:rsidRDefault="00515A46" w:rsidP="004370BD">
      <w:pPr>
        <w:pStyle w:val="ListParagraph"/>
        <w:numPr>
          <w:ilvl w:val="0"/>
          <w:numId w:val="3"/>
        </w:numPr>
      </w:pPr>
      <w:r>
        <w:t xml:space="preserve">Licensing </w:t>
      </w:r>
    </w:p>
    <w:p w:rsidR="00515A46" w:rsidRDefault="00515A46" w:rsidP="004370BD">
      <w:pPr>
        <w:pStyle w:val="ListParagraph"/>
        <w:numPr>
          <w:ilvl w:val="0"/>
          <w:numId w:val="3"/>
        </w:numPr>
      </w:pPr>
      <w:r>
        <w:t>Realm-specific concerns</w:t>
      </w:r>
      <w:r w:rsidR="00BD733F">
        <w:t xml:space="preserve"> (including legibility)</w:t>
      </w:r>
    </w:p>
    <w:p w:rsidR="00BD733F" w:rsidRDefault="00BD733F" w:rsidP="004370BD">
      <w:pPr>
        <w:pStyle w:val="ListParagraph"/>
        <w:numPr>
          <w:ilvl w:val="0"/>
          <w:numId w:val="3"/>
        </w:numPr>
      </w:pPr>
      <w:r>
        <w:t>Support for logical inference</w:t>
      </w:r>
    </w:p>
    <w:bookmarkEnd w:id="0"/>
    <w:bookmarkEnd w:id="1"/>
    <w:p w:rsidR="003A19EE" w:rsidRDefault="003A19EE" w:rsidP="003A19EE">
      <w:r>
        <w:t xml:space="preserve">Note that for large value sets (reaction, substance), there is a </w:t>
      </w:r>
      <w:r>
        <w:t>conflict between two uses of value sets: to ensure that captured or received information is valid (value set</w:t>
      </w:r>
      <w:r>
        <w:t xml:space="preserve"> is as inclusive as possible</w:t>
      </w:r>
      <w:r>
        <w:t>) and to support efficient processes, whether manual or automated (value set</w:t>
      </w:r>
      <w:r>
        <w:t xml:space="preserve"> is small and manageable</w:t>
      </w:r>
      <w:r>
        <w:t>).</w:t>
      </w:r>
      <w:r>
        <w:t xml:space="preserve"> </w:t>
      </w:r>
      <w:proofErr w:type="gramStart"/>
      <w:r>
        <w:t>However</w:t>
      </w:r>
      <w:proofErr w:type="gramEnd"/>
      <w:r>
        <w:t xml:space="preserve"> the implementation design groups implement this distinction, it may be important for the steward workgroup to define both.</w:t>
      </w:r>
    </w:p>
    <w:p w:rsidR="00246806" w:rsidRPr="00246806" w:rsidRDefault="00246806">
      <w:pPr>
        <w:rPr>
          <w:b/>
        </w:rPr>
      </w:pPr>
      <w:r w:rsidRPr="00246806">
        <w:rPr>
          <w:b/>
        </w:rPr>
        <w:t>Criticality</w:t>
      </w:r>
    </w:p>
    <w:p w:rsidR="003A3095" w:rsidRDefault="00246806" w:rsidP="003A3095">
      <w:r>
        <w:t xml:space="preserve">C-CDA and FHIR have the same </w:t>
      </w:r>
      <w:r w:rsidR="006C6832">
        <w:t>concepts</w:t>
      </w:r>
      <w:r>
        <w:t xml:space="preserve"> but use different codes. </w:t>
      </w:r>
    </w:p>
    <w:tbl>
      <w:tblPr>
        <w:tblStyle w:val="TableGrid"/>
        <w:tblW w:w="0" w:type="auto"/>
        <w:tblLook w:val="04A0" w:firstRow="1" w:lastRow="0" w:firstColumn="1" w:lastColumn="0" w:noHBand="0" w:noVBand="1"/>
      </w:tblPr>
      <w:tblGrid>
        <w:gridCol w:w="1998"/>
        <w:gridCol w:w="2793"/>
        <w:gridCol w:w="1950"/>
        <w:gridCol w:w="2609"/>
      </w:tblGrid>
      <w:tr w:rsidR="006C6832" w:rsidRPr="003A3095" w:rsidTr="005524AC">
        <w:tc>
          <w:tcPr>
            <w:tcW w:w="4791" w:type="dxa"/>
            <w:gridSpan w:val="2"/>
            <w:shd w:val="clear" w:color="auto" w:fill="D9D9D9" w:themeFill="background1" w:themeFillShade="D9"/>
          </w:tcPr>
          <w:p w:rsidR="006C6832" w:rsidRPr="003A3095" w:rsidRDefault="00DF1CF3" w:rsidP="003A3095">
            <w:pPr>
              <w:rPr>
                <w:b/>
              </w:rPr>
            </w:pPr>
            <w:hyperlink r:id="rId5" w:history="1">
              <w:r w:rsidR="006C6832" w:rsidRPr="003A3095">
                <w:rPr>
                  <w:rStyle w:val="Hyperlink"/>
                  <w:b/>
                </w:rPr>
                <w:t>C-CDA</w:t>
              </w:r>
            </w:hyperlink>
            <w:r w:rsidR="006C6832" w:rsidRPr="003A3095">
              <w:rPr>
                <w:b/>
              </w:rPr>
              <w:t xml:space="preserve"> </w:t>
            </w:r>
            <w:r w:rsidR="006C6832">
              <w:rPr>
                <w:b/>
              </w:rPr>
              <w:t>Value (</w:t>
            </w:r>
            <w:proofErr w:type="spellStart"/>
            <w:r w:rsidR="006C6832">
              <w:rPr>
                <w:b/>
              </w:rPr>
              <w:t>ObservationValue</w:t>
            </w:r>
            <w:proofErr w:type="spellEnd"/>
            <w:r w:rsidR="006C6832">
              <w:rPr>
                <w:b/>
              </w:rPr>
              <w:t>)</w:t>
            </w:r>
          </w:p>
        </w:tc>
        <w:tc>
          <w:tcPr>
            <w:tcW w:w="4559" w:type="dxa"/>
            <w:gridSpan w:val="2"/>
            <w:shd w:val="clear" w:color="auto" w:fill="D9D9D9" w:themeFill="background1" w:themeFillShade="D9"/>
          </w:tcPr>
          <w:p w:rsidR="006C6832" w:rsidRPr="003A3095" w:rsidRDefault="00DF1CF3" w:rsidP="003A3095">
            <w:pPr>
              <w:rPr>
                <w:b/>
              </w:rPr>
            </w:pPr>
            <w:hyperlink r:id="rId6" w:history="1">
              <w:r w:rsidR="006C6832" w:rsidRPr="003A3095">
                <w:rPr>
                  <w:rStyle w:val="Hyperlink"/>
                  <w:b/>
                </w:rPr>
                <w:t>FHIR</w:t>
              </w:r>
            </w:hyperlink>
            <w:r w:rsidR="006C6832" w:rsidRPr="003A3095">
              <w:rPr>
                <w:b/>
              </w:rPr>
              <w:t xml:space="preserve"> </w:t>
            </w:r>
            <w:r w:rsidR="006C6832">
              <w:rPr>
                <w:b/>
              </w:rPr>
              <w:t>Value (</w:t>
            </w:r>
            <w:r w:rsidR="006C6832" w:rsidRPr="006C6832">
              <w:rPr>
                <w:b/>
              </w:rPr>
              <w:t>allergy-intolerance-criticality</w:t>
            </w:r>
            <w:r w:rsidR="006C6832">
              <w:rPr>
                <w:b/>
              </w:rPr>
              <w:t>)</w:t>
            </w:r>
          </w:p>
        </w:tc>
      </w:tr>
      <w:tr w:rsidR="003A3095" w:rsidTr="006C6832">
        <w:tc>
          <w:tcPr>
            <w:tcW w:w="1998" w:type="dxa"/>
          </w:tcPr>
          <w:p w:rsidR="003A3095" w:rsidRPr="003347F5" w:rsidRDefault="003A3095" w:rsidP="003A3095">
            <w:r w:rsidRPr="003347F5">
              <w:t>CRITH</w:t>
            </w:r>
          </w:p>
        </w:tc>
        <w:tc>
          <w:tcPr>
            <w:tcW w:w="2793" w:type="dxa"/>
          </w:tcPr>
          <w:p w:rsidR="003A3095" w:rsidRPr="003347F5" w:rsidRDefault="003A3095" w:rsidP="003A3095">
            <w:r w:rsidRPr="003347F5">
              <w:t>high criticality</w:t>
            </w:r>
          </w:p>
        </w:tc>
        <w:tc>
          <w:tcPr>
            <w:tcW w:w="1950" w:type="dxa"/>
          </w:tcPr>
          <w:p w:rsidR="003A3095" w:rsidRPr="005551BB" w:rsidRDefault="006C6832" w:rsidP="003A3095">
            <w:r>
              <w:t>h</w:t>
            </w:r>
            <w:r w:rsidR="003A3095" w:rsidRPr="005551BB">
              <w:t>igh</w:t>
            </w:r>
          </w:p>
        </w:tc>
        <w:tc>
          <w:tcPr>
            <w:tcW w:w="2609" w:type="dxa"/>
          </w:tcPr>
          <w:p w:rsidR="003A3095" w:rsidRPr="005551BB" w:rsidRDefault="003A3095" w:rsidP="003A3095">
            <w:r w:rsidRPr="005551BB">
              <w:t>High Risk</w:t>
            </w:r>
          </w:p>
        </w:tc>
      </w:tr>
      <w:tr w:rsidR="003A3095" w:rsidTr="006C6832">
        <w:tc>
          <w:tcPr>
            <w:tcW w:w="1998" w:type="dxa"/>
          </w:tcPr>
          <w:p w:rsidR="003A3095" w:rsidRPr="003347F5" w:rsidRDefault="003A3095" w:rsidP="003A3095">
            <w:r w:rsidRPr="003347F5">
              <w:t>CRITL</w:t>
            </w:r>
          </w:p>
        </w:tc>
        <w:tc>
          <w:tcPr>
            <w:tcW w:w="2793" w:type="dxa"/>
          </w:tcPr>
          <w:p w:rsidR="003A3095" w:rsidRPr="003347F5" w:rsidRDefault="003A3095" w:rsidP="003A3095">
            <w:r w:rsidRPr="003347F5">
              <w:t>low criticality</w:t>
            </w:r>
          </w:p>
        </w:tc>
        <w:tc>
          <w:tcPr>
            <w:tcW w:w="1950" w:type="dxa"/>
          </w:tcPr>
          <w:p w:rsidR="003A3095" w:rsidRPr="005551BB" w:rsidRDefault="003A3095" w:rsidP="003A3095">
            <w:r w:rsidRPr="005551BB">
              <w:t>low</w:t>
            </w:r>
          </w:p>
        </w:tc>
        <w:tc>
          <w:tcPr>
            <w:tcW w:w="2609" w:type="dxa"/>
          </w:tcPr>
          <w:p w:rsidR="003A3095" w:rsidRPr="005551BB" w:rsidRDefault="003A3095" w:rsidP="003A3095">
            <w:r w:rsidRPr="005551BB">
              <w:t>Low Risk</w:t>
            </w:r>
          </w:p>
        </w:tc>
      </w:tr>
      <w:tr w:rsidR="003A3095" w:rsidTr="006C6832">
        <w:tc>
          <w:tcPr>
            <w:tcW w:w="1998" w:type="dxa"/>
          </w:tcPr>
          <w:p w:rsidR="003A3095" w:rsidRPr="003347F5" w:rsidRDefault="003A3095" w:rsidP="003A3095">
            <w:r w:rsidRPr="003347F5">
              <w:t>CRITU</w:t>
            </w:r>
          </w:p>
        </w:tc>
        <w:tc>
          <w:tcPr>
            <w:tcW w:w="2793" w:type="dxa"/>
          </w:tcPr>
          <w:p w:rsidR="003A3095" w:rsidRPr="003347F5" w:rsidRDefault="003A3095" w:rsidP="003A3095">
            <w:r w:rsidRPr="003347F5">
              <w:t>unable to assess criticality</w:t>
            </w:r>
          </w:p>
        </w:tc>
        <w:tc>
          <w:tcPr>
            <w:tcW w:w="1950" w:type="dxa"/>
          </w:tcPr>
          <w:p w:rsidR="003A3095" w:rsidRPr="005551BB" w:rsidRDefault="003A3095" w:rsidP="003A3095">
            <w:r w:rsidRPr="005551BB">
              <w:t>unable-to-assess</w:t>
            </w:r>
          </w:p>
        </w:tc>
        <w:tc>
          <w:tcPr>
            <w:tcW w:w="2609" w:type="dxa"/>
          </w:tcPr>
          <w:p w:rsidR="003A3095" w:rsidRDefault="003A3095" w:rsidP="003A3095">
            <w:r w:rsidRPr="005551BB">
              <w:t>Unable to Assess Risk</w:t>
            </w:r>
          </w:p>
        </w:tc>
      </w:tr>
    </w:tbl>
    <w:p w:rsidR="003A3095" w:rsidRDefault="003A3095" w:rsidP="003A3095"/>
    <w:p w:rsidR="003A3095" w:rsidRPr="003A3095" w:rsidRDefault="003A3095" w:rsidP="003A3095">
      <w:pPr>
        <w:rPr>
          <w:b/>
        </w:rPr>
      </w:pPr>
      <w:r w:rsidRPr="003A3095">
        <w:rPr>
          <w:b/>
        </w:rPr>
        <w:t>Category</w:t>
      </w:r>
    </w:p>
    <w:p w:rsidR="003A3095" w:rsidRDefault="003A3095" w:rsidP="003A3095">
      <w:r>
        <w:t xml:space="preserve">FHIR specifies physiological mechanism and substance category; C-CDA </w:t>
      </w:r>
      <w:proofErr w:type="spellStart"/>
      <w:r>
        <w:t>precoordinates</w:t>
      </w:r>
      <w:proofErr w:type="spellEnd"/>
      <w:r>
        <w:t xml:space="preserve"> these in </w:t>
      </w:r>
      <w:r w:rsidR="003A19EE">
        <w:t>a single</w:t>
      </w:r>
      <w:r>
        <w:t xml:space="preserve"> </w:t>
      </w:r>
      <w:r w:rsidR="00500C0C">
        <w:t xml:space="preserve">“type” </w:t>
      </w:r>
      <w:r>
        <w:t>element.</w:t>
      </w:r>
      <w:r w:rsidR="001636E6">
        <w:t xml:space="preserve"> The FHIR design is more expressive, but many combinations are of limited usefulness.</w:t>
      </w:r>
    </w:p>
    <w:p w:rsidR="003A3095" w:rsidRDefault="004370BD" w:rsidP="003A3095">
      <w:r>
        <w:t>Confirm need for type. Is “allergy” a proxy for criticality</w:t>
      </w:r>
      <w:r w:rsidR="00DF1CF3">
        <w:t>, which we record anyway, or is there a use case for needing to make this distinction</w:t>
      </w:r>
      <w:r>
        <w:t xml:space="preserve">? </w:t>
      </w:r>
    </w:p>
    <w:p w:rsidR="004370BD" w:rsidRDefault="004370BD" w:rsidP="003A3095">
      <w:r>
        <w:t xml:space="preserve">Confirm the need for </w:t>
      </w:r>
      <w:r w:rsidR="00DF1CF3">
        <w:t xml:space="preserve">substance classification </w:t>
      </w:r>
      <w:r>
        <w:t>code. Substance is already captured; classification might be inferred.</w:t>
      </w:r>
    </w:p>
    <w:p w:rsidR="005C0ED4" w:rsidRDefault="00DF1CF3" w:rsidP="003A3095">
      <w:r>
        <w:lastRenderedPageBreak/>
        <w:t>If neither is needed, remove.</w:t>
      </w:r>
      <w:r>
        <w:t xml:space="preserve"> </w:t>
      </w:r>
      <w:r w:rsidR="004370BD">
        <w:t>If one is needed, converge both standards on the one. If both are needed, converge the standards on one pattern</w:t>
      </w:r>
      <w:r>
        <w:t xml:space="preserve"> or, s</w:t>
      </w:r>
      <w:r w:rsidR="00B721DD">
        <w:t xml:space="preserve">ince this involves a structural divergence, the best option may be a </w:t>
      </w:r>
      <w:r w:rsidR="005C0ED4">
        <w:t>mapping</w:t>
      </w:r>
      <w:r w:rsidR="00B721DD">
        <w:t>. Such a mapping would need to handle cases where one value set supports values for which the other has no equivalent.</w:t>
      </w:r>
    </w:p>
    <w:tbl>
      <w:tblPr>
        <w:tblStyle w:val="TableGrid"/>
        <w:tblW w:w="0" w:type="auto"/>
        <w:tblLook w:val="04A0" w:firstRow="1" w:lastRow="0" w:firstColumn="1" w:lastColumn="0" w:noHBand="0" w:noVBand="1"/>
      </w:tblPr>
      <w:tblGrid>
        <w:gridCol w:w="2065"/>
        <w:gridCol w:w="6840"/>
      </w:tblGrid>
      <w:tr w:rsidR="005C0ED4" w:rsidTr="00B758B6">
        <w:tc>
          <w:tcPr>
            <w:tcW w:w="8905" w:type="dxa"/>
            <w:gridSpan w:val="2"/>
            <w:shd w:val="clear" w:color="auto" w:fill="D9D9D9" w:themeFill="background1" w:themeFillShade="D9"/>
          </w:tcPr>
          <w:p w:rsidR="005C0ED4" w:rsidRPr="001636E6" w:rsidRDefault="00DF1CF3" w:rsidP="00EB172C">
            <w:pPr>
              <w:rPr>
                <w:b/>
              </w:rPr>
            </w:pPr>
            <w:hyperlink r:id="rId7" w:history="1">
              <w:r w:rsidR="005C0ED4" w:rsidRPr="001636E6">
                <w:rPr>
                  <w:rStyle w:val="Hyperlink"/>
                  <w:b/>
                </w:rPr>
                <w:t>C-CDA</w:t>
              </w:r>
            </w:hyperlink>
            <w:r w:rsidR="005C0ED4" w:rsidRPr="001636E6">
              <w:rPr>
                <w:b/>
              </w:rPr>
              <w:t xml:space="preserve"> </w:t>
            </w:r>
            <w:r w:rsidR="005C0ED4">
              <w:rPr>
                <w:b/>
              </w:rPr>
              <w:t>Value</w:t>
            </w:r>
          </w:p>
        </w:tc>
      </w:tr>
      <w:tr w:rsidR="001636E6" w:rsidTr="001636E6">
        <w:tc>
          <w:tcPr>
            <w:tcW w:w="2065" w:type="dxa"/>
          </w:tcPr>
          <w:p w:rsidR="001636E6" w:rsidRPr="00246C56" w:rsidRDefault="001636E6" w:rsidP="00EB172C">
            <w:r w:rsidRPr="00246C56">
              <w:t>235719002</w:t>
            </w:r>
          </w:p>
        </w:tc>
        <w:tc>
          <w:tcPr>
            <w:tcW w:w="6840" w:type="dxa"/>
          </w:tcPr>
          <w:p w:rsidR="001636E6" w:rsidRPr="00246C56" w:rsidRDefault="001636E6" w:rsidP="00EB172C">
            <w:r w:rsidRPr="00246C56">
              <w:t>Food intolerance (disorder)</w:t>
            </w:r>
          </w:p>
        </w:tc>
      </w:tr>
      <w:tr w:rsidR="001636E6" w:rsidTr="001636E6">
        <w:tc>
          <w:tcPr>
            <w:tcW w:w="2065" w:type="dxa"/>
          </w:tcPr>
          <w:p w:rsidR="001636E6" w:rsidRPr="00246C56" w:rsidRDefault="001636E6" w:rsidP="00EB172C">
            <w:r w:rsidRPr="00246C56">
              <w:t>414285001</w:t>
            </w:r>
          </w:p>
        </w:tc>
        <w:tc>
          <w:tcPr>
            <w:tcW w:w="6840" w:type="dxa"/>
          </w:tcPr>
          <w:p w:rsidR="001636E6" w:rsidRPr="00246C56" w:rsidRDefault="001636E6" w:rsidP="00EB172C">
            <w:r w:rsidRPr="00246C56">
              <w:t>Food allergy (disorder)</w:t>
            </w:r>
          </w:p>
        </w:tc>
      </w:tr>
      <w:tr w:rsidR="001636E6" w:rsidTr="001636E6">
        <w:tc>
          <w:tcPr>
            <w:tcW w:w="2065" w:type="dxa"/>
          </w:tcPr>
          <w:p w:rsidR="001636E6" w:rsidRPr="00246C56" w:rsidRDefault="001636E6" w:rsidP="00EB172C">
            <w:r w:rsidRPr="00246C56">
              <w:t>416098002</w:t>
            </w:r>
          </w:p>
        </w:tc>
        <w:tc>
          <w:tcPr>
            <w:tcW w:w="6840" w:type="dxa"/>
          </w:tcPr>
          <w:p w:rsidR="001636E6" w:rsidRPr="00246C56" w:rsidRDefault="001636E6" w:rsidP="00EB172C">
            <w:r w:rsidRPr="00246C56">
              <w:t>Drug allergy (disorder)</w:t>
            </w:r>
          </w:p>
        </w:tc>
      </w:tr>
      <w:tr w:rsidR="001636E6" w:rsidTr="001636E6">
        <w:tc>
          <w:tcPr>
            <w:tcW w:w="2065" w:type="dxa"/>
          </w:tcPr>
          <w:p w:rsidR="001636E6" w:rsidRPr="00246C56" w:rsidRDefault="001636E6" w:rsidP="00EB172C">
            <w:r w:rsidRPr="00246C56">
              <w:t>418038007</w:t>
            </w:r>
          </w:p>
        </w:tc>
        <w:tc>
          <w:tcPr>
            <w:tcW w:w="6840" w:type="dxa"/>
          </w:tcPr>
          <w:p w:rsidR="001636E6" w:rsidRPr="00246C56" w:rsidRDefault="001636E6" w:rsidP="00EB172C">
            <w:r w:rsidRPr="00246C56">
              <w:t>Propensity to adverse reactions to substance (disorder)</w:t>
            </w:r>
          </w:p>
        </w:tc>
      </w:tr>
      <w:tr w:rsidR="001636E6" w:rsidTr="001636E6">
        <w:tc>
          <w:tcPr>
            <w:tcW w:w="2065" w:type="dxa"/>
          </w:tcPr>
          <w:p w:rsidR="001636E6" w:rsidRPr="00246C56" w:rsidRDefault="001636E6" w:rsidP="00EB172C">
            <w:r w:rsidRPr="00246C56">
              <w:t>418471000</w:t>
            </w:r>
          </w:p>
        </w:tc>
        <w:tc>
          <w:tcPr>
            <w:tcW w:w="6840" w:type="dxa"/>
          </w:tcPr>
          <w:p w:rsidR="001636E6" w:rsidRPr="00246C56" w:rsidRDefault="001636E6" w:rsidP="00EB172C">
            <w:r w:rsidRPr="00246C56">
              <w:t>Propensity to adverse reactions to food (disorder)</w:t>
            </w:r>
          </w:p>
        </w:tc>
      </w:tr>
      <w:tr w:rsidR="001636E6" w:rsidTr="001636E6">
        <w:tc>
          <w:tcPr>
            <w:tcW w:w="2065" w:type="dxa"/>
          </w:tcPr>
          <w:p w:rsidR="001636E6" w:rsidRPr="00246C56" w:rsidRDefault="001636E6" w:rsidP="00EB172C">
            <w:r w:rsidRPr="00246C56">
              <w:t>419199007</w:t>
            </w:r>
          </w:p>
        </w:tc>
        <w:tc>
          <w:tcPr>
            <w:tcW w:w="6840" w:type="dxa"/>
          </w:tcPr>
          <w:p w:rsidR="001636E6" w:rsidRPr="00246C56" w:rsidRDefault="001636E6" w:rsidP="00EB172C">
            <w:r w:rsidRPr="00246C56">
              <w:t>Allergy to substance (disorder)</w:t>
            </w:r>
          </w:p>
        </w:tc>
      </w:tr>
      <w:tr w:rsidR="001636E6" w:rsidTr="001636E6">
        <w:tc>
          <w:tcPr>
            <w:tcW w:w="2065" w:type="dxa"/>
          </w:tcPr>
          <w:p w:rsidR="001636E6" w:rsidRPr="00246C56" w:rsidRDefault="001636E6" w:rsidP="00EB172C">
            <w:r w:rsidRPr="00246C56">
              <w:t>419511003</w:t>
            </w:r>
          </w:p>
        </w:tc>
        <w:tc>
          <w:tcPr>
            <w:tcW w:w="6840" w:type="dxa"/>
          </w:tcPr>
          <w:p w:rsidR="001636E6" w:rsidRPr="00246C56" w:rsidRDefault="001636E6" w:rsidP="00EB172C">
            <w:r w:rsidRPr="00246C56">
              <w:t>Propensity to adverse reactions to drug (disorder)</w:t>
            </w:r>
          </w:p>
        </w:tc>
      </w:tr>
      <w:tr w:rsidR="001636E6" w:rsidTr="001636E6">
        <w:tc>
          <w:tcPr>
            <w:tcW w:w="2065" w:type="dxa"/>
          </w:tcPr>
          <w:p w:rsidR="001636E6" w:rsidRPr="00246C56" w:rsidRDefault="001636E6" w:rsidP="00EB172C">
            <w:r w:rsidRPr="00246C56">
              <w:t>420134006</w:t>
            </w:r>
          </w:p>
        </w:tc>
        <w:tc>
          <w:tcPr>
            <w:tcW w:w="6840" w:type="dxa"/>
          </w:tcPr>
          <w:p w:rsidR="001636E6" w:rsidRPr="00246C56" w:rsidRDefault="001636E6" w:rsidP="00EB172C">
            <w:r w:rsidRPr="00246C56">
              <w:t>Propensity to adverse reactions (disorder)</w:t>
            </w:r>
          </w:p>
        </w:tc>
      </w:tr>
      <w:tr w:rsidR="001636E6" w:rsidTr="001636E6">
        <w:tc>
          <w:tcPr>
            <w:tcW w:w="2065" w:type="dxa"/>
          </w:tcPr>
          <w:p w:rsidR="001636E6" w:rsidRPr="00246C56" w:rsidRDefault="001636E6" w:rsidP="00EB172C">
            <w:r w:rsidRPr="00246C56">
              <w:t>59037007</w:t>
            </w:r>
          </w:p>
        </w:tc>
        <w:tc>
          <w:tcPr>
            <w:tcW w:w="6840" w:type="dxa"/>
          </w:tcPr>
          <w:p w:rsidR="001636E6" w:rsidRDefault="001636E6" w:rsidP="00EB172C">
            <w:r w:rsidRPr="00246C56">
              <w:t>Drug intolerance (disorder)</w:t>
            </w:r>
          </w:p>
        </w:tc>
      </w:tr>
    </w:tbl>
    <w:p w:rsidR="003A3095" w:rsidRDefault="003A3095" w:rsidP="003A3095"/>
    <w:tbl>
      <w:tblPr>
        <w:tblStyle w:val="TableGrid"/>
        <w:tblW w:w="0" w:type="auto"/>
        <w:tblLook w:val="04A0" w:firstRow="1" w:lastRow="0" w:firstColumn="1" w:lastColumn="0" w:noHBand="0" w:noVBand="1"/>
      </w:tblPr>
      <w:tblGrid>
        <w:gridCol w:w="4675"/>
        <w:gridCol w:w="4675"/>
      </w:tblGrid>
      <w:tr w:rsidR="001636E6" w:rsidTr="004370BD">
        <w:tc>
          <w:tcPr>
            <w:tcW w:w="4675" w:type="dxa"/>
            <w:shd w:val="clear" w:color="auto" w:fill="D9D9D9" w:themeFill="background1" w:themeFillShade="D9"/>
          </w:tcPr>
          <w:p w:rsidR="001636E6" w:rsidRPr="001636E6" w:rsidRDefault="00DF1CF3" w:rsidP="003A3095">
            <w:pPr>
              <w:rPr>
                <w:b/>
              </w:rPr>
            </w:pPr>
            <w:hyperlink r:id="rId8" w:history="1">
              <w:r w:rsidR="001636E6" w:rsidRPr="001636E6">
                <w:rPr>
                  <w:rStyle w:val="Hyperlink"/>
                  <w:b/>
                </w:rPr>
                <w:t>FHIR</w:t>
              </w:r>
            </w:hyperlink>
            <w:r w:rsidR="001636E6" w:rsidRPr="001636E6">
              <w:rPr>
                <w:b/>
              </w:rPr>
              <w:t xml:space="preserve"> Code (type</w:t>
            </w:r>
            <w:r w:rsidR="004370BD">
              <w:rPr>
                <w:b/>
              </w:rPr>
              <w:t>, i.e., physiological mechanism</w:t>
            </w:r>
            <w:r w:rsidR="001636E6" w:rsidRPr="001636E6">
              <w:rPr>
                <w:b/>
              </w:rPr>
              <w:t>)</w:t>
            </w:r>
          </w:p>
        </w:tc>
        <w:tc>
          <w:tcPr>
            <w:tcW w:w="4675" w:type="dxa"/>
            <w:shd w:val="clear" w:color="auto" w:fill="D9D9D9" w:themeFill="background1" w:themeFillShade="D9"/>
          </w:tcPr>
          <w:p w:rsidR="001636E6" w:rsidRPr="001636E6" w:rsidRDefault="001636E6" w:rsidP="003A3095">
            <w:pPr>
              <w:rPr>
                <w:b/>
              </w:rPr>
            </w:pPr>
            <w:r w:rsidRPr="001636E6">
              <w:rPr>
                <w:b/>
              </w:rPr>
              <w:t>FHIR Value</w:t>
            </w:r>
          </w:p>
        </w:tc>
      </w:tr>
      <w:tr w:rsidR="001636E6" w:rsidTr="001636E6">
        <w:tc>
          <w:tcPr>
            <w:tcW w:w="4675" w:type="dxa"/>
          </w:tcPr>
          <w:p w:rsidR="001636E6" w:rsidRDefault="00DF1CF3" w:rsidP="003A3095">
            <w:r>
              <w:t>A</w:t>
            </w:r>
            <w:r w:rsidR="001636E6">
              <w:t>llergy</w:t>
            </w:r>
          </w:p>
        </w:tc>
        <w:tc>
          <w:tcPr>
            <w:tcW w:w="4675" w:type="dxa"/>
          </w:tcPr>
          <w:p w:rsidR="001636E6" w:rsidRDefault="001636E6" w:rsidP="003A3095">
            <w:r>
              <w:t>Allergy</w:t>
            </w:r>
          </w:p>
        </w:tc>
      </w:tr>
      <w:tr w:rsidR="001636E6" w:rsidTr="001636E6">
        <w:tc>
          <w:tcPr>
            <w:tcW w:w="4675" w:type="dxa"/>
          </w:tcPr>
          <w:p w:rsidR="001636E6" w:rsidRDefault="00DF1CF3" w:rsidP="003A3095">
            <w:r>
              <w:t>I</w:t>
            </w:r>
            <w:r w:rsidR="001636E6">
              <w:t>ntolerance</w:t>
            </w:r>
          </w:p>
        </w:tc>
        <w:tc>
          <w:tcPr>
            <w:tcW w:w="4675" w:type="dxa"/>
          </w:tcPr>
          <w:p w:rsidR="001636E6" w:rsidRDefault="001636E6" w:rsidP="003A3095">
            <w:r>
              <w:t>Intolerance</w:t>
            </w:r>
          </w:p>
        </w:tc>
      </w:tr>
    </w:tbl>
    <w:p w:rsidR="001636E6" w:rsidRDefault="001636E6" w:rsidP="003A3095">
      <w:pPr>
        <w:tabs>
          <w:tab w:val="left" w:pos="4788"/>
        </w:tabs>
        <w:ind w:left="113"/>
      </w:pPr>
      <w:r>
        <w:tab/>
      </w:r>
    </w:p>
    <w:tbl>
      <w:tblPr>
        <w:tblStyle w:val="TableGrid"/>
        <w:tblW w:w="0" w:type="auto"/>
        <w:tblLook w:val="04A0" w:firstRow="1" w:lastRow="0" w:firstColumn="1" w:lastColumn="0" w:noHBand="0" w:noVBand="1"/>
      </w:tblPr>
      <w:tblGrid>
        <w:gridCol w:w="4675"/>
        <w:gridCol w:w="4675"/>
      </w:tblGrid>
      <w:tr w:rsidR="001636E6" w:rsidTr="004370BD">
        <w:tc>
          <w:tcPr>
            <w:tcW w:w="4675" w:type="dxa"/>
            <w:shd w:val="clear" w:color="auto" w:fill="D9D9D9" w:themeFill="background1" w:themeFillShade="D9"/>
          </w:tcPr>
          <w:p w:rsidR="001636E6" w:rsidRDefault="00DF1CF3" w:rsidP="000C744B">
            <w:hyperlink r:id="rId9" w:history="1">
              <w:r w:rsidR="001636E6" w:rsidRPr="001636E6">
                <w:rPr>
                  <w:rStyle w:val="Hyperlink"/>
                  <w:b/>
                </w:rPr>
                <w:t>FHIR</w:t>
              </w:r>
            </w:hyperlink>
            <w:r w:rsidR="001636E6" w:rsidRPr="001636E6">
              <w:rPr>
                <w:b/>
              </w:rPr>
              <w:t xml:space="preserve"> Code</w:t>
            </w:r>
            <w:r w:rsidR="001636E6">
              <w:t xml:space="preserve"> </w:t>
            </w:r>
            <w:r w:rsidR="001636E6" w:rsidRPr="004370BD">
              <w:rPr>
                <w:b/>
              </w:rPr>
              <w:t>(category)</w:t>
            </w:r>
          </w:p>
        </w:tc>
        <w:tc>
          <w:tcPr>
            <w:tcW w:w="4675" w:type="dxa"/>
            <w:shd w:val="clear" w:color="auto" w:fill="D9D9D9" w:themeFill="background1" w:themeFillShade="D9"/>
          </w:tcPr>
          <w:p w:rsidR="001636E6" w:rsidRDefault="001636E6" w:rsidP="000C744B">
            <w:r>
              <w:t>FHIR Value</w:t>
            </w:r>
          </w:p>
        </w:tc>
      </w:tr>
      <w:tr w:rsidR="001636E6" w:rsidTr="001636E6">
        <w:tc>
          <w:tcPr>
            <w:tcW w:w="4675" w:type="dxa"/>
          </w:tcPr>
          <w:p w:rsidR="001636E6" w:rsidRDefault="00DF1CF3" w:rsidP="003A3095">
            <w:r>
              <w:t>F</w:t>
            </w:r>
            <w:r w:rsidR="001636E6">
              <w:t>ood</w:t>
            </w:r>
          </w:p>
        </w:tc>
        <w:tc>
          <w:tcPr>
            <w:tcW w:w="4675" w:type="dxa"/>
          </w:tcPr>
          <w:p w:rsidR="001636E6" w:rsidRDefault="001636E6" w:rsidP="003A3095">
            <w:r>
              <w:t>Food</w:t>
            </w:r>
          </w:p>
        </w:tc>
      </w:tr>
      <w:tr w:rsidR="001636E6" w:rsidTr="001636E6">
        <w:tc>
          <w:tcPr>
            <w:tcW w:w="4675" w:type="dxa"/>
          </w:tcPr>
          <w:p w:rsidR="001636E6" w:rsidRDefault="00DF1CF3" w:rsidP="003A3095">
            <w:r>
              <w:t>M</w:t>
            </w:r>
            <w:r w:rsidR="001636E6">
              <w:t>edication</w:t>
            </w:r>
          </w:p>
        </w:tc>
        <w:tc>
          <w:tcPr>
            <w:tcW w:w="4675" w:type="dxa"/>
          </w:tcPr>
          <w:p w:rsidR="001636E6" w:rsidRDefault="001636E6" w:rsidP="003A3095">
            <w:r>
              <w:t>Medication</w:t>
            </w:r>
          </w:p>
        </w:tc>
      </w:tr>
      <w:tr w:rsidR="001636E6" w:rsidTr="001636E6">
        <w:tc>
          <w:tcPr>
            <w:tcW w:w="4675" w:type="dxa"/>
          </w:tcPr>
          <w:p w:rsidR="001636E6" w:rsidRDefault="00DF1CF3" w:rsidP="003A3095">
            <w:r>
              <w:t>E</w:t>
            </w:r>
            <w:r w:rsidR="001636E6">
              <w:t>nvironment</w:t>
            </w:r>
          </w:p>
        </w:tc>
        <w:tc>
          <w:tcPr>
            <w:tcW w:w="4675" w:type="dxa"/>
          </w:tcPr>
          <w:p w:rsidR="001636E6" w:rsidRDefault="001636E6" w:rsidP="003A3095">
            <w:r>
              <w:t>Environment</w:t>
            </w:r>
          </w:p>
        </w:tc>
      </w:tr>
      <w:tr w:rsidR="001636E6" w:rsidTr="001636E6">
        <w:tc>
          <w:tcPr>
            <w:tcW w:w="4675" w:type="dxa"/>
          </w:tcPr>
          <w:p w:rsidR="001636E6" w:rsidRDefault="00DF1CF3" w:rsidP="003A3095">
            <w:r>
              <w:t>B</w:t>
            </w:r>
            <w:r w:rsidR="001636E6">
              <w:t>iologic</w:t>
            </w:r>
          </w:p>
        </w:tc>
        <w:tc>
          <w:tcPr>
            <w:tcW w:w="4675" w:type="dxa"/>
          </w:tcPr>
          <w:p w:rsidR="001636E6" w:rsidRDefault="001636E6" w:rsidP="003A3095">
            <w:r>
              <w:t>Biologic</w:t>
            </w:r>
          </w:p>
        </w:tc>
      </w:tr>
    </w:tbl>
    <w:p w:rsidR="001636E6" w:rsidRDefault="001636E6" w:rsidP="003A3095"/>
    <w:p w:rsidR="00515A46" w:rsidRPr="00515A46" w:rsidRDefault="00515A46" w:rsidP="003A3095">
      <w:pPr>
        <w:rPr>
          <w:b/>
        </w:rPr>
      </w:pPr>
      <w:r w:rsidRPr="00515A46">
        <w:rPr>
          <w:b/>
        </w:rPr>
        <w:t>Reactant</w:t>
      </w:r>
    </w:p>
    <w:p w:rsidR="00515A46" w:rsidRDefault="00E44D45" w:rsidP="003A3095">
      <w:r>
        <w:t xml:space="preserve">The </w:t>
      </w:r>
      <w:hyperlink r:id="rId10" w:history="1">
        <w:r w:rsidRPr="00E44D45">
          <w:rPr>
            <w:rStyle w:val="Hyperlink"/>
          </w:rPr>
          <w:t>C-CDA</w:t>
        </w:r>
      </w:hyperlink>
      <w:r>
        <w:t xml:space="preserve"> value set </w:t>
      </w:r>
      <w:r w:rsidR="002B74FF">
        <w:t>“</w:t>
      </w:r>
      <w:r w:rsidR="002B74FF" w:rsidRPr="002B74FF">
        <w:t>Substance-Reactant for Intolerance</w:t>
      </w:r>
      <w:r w:rsidR="002B74FF">
        <w:t>” (</w:t>
      </w:r>
      <w:r>
        <w:t>“</w:t>
      </w:r>
      <w:r w:rsidRPr="00E44D45">
        <w:t>NDFRT, then RXNORM, then UNII, then SNOMED CT</w:t>
      </w:r>
      <w:r>
        <w:t>”</w:t>
      </w:r>
      <w:r w:rsidR="002B74FF">
        <w:t>)</w:t>
      </w:r>
      <w:r>
        <w:t xml:space="preserve"> has proven too large for effective implementation, and is a primary motivation for the common allergy substances project. </w:t>
      </w:r>
    </w:p>
    <w:p w:rsidR="002B74FF" w:rsidRDefault="002B74FF" w:rsidP="003A3095">
      <w:r>
        <w:t xml:space="preserve">The </w:t>
      </w:r>
      <w:hyperlink r:id="rId11" w:history="1">
        <w:r w:rsidRPr="002B74FF">
          <w:rPr>
            <w:rStyle w:val="Hyperlink"/>
          </w:rPr>
          <w:t>FHIR</w:t>
        </w:r>
      </w:hyperlink>
      <w:r>
        <w:t xml:space="preserve"> value set “</w:t>
      </w:r>
      <w:proofErr w:type="spellStart"/>
      <w:r w:rsidRPr="002B74FF">
        <w:t>AllergyIntolerance</w:t>
      </w:r>
      <w:proofErr w:type="spellEnd"/>
      <w:r w:rsidRPr="002B74FF">
        <w:t xml:space="preserve"> Substance/Product, Condition and Negation Codes</w:t>
      </w:r>
      <w:r>
        <w:t xml:space="preserve">” includes substances, products, intolerances, and assertions of no intolerance. </w:t>
      </w:r>
    </w:p>
    <w:p w:rsidR="002B74FF" w:rsidRDefault="002B74FF" w:rsidP="003A3095">
      <w:r>
        <w:t xml:space="preserve">This difference results in part from a modeling divergence: CDA uses the RIM negation indicator pattern to articulate absence with a distinct data element, whereas FHIR </w:t>
      </w:r>
      <w:proofErr w:type="spellStart"/>
      <w:r>
        <w:t>precoordinates</w:t>
      </w:r>
      <w:proofErr w:type="spellEnd"/>
      <w:r>
        <w:t xml:space="preserve"> absence in the focal element code.</w:t>
      </w:r>
    </w:p>
    <w:p w:rsidR="002B74FF" w:rsidRDefault="002B74FF" w:rsidP="003A3095">
      <w:r>
        <w:t>Further, C-CDA leans on US Realm assets</w:t>
      </w:r>
      <w:r w:rsidR="00AE1185">
        <w:t>. T</w:t>
      </w:r>
      <w:r w:rsidR="00C12648">
        <w:t xml:space="preserve">he US Core FHIR profile </w:t>
      </w:r>
      <w:hyperlink r:id="rId12" w:history="1">
        <w:r w:rsidR="00C12648" w:rsidRPr="00C12648">
          <w:rPr>
            <w:rStyle w:val="Hyperlink"/>
          </w:rPr>
          <w:t>substance</w:t>
        </w:r>
      </w:hyperlink>
      <w:r w:rsidR="00C12648">
        <w:t xml:space="preserve"> value set imports RxNorm and NDF-RT</w:t>
      </w:r>
      <w:r w:rsidR="00AE1185">
        <w:t xml:space="preserve">, leading to a size issue </w:t>
      </w:r>
      <w:proofErr w:type="gramStart"/>
      <w:r w:rsidR="00AE1185">
        <w:t>similar to</w:t>
      </w:r>
      <w:proofErr w:type="gramEnd"/>
      <w:r w:rsidR="00AE1185">
        <w:t xml:space="preserve"> that facing C-CDA</w:t>
      </w:r>
      <w:r w:rsidR="00C12648">
        <w:t>.</w:t>
      </w:r>
    </w:p>
    <w:p w:rsidR="00B721DD" w:rsidRDefault="00B721DD" w:rsidP="003A3095">
      <w:r>
        <w:t xml:space="preserve">Like Category, this element is complicated by structural differences that may be addressable only with a map. However, it should be possible to agree on a core set of concepts, e.g., </w:t>
      </w:r>
    </w:p>
    <w:p w:rsidR="00B721DD" w:rsidRDefault="00B721DD" w:rsidP="00B721DD">
      <w:pPr>
        <w:pStyle w:val="ListParagraph"/>
        <w:numPr>
          <w:ilvl w:val="0"/>
          <w:numId w:val="4"/>
        </w:numPr>
      </w:pPr>
      <w:r>
        <w:t>Include substances from SNOMED CT</w:t>
      </w:r>
    </w:p>
    <w:p w:rsidR="00B721DD" w:rsidRDefault="00B721DD" w:rsidP="00B721DD">
      <w:pPr>
        <w:pStyle w:val="ListParagraph"/>
        <w:numPr>
          <w:ilvl w:val="0"/>
          <w:numId w:val="4"/>
        </w:numPr>
      </w:pPr>
      <w:r>
        <w:lastRenderedPageBreak/>
        <w:t xml:space="preserve">Include products from SNOMED CT </w:t>
      </w:r>
      <w:r w:rsidR="00F130BB">
        <w:t>(potentially to support mixtures)</w:t>
      </w:r>
    </w:p>
    <w:p w:rsidR="00B721DD" w:rsidRDefault="00B721DD" w:rsidP="00B721DD">
      <w:pPr>
        <w:pStyle w:val="ListParagraph"/>
        <w:numPr>
          <w:ilvl w:val="0"/>
          <w:numId w:val="4"/>
        </w:numPr>
      </w:pPr>
      <w:r>
        <w:t>Exclude conditions from SNOMED CT</w:t>
      </w:r>
    </w:p>
    <w:p w:rsidR="000066F4" w:rsidRPr="003A19EE" w:rsidRDefault="00B721DD" w:rsidP="003A3095">
      <w:pPr>
        <w:pStyle w:val="ListParagraph"/>
        <w:numPr>
          <w:ilvl w:val="0"/>
          <w:numId w:val="4"/>
        </w:numPr>
      </w:pPr>
      <w:r>
        <w:t>Permit addition of situations (absence of sensitivity to substance) from SNOMED CT, with mappings</w:t>
      </w:r>
    </w:p>
    <w:p w:rsidR="001A58BA" w:rsidRPr="000066F4" w:rsidRDefault="001A58BA" w:rsidP="003A3095">
      <w:pPr>
        <w:rPr>
          <w:b/>
        </w:rPr>
      </w:pPr>
      <w:r w:rsidRPr="000066F4">
        <w:rPr>
          <w:b/>
        </w:rPr>
        <w:t>Clinical Status</w:t>
      </w:r>
    </w:p>
    <w:tbl>
      <w:tblPr>
        <w:tblStyle w:val="TableGrid"/>
        <w:tblW w:w="0" w:type="auto"/>
        <w:tblLook w:val="04A0" w:firstRow="1" w:lastRow="0" w:firstColumn="1" w:lastColumn="0" w:noHBand="0" w:noVBand="1"/>
      </w:tblPr>
      <w:tblGrid>
        <w:gridCol w:w="2337"/>
        <w:gridCol w:w="2698"/>
        <w:gridCol w:w="2790"/>
        <w:gridCol w:w="1525"/>
      </w:tblGrid>
      <w:tr w:rsidR="000066F4" w:rsidTr="00DE5678">
        <w:tc>
          <w:tcPr>
            <w:tcW w:w="5035" w:type="dxa"/>
            <w:gridSpan w:val="2"/>
          </w:tcPr>
          <w:p w:rsidR="000066F4" w:rsidRDefault="000066F4" w:rsidP="003A3095">
            <w:r>
              <w:rPr>
                <w:b/>
              </w:rPr>
              <w:t>C-CDA: HITSP</w:t>
            </w:r>
            <w:r w:rsidRPr="000066F4">
              <w:rPr>
                <w:b/>
              </w:rPr>
              <w:t xml:space="preserve"> </w:t>
            </w:r>
            <w:hyperlink r:id="rId13" w:history="1">
              <w:r w:rsidRPr="000066F4">
                <w:rPr>
                  <w:rStyle w:val="Hyperlink"/>
                </w:rPr>
                <w:t>problem status</w:t>
              </w:r>
            </w:hyperlink>
          </w:p>
        </w:tc>
        <w:tc>
          <w:tcPr>
            <w:tcW w:w="4315" w:type="dxa"/>
            <w:gridSpan w:val="2"/>
          </w:tcPr>
          <w:p w:rsidR="000066F4" w:rsidRDefault="00DF1CF3" w:rsidP="003A3095">
            <w:hyperlink r:id="rId14" w:history="1">
              <w:r w:rsidR="000066F4" w:rsidRPr="001A58BA">
                <w:rPr>
                  <w:rStyle w:val="Hyperlink"/>
                  <w:b/>
                </w:rPr>
                <w:t>FHIR</w:t>
              </w:r>
            </w:hyperlink>
            <w:r w:rsidR="000066F4" w:rsidRPr="001A58BA">
              <w:rPr>
                <w:b/>
              </w:rPr>
              <w:t xml:space="preserve"> </w:t>
            </w:r>
            <w:r w:rsidR="000066F4">
              <w:rPr>
                <w:b/>
              </w:rPr>
              <w:t xml:space="preserve">allergy clinical </w:t>
            </w:r>
            <w:r w:rsidR="000066F4" w:rsidRPr="001A58BA">
              <w:rPr>
                <w:b/>
              </w:rPr>
              <w:t>status</w:t>
            </w:r>
          </w:p>
        </w:tc>
      </w:tr>
      <w:tr w:rsidR="000066F4" w:rsidTr="000066F4">
        <w:tc>
          <w:tcPr>
            <w:tcW w:w="2337" w:type="dxa"/>
          </w:tcPr>
          <w:p w:rsidR="000066F4" w:rsidRPr="00874E29" w:rsidRDefault="000066F4" w:rsidP="000066F4">
            <w:r w:rsidRPr="00874E29">
              <w:t>55561003</w:t>
            </w:r>
          </w:p>
        </w:tc>
        <w:tc>
          <w:tcPr>
            <w:tcW w:w="2698" w:type="dxa"/>
          </w:tcPr>
          <w:p w:rsidR="000066F4" w:rsidRPr="00874E29" w:rsidRDefault="000066F4" w:rsidP="000066F4">
            <w:r w:rsidRPr="00874E29">
              <w:t>Active</w:t>
            </w:r>
            <w:r>
              <w:t xml:space="preserve"> (qualifier value)</w:t>
            </w:r>
          </w:p>
        </w:tc>
        <w:tc>
          <w:tcPr>
            <w:tcW w:w="2790" w:type="dxa"/>
          </w:tcPr>
          <w:p w:rsidR="000066F4" w:rsidRPr="00874E29" w:rsidRDefault="000066F4" w:rsidP="000066F4">
            <w:r>
              <w:t>a</w:t>
            </w:r>
            <w:r w:rsidRPr="00874E29">
              <w:t>ctive</w:t>
            </w:r>
          </w:p>
        </w:tc>
        <w:tc>
          <w:tcPr>
            <w:tcW w:w="1525" w:type="dxa"/>
          </w:tcPr>
          <w:p w:rsidR="000066F4" w:rsidRPr="00874E29" w:rsidRDefault="000066F4" w:rsidP="000066F4">
            <w:r w:rsidRPr="00874E29">
              <w:t>Active</w:t>
            </w:r>
          </w:p>
        </w:tc>
      </w:tr>
      <w:tr w:rsidR="000066F4" w:rsidTr="000066F4">
        <w:tc>
          <w:tcPr>
            <w:tcW w:w="2337" w:type="dxa"/>
          </w:tcPr>
          <w:p w:rsidR="000066F4" w:rsidRPr="00874E29" w:rsidRDefault="000066F4" w:rsidP="000066F4">
            <w:r w:rsidRPr="00874E29">
              <w:t>73425007</w:t>
            </w:r>
          </w:p>
        </w:tc>
        <w:tc>
          <w:tcPr>
            <w:tcW w:w="2698" w:type="dxa"/>
          </w:tcPr>
          <w:p w:rsidR="000066F4" w:rsidRPr="00874E29" w:rsidRDefault="000066F4" w:rsidP="000066F4">
            <w:r w:rsidRPr="00874E29">
              <w:t>Inactive</w:t>
            </w:r>
            <w:r>
              <w:t xml:space="preserve"> (qualifier value)</w:t>
            </w:r>
          </w:p>
        </w:tc>
        <w:tc>
          <w:tcPr>
            <w:tcW w:w="2790" w:type="dxa"/>
          </w:tcPr>
          <w:p w:rsidR="000066F4" w:rsidRPr="00874E29" w:rsidRDefault="000066F4" w:rsidP="000066F4">
            <w:r>
              <w:t>i</w:t>
            </w:r>
            <w:r w:rsidRPr="00874E29">
              <w:t>nactive</w:t>
            </w:r>
          </w:p>
        </w:tc>
        <w:tc>
          <w:tcPr>
            <w:tcW w:w="1525" w:type="dxa"/>
          </w:tcPr>
          <w:p w:rsidR="000066F4" w:rsidRPr="00874E29" w:rsidRDefault="000066F4" w:rsidP="000066F4">
            <w:r w:rsidRPr="00874E29">
              <w:t>Inactive</w:t>
            </w:r>
          </w:p>
        </w:tc>
      </w:tr>
      <w:tr w:rsidR="000066F4" w:rsidTr="000066F4">
        <w:tc>
          <w:tcPr>
            <w:tcW w:w="2337" w:type="dxa"/>
          </w:tcPr>
          <w:p w:rsidR="000066F4" w:rsidRPr="00874E29" w:rsidRDefault="000066F4" w:rsidP="000066F4">
            <w:r w:rsidRPr="00874E29">
              <w:t>413322009</w:t>
            </w:r>
          </w:p>
        </w:tc>
        <w:tc>
          <w:tcPr>
            <w:tcW w:w="2698" w:type="dxa"/>
          </w:tcPr>
          <w:p w:rsidR="000066F4" w:rsidRDefault="000066F4" w:rsidP="000066F4">
            <w:r w:rsidRPr="00874E29">
              <w:t>Resolved</w:t>
            </w:r>
            <w:r>
              <w:t xml:space="preserve"> (finding)</w:t>
            </w:r>
          </w:p>
        </w:tc>
        <w:tc>
          <w:tcPr>
            <w:tcW w:w="2790" w:type="dxa"/>
          </w:tcPr>
          <w:p w:rsidR="000066F4" w:rsidRDefault="00230B17" w:rsidP="000066F4">
            <w:r>
              <w:t>r</w:t>
            </w:r>
            <w:r w:rsidR="000066F4" w:rsidRPr="00874E29">
              <w:t>esolved</w:t>
            </w:r>
            <w:r w:rsidR="000066F4">
              <w:t xml:space="preserve"> (child of inactive)</w:t>
            </w:r>
          </w:p>
        </w:tc>
        <w:tc>
          <w:tcPr>
            <w:tcW w:w="1525" w:type="dxa"/>
          </w:tcPr>
          <w:p w:rsidR="000066F4" w:rsidRDefault="000066F4" w:rsidP="000066F4">
            <w:r w:rsidRPr="00874E29">
              <w:t>Resolved</w:t>
            </w:r>
          </w:p>
        </w:tc>
      </w:tr>
    </w:tbl>
    <w:p w:rsidR="001A58BA" w:rsidRDefault="001A58BA" w:rsidP="003A3095"/>
    <w:p w:rsidR="001A58BA" w:rsidRDefault="000066F4" w:rsidP="003A3095">
      <w:r>
        <w:t xml:space="preserve">Terms for clinical status are identical between FHIR and C-CDA. C-CDA uses SNOMED CT, which should support inference, but it uses concepts from different hierarchies, preventing such a </w:t>
      </w:r>
      <w:r w:rsidR="00F130BB">
        <w:t>use</w:t>
      </w:r>
      <w:r>
        <w:t>.</w:t>
      </w:r>
    </w:p>
    <w:p w:rsidR="000066F4" w:rsidRDefault="000066F4" w:rsidP="003A3095">
      <w:r>
        <w:t>Patient Care is currently revising the Condition clinical status value set for both FHIR and C-CDA. The current FHIR set is (</w:t>
      </w:r>
      <w:r w:rsidRPr="000066F4">
        <w:t>active | recurrence | inactive | remission | resolved</w:t>
      </w:r>
      <w:r>
        <w:t>); the current candidate set also include</w:t>
      </w:r>
      <w:r w:rsidR="004E2B8E">
        <w:t xml:space="preserve">s </w:t>
      </w:r>
      <w:r w:rsidR="00F130BB">
        <w:t xml:space="preserve">(well-controlled | </w:t>
      </w:r>
      <w:r w:rsidR="004E2B8E">
        <w:t>poorly controlled</w:t>
      </w:r>
      <w:r w:rsidR="00F130BB">
        <w:t xml:space="preserve"> | </w:t>
      </w:r>
      <w:r w:rsidR="004E2B8E">
        <w:t>relapse</w:t>
      </w:r>
      <w:r w:rsidR="00F130BB">
        <w:t>)</w:t>
      </w:r>
      <w:r w:rsidR="004E2B8E">
        <w:t>.</w:t>
      </w:r>
    </w:p>
    <w:p w:rsidR="00290A7C" w:rsidRDefault="00F130BB" w:rsidP="003A3095">
      <w:r>
        <w:t>The u</w:t>
      </w:r>
      <w:r w:rsidR="00290A7C">
        <w:t xml:space="preserve">se case </w:t>
      </w:r>
      <w:r>
        <w:t xml:space="preserve">for this element </w:t>
      </w:r>
      <w:r w:rsidR="00290A7C">
        <w:t>requires clarification</w:t>
      </w:r>
      <w:r>
        <w:t xml:space="preserve"> before an appropriate semantic scope can be specified</w:t>
      </w:r>
      <w:r w:rsidR="00290A7C">
        <w:t>.</w:t>
      </w:r>
      <w:r w:rsidR="00C05DB8">
        <w:t xml:space="preserve"> Control </w:t>
      </w:r>
      <w:r>
        <w:t>and periodicity are important facts, but they may belong in distinct properties</w:t>
      </w:r>
      <w:r w:rsidR="00C05DB8">
        <w:t>.</w:t>
      </w:r>
    </w:p>
    <w:p w:rsidR="000066F4" w:rsidRPr="004E2B8E" w:rsidRDefault="004E2B8E" w:rsidP="003A3095">
      <w:pPr>
        <w:rPr>
          <w:b/>
        </w:rPr>
      </w:pPr>
      <w:r w:rsidRPr="004E2B8E">
        <w:rPr>
          <w:b/>
        </w:rPr>
        <w:t>Reaction</w:t>
      </w:r>
    </w:p>
    <w:p w:rsidR="00F130BB" w:rsidRDefault="004E2B8E" w:rsidP="003A3095">
      <w:r>
        <w:t xml:space="preserve">C-CDA uses the HITSP </w:t>
      </w:r>
      <w:hyperlink r:id="rId15" w:history="1">
        <w:r w:rsidRPr="00A010E4">
          <w:rPr>
            <w:rStyle w:val="Hyperlink"/>
          </w:rPr>
          <w:t>Problem</w:t>
        </w:r>
      </w:hyperlink>
      <w:r>
        <w:t xml:space="preserve"> value set from SNOMED CT. FHIR uses the </w:t>
      </w:r>
      <w:hyperlink r:id="rId16" w:history="1">
        <w:r w:rsidRPr="00A010E4">
          <w:rPr>
            <w:rStyle w:val="Hyperlink"/>
          </w:rPr>
          <w:t>Clinical Finding</w:t>
        </w:r>
      </w:hyperlink>
      <w:r>
        <w:t xml:space="preserve"> axis of SNOMED CT. </w:t>
      </w:r>
      <w:proofErr w:type="gramStart"/>
      <w:r w:rsidR="00A010E4">
        <w:t>Both of these</w:t>
      </w:r>
      <w:proofErr w:type="gramEnd"/>
      <w:r w:rsidR="00A010E4">
        <w:t xml:space="preserve"> are very large. </w:t>
      </w:r>
      <w:r>
        <w:t xml:space="preserve">FHIM recommends the </w:t>
      </w:r>
      <w:hyperlink r:id="rId17" w:history="1">
        <w:r w:rsidRPr="00A010E4">
          <w:rPr>
            <w:rStyle w:val="Hyperlink"/>
          </w:rPr>
          <w:t>Adverse Clinical Reaction</w:t>
        </w:r>
      </w:hyperlink>
      <w:r>
        <w:t xml:space="preserve"> value set, also from SNOMED CT but narrowed by frequency</w:t>
      </w:r>
      <w:r w:rsidR="00A010E4">
        <w:t xml:space="preserve"> of incidence</w:t>
      </w:r>
      <w:r>
        <w:t>.</w:t>
      </w:r>
      <w:r w:rsidR="00C05DB8">
        <w:t xml:space="preserve"> </w:t>
      </w:r>
    </w:p>
    <w:p w:rsidR="00395B6B" w:rsidRDefault="003A19EE" w:rsidP="003A3095">
      <w:r>
        <w:t>C</w:t>
      </w:r>
      <w:r w:rsidR="00F130BB">
        <w:t xml:space="preserve">onformance </w:t>
      </w:r>
      <w:r>
        <w:t xml:space="preserve">requirements </w:t>
      </w:r>
      <w:r w:rsidR="00F130BB">
        <w:t xml:space="preserve">should not </w:t>
      </w:r>
      <w:r>
        <w:t xml:space="preserve">prevent users from recording unusual </w:t>
      </w:r>
      <w:r w:rsidR="00F130BB">
        <w:t>concepts, but a consistent “recommended” set should be defined.</w:t>
      </w:r>
    </w:p>
    <w:p w:rsidR="006454DD" w:rsidRPr="00A010E4" w:rsidRDefault="00A010E4" w:rsidP="003A3095">
      <w:pPr>
        <w:rPr>
          <w:b/>
        </w:rPr>
      </w:pPr>
      <w:r w:rsidRPr="00A010E4">
        <w:rPr>
          <w:b/>
        </w:rPr>
        <w:t>Severity</w:t>
      </w:r>
    </w:p>
    <w:p w:rsidR="008C065F" w:rsidRDefault="008C065F" w:rsidP="003A3095">
      <w:r>
        <w:t xml:space="preserve">C-CDA uses the HITSP </w:t>
      </w:r>
      <w:hyperlink r:id="rId18" w:history="1">
        <w:r w:rsidRPr="008C065F">
          <w:rPr>
            <w:rStyle w:val="Hyperlink"/>
          </w:rPr>
          <w:t>Problem Severity</w:t>
        </w:r>
      </w:hyperlink>
      <w:r>
        <w:t xml:space="preserve"> value set; FHIR values seem to be a subset. </w:t>
      </w:r>
      <w:r w:rsidR="00820ABC">
        <w:t xml:space="preserve">FHIM recommends adopting the smaller set of values (subject to clinical review). </w:t>
      </w:r>
    </w:p>
    <w:tbl>
      <w:tblPr>
        <w:tblStyle w:val="TableGrid"/>
        <w:tblW w:w="0" w:type="auto"/>
        <w:tblLook w:val="04A0" w:firstRow="1" w:lastRow="0" w:firstColumn="1" w:lastColumn="0" w:noHBand="0" w:noVBand="1"/>
      </w:tblPr>
      <w:tblGrid>
        <w:gridCol w:w="1435"/>
        <w:gridCol w:w="3239"/>
        <w:gridCol w:w="2338"/>
        <w:gridCol w:w="2338"/>
      </w:tblGrid>
      <w:tr w:rsidR="008C065F" w:rsidTr="00196206">
        <w:tc>
          <w:tcPr>
            <w:tcW w:w="4674" w:type="dxa"/>
            <w:gridSpan w:val="2"/>
          </w:tcPr>
          <w:p w:rsidR="008C065F" w:rsidRDefault="00DF1CF3" w:rsidP="003A3095">
            <w:hyperlink r:id="rId19" w:history="1">
              <w:r w:rsidR="008C065F" w:rsidRPr="008C065F">
                <w:rPr>
                  <w:rStyle w:val="Hyperlink"/>
                </w:rPr>
                <w:t>C-CDA</w:t>
              </w:r>
            </w:hyperlink>
            <w:r w:rsidR="008C065F">
              <w:t xml:space="preserve"> problem severity</w:t>
            </w:r>
          </w:p>
        </w:tc>
        <w:tc>
          <w:tcPr>
            <w:tcW w:w="4676" w:type="dxa"/>
            <w:gridSpan w:val="2"/>
          </w:tcPr>
          <w:p w:rsidR="008C065F" w:rsidRDefault="00DF1CF3" w:rsidP="003A3095">
            <w:hyperlink r:id="rId20" w:history="1">
              <w:r w:rsidR="008C065F" w:rsidRPr="008C065F">
                <w:rPr>
                  <w:rStyle w:val="Hyperlink"/>
                </w:rPr>
                <w:t>FHIM</w:t>
              </w:r>
            </w:hyperlink>
            <w:r w:rsidR="008C065F">
              <w:t xml:space="preserve"> reaction severity</w:t>
            </w:r>
          </w:p>
        </w:tc>
      </w:tr>
      <w:tr w:rsidR="008C065F" w:rsidTr="008C065F">
        <w:tc>
          <w:tcPr>
            <w:tcW w:w="1435" w:type="dxa"/>
          </w:tcPr>
          <w:p w:rsidR="008C065F" w:rsidRPr="00346F25" w:rsidRDefault="008C065F" w:rsidP="008C065F">
            <w:r w:rsidRPr="00346F25">
              <w:t>24484000</w:t>
            </w:r>
          </w:p>
        </w:tc>
        <w:tc>
          <w:tcPr>
            <w:tcW w:w="3239" w:type="dxa"/>
          </w:tcPr>
          <w:p w:rsidR="008C065F" w:rsidRPr="00346F25" w:rsidRDefault="008C065F" w:rsidP="008C065F">
            <w:r w:rsidRPr="00346F25">
              <w:t>Severe (severity modifier) (qualifier value)</w:t>
            </w:r>
          </w:p>
        </w:tc>
        <w:tc>
          <w:tcPr>
            <w:tcW w:w="2338" w:type="dxa"/>
          </w:tcPr>
          <w:p w:rsidR="008C065F" w:rsidRDefault="009457BE" w:rsidP="008C065F">
            <w:r>
              <w:t>s</w:t>
            </w:r>
            <w:r w:rsidR="008C065F">
              <w:t>evere</w:t>
            </w:r>
          </w:p>
        </w:tc>
        <w:tc>
          <w:tcPr>
            <w:tcW w:w="2338" w:type="dxa"/>
          </w:tcPr>
          <w:p w:rsidR="008C065F" w:rsidRDefault="008C065F" w:rsidP="008C065F">
            <w:r>
              <w:t>Severe</w:t>
            </w:r>
          </w:p>
        </w:tc>
      </w:tr>
      <w:tr w:rsidR="008C065F" w:rsidTr="008C065F">
        <w:tc>
          <w:tcPr>
            <w:tcW w:w="1435" w:type="dxa"/>
          </w:tcPr>
          <w:p w:rsidR="008C065F" w:rsidRPr="00346F25" w:rsidRDefault="008C065F" w:rsidP="008C065F">
            <w:r w:rsidRPr="00346F25">
              <w:t>255604002</w:t>
            </w:r>
          </w:p>
        </w:tc>
        <w:tc>
          <w:tcPr>
            <w:tcW w:w="3239" w:type="dxa"/>
          </w:tcPr>
          <w:p w:rsidR="008C065F" w:rsidRPr="00346F25" w:rsidRDefault="008C065F" w:rsidP="008C065F">
            <w:r w:rsidRPr="00346F25">
              <w:t>Mild (qualifier value)</w:t>
            </w:r>
          </w:p>
        </w:tc>
        <w:tc>
          <w:tcPr>
            <w:tcW w:w="2338" w:type="dxa"/>
          </w:tcPr>
          <w:p w:rsidR="008C065F" w:rsidRDefault="008C065F" w:rsidP="008C065F">
            <w:r>
              <w:t>mild</w:t>
            </w:r>
          </w:p>
        </w:tc>
        <w:tc>
          <w:tcPr>
            <w:tcW w:w="2338" w:type="dxa"/>
          </w:tcPr>
          <w:p w:rsidR="008C065F" w:rsidRDefault="008C065F" w:rsidP="008C065F">
            <w:r>
              <w:t>Mild</w:t>
            </w:r>
          </w:p>
        </w:tc>
      </w:tr>
      <w:tr w:rsidR="008C065F" w:rsidTr="008C065F">
        <w:tc>
          <w:tcPr>
            <w:tcW w:w="1435" w:type="dxa"/>
          </w:tcPr>
          <w:p w:rsidR="008C065F" w:rsidRPr="00346F25" w:rsidRDefault="008C065F" w:rsidP="008C065F">
            <w:r w:rsidRPr="00346F25">
              <w:t>371923003</w:t>
            </w:r>
          </w:p>
        </w:tc>
        <w:tc>
          <w:tcPr>
            <w:tcW w:w="3239" w:type="dxa"/>
          </w:tcPr>
          <w:p w:rsidR="008C065F" w:rsidRPr="00346F25" w:rsidRDefault="008C065F" w:rsidP="008C065F">
            <w:r w:rsidRPr="00346F25">
              <w:t>Mild to moderate (qualifier value)</w:t>
            </w:r>
          </w:p>
        </w:tc>
        <w:tc>
          <w:tcPr>
            <w:tcW w:w="2338" w:type="dxa"/>
          </w:tcPr>
          <w:p w:rsidR="008C065F" w:rsidRDefault="008C065F" w:rsidP="008C065F"/>
        </w:tc>
        <w:tc>
          <w:tcPr>
            <w:tcW w:w="2338" w:type="dxa"/>
          </w:tcPr>
          <w:p w:rsidR="008C065F" w:rsidRDefault="008C065F" w:rsidP="008C065F"/>
        </w:tc>
      </w:tr>
      <w:tr w:rsidR="008C065F" w:rsidTr="008C065F">
        <w:tc>
          <w:tcPr>
            <w:tcW w:w="1435" w:type="dxa"/>
          </w:tcPr>
          <w:p w:rsidR="008C065F" w:rsidRPr="00346F25" w:rsidRDefault="008C065F" w:rsidP="008C065F">
            <w:r w:rsidRPr="00346F25">
              <w:t>371924009</w:t>
            </w:r>
          </w:p>
        </w:tc>
        <w:tc>
          <w:tcPr>
            <w:tcW w:w="3239" w:type="dxa"/>
          </w:tcPr>
          <w:p w:rsidR="008C065F" w:rsidRPr="00346F25" w:rsidRDefault="008C065F" w:rsidP="008C065F">
            <w:r w:rsidRPr="00346F25">
              <w:t>Moderate to severe (qualifier value)</w:t>
            </w:r>
          </w:p>
        </w:tc>
        <w:tc>
          <w:tcPr>
            <w:tcW w:w="2338" w:type="dxa"/>
          </w:tcPr>
          <w:p w:rsidR="008C065F" w:rsidRDefault="008C065F" w:rsidP="008C065F"/>
        </w:tc>
        <w:tc>
          <w:tcPr>
            <w:tcW w:w="2338" w:type="dxa"/>
          </w:tcPr>
          <w:p w:rsidR="008C065F" w:rsidRDefault="008C065F" w:rsidP="008C065F"/>
        </w:tc>
      </w:tr>
      <w:tr w:rsidR="008C065F" w:rsidTr="008C065F">
        <w:tc>
          <w:tcPr>
            <w:tcW w:w="1435" w:type="dxa"/>
          </w:tcPr>
          <w:p w:rsidR="008C065F" w:rsidRPr="00346F25" w:rsidRDefault="008C065F" w:rsidP="008C065F">
            <w:r w:rsidRPr="00346F25">
              <w:t>399166001</w:t>
            </w:r>
          </w:p>
        </w:tc>
        <w:tc>
          <w:tcPr>
            <w:tcW w:w="3239" w:type="dxa"/>
          </w:tcPr>
          <w:p w:rsidR="008C065F" w:rsidRPr="00346F25" w:rsidRDefault="008C065F" w:rsidP="008C065F">
            <w:r w:rsidRPr="00346F25">
              <w:t>Fatal (qualifier value)</w:t>
            </w:r>
          </w:p>
        </w:tc>
        <w:tc>
          <w:tcPr>
            <w:tcW w:w="2338" w:type="dxa"/>
          </w:tcPr>
          <w:p w:rsidR="008C065F" w:rsidRDefault="008C065F" w:rsidP="008C065F"/>
        </w:tc>
        <w:tc>
          <w:tcPr>
            <w:tcW w:w="2338" w:type="dxa"/>
          </w:tcPr>
          <w:p w:rsidR="008C065F" w:rsidRDefault="008C065F" w:rsidP="008C065F"/>
        </w:tc>
      </w:tr>
      <w:tr w:rsidR="008C065F" w:rsidTr="008C065F">
        <w:tc>
          <w:tcPr>
            <w:tcW w:w="1435" w:type="dxa"/>
          </w:tcPr>
          <w:p w:rsidR="008C065F" w:rsidRPr="00346F25" w:rsidRDefault="008C065F" w:rsidP="008C065F">
            <w:r w:rsidRPr="00346F25">
              <w:t>6736007</w:t>
            </w:r>
          </w:p>
        </w:tc>
        <w:tc>
          <w:tcPr>
            <w:tcW w:w="3239" w:type="dxa"/>
          </w:tcPr>
          <w:p w:rsidR="008C065F" w:rsidRDefault="008C065F" w:rsidP="008C065F">
            <w:r w:rsidRPr="00346F25">
              <w:t>Moderate (severity modifier) (qualifier value)</w:t>
            </w:r>
          </w:p>
        </w:tc>
        <w:tc>
          <w:tcPr>
            <w:tcW w:w="2338" w:type="dxa"/>
          </w:tcPr>
          <w:p w:rsidR="008C065F" w:rsidRDefault="008C065F" w:rsidP="008C065F">
            <w:r>
              <w:t>moderate</w:t>
            </w:r>
          </w:p>
        </w:tc>
        <w:tc>
          <w:tcPr>
            <w:tcW w:w="2338" w:type="dxa"/>
          </w:tcPr>
          <w:p w:rsidR="008C065F" w:rsidRDefault="008C065F" w:rsidP="008C065F">
            <w:r>
              <w:t>Moderate</w:t>
            </w:r>
          </w:p>
        </w:tc>
      </w:tr>
    </w:tbl>
    <w:p w:rsidR="008C065F" w:rsidRDefault="008C065F" w:rsidP="003A3095">
      <w:bookmarkStart w:id="2" w:name="_GoBack"/>
      <w:bookmarkEnd w:id="2"/>
    </w:p>
    <w:sectPr w:rsidR="008C0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2BD0"/>
    <w:multiLevelType w:val="hybridMultilevel"/>
    <w:tmpl w:val="0E90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F2224"/>
    <w:multiLevelType w:val="hybridMultilevel"/>
    <w:tmpl w:val="F7B2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3409C"/>
    <w:multiLevelType w:val="hybridMultilevel"/>
    <w:tmpl w:val="CA5A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72902"/>
    <w:multiLevelType w:val="hybridMultilevel"/>
    <w:tmpl w:val="C9A8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06"/>
    <w:rsid w:val="000066F4"/>
    <w:rsid w:val="001636E6"/>
    <w:rsid w:val="001A58BA"/>
    <w:rsid w:val="00230B17"/>
    <w:rsid w:val="00241BD3"/>
    <w:rsid w:val="00246806"/>
    <w:rsid w:val="00290A7C"/>
    <w:rsid w:val="002B74FF"/>
    <w:rsid w:val="00395B6B"/>
    <w:rsid w:val="003A19EE"/>
    <w:rsid w:val="003A3095"/>
    <w:rsid w:val="004370BD"/>
    <w:rsid w:val="004E2B8E"/>
    <w:rsid w:val="00500C0C"/>
    <w:rsid w:val="00515A46"/>
    <w:rsid w:val="005C0ED4"/>
    <w:rsid w:val="006454DD"/>
    <w:rsid w:val="006C6832"/>
    <w:rsid w:val="00820ABC"/>
    <w:rsid w:val="00893DB2"/>
    <w:rsid w:val="008C065F"/>
    <w:rsid w:val="008C7EA4"/>
    <w:rsid w:val="009457BE"/>
    <w:rsid w:val="009D5E64"/>
    <w:rsid w:val="009E524A"/>
    <w:rsid w:val="00A010E4"/>
    <w:rsid w:val="00A46A7F"/>
    <w:rsid w:val="00AE1185"/>
    <w:rsid w:val="00B721DD"/>
    <w:rsid w:val="00BD733F"/>
    <w:rsid w:val="00C05DB8"/>
    <w:rsid w:val="00C12648"/>
    <w:rsid w:val="00C84DA8"/>
    <w:rsid w:val="00D80C1E"/>
    <w:rsid w:val="00DF1CF3"/>
    <w:rsid w:val="00E44D45"/>
    <w:rsid w:val="00EB172C"/>
    <w:rsid w:val="00F1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5199"/>
  <w15:chartTrackingRefBased/>
  <w15:docId w15:val="{D4DAADF3-DE78-4E4D-A416-1B32BAAD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806"/>
    <w:rPr>
      <w:color w:val="0563C1" w:themeColor="hyperlink"/>
      <w:u w:val="single"/>
    </w:rPr>
  </w:style>
  <w:style w:type="character" w:styleId="UnresolvedMention">
    <w:name w:val="Unresolved Mention"/>
    <w:basedOn w:val="DefaultParagraphFont"/>
    <w:uiPriority w:val="99"/>
    <w:semiHidden/>
    <w:unhideWhenUsed/>
    <w:rsid w:val="00246806"/>
    <w:rPr>
      <w:color w:val="808080"/>
      <w:shd w:val="clear" w:color="auto" w:fill="E6E6E6"/>
    </w:rPr>
  </w:style>
  <w:style w:type="paragraph" w:styleId="ListParagraph">
    <w:name w:val="List Paragraph"/>
    <w:basedOn w:val="Normal"/>
    <w:uiPriority w:val="34"/>
    <w:qFormat/>
    <w:rsid w:val="00246806"/>
    <w:pPr>
      <w:ind w:left="720"/>
      <w:contextualSpacing/>
    </w:pPr>
  </w:style>
  <w:style w:type="table" w:styleId="TableGrid">
    <w:name w:val="Table Grid"/>
    <w:basedOn w:val="TableNormal"/>
    <w:uiPriority w:val="39"/>
    <w:rsid w:val="003A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C6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30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valueset-allergy-intolerance-type.html" TargetMode="External"/><Relationship Id="rId13" Type="http://schemas.openxmlformats.org/officeDocument/2006/relationships/hyperlink" Target="https://vsac.nlm.nih.gov/valueset/2.16.840.1.113883.3.88.12.80.68/expansion" TargetMode="External"/><Relationship Id="rId18" Type="http://schemas.openxmlformats.org/officeDocument/2006/relationships/hyperlink" Target="https://vsac.nlm.nih.gov/valueset/2.16.840.1.113883.3.88.12.3221.6.8/expan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sac.nlm.nih.gov/valueset/2.16.840.1.113883.3.88.12.3221.6.2/expansion" TargetMode="External"/><Relationship Id="rId12" Type="http://schemas.openxmlformats.org/officeDocument/2006/relationships/hyperlink" Target="http://hl7.org/fhir/us/core/ValueSet-us-core-substance.html" TargetMode="External"/><Relationship Id="rId17" Type="http://schemas.openxmlformats.org/officeDocument/2006/relationships/hyperlink" Target="https://vsac.nlm.nih.gov/valueset/2.16.840.1.113883.3.2074.1.1.30/expansion" TargetMode="External"/><Relationship Id="rId2" Type="http://schemas.openxmlformats.org/officeDocument/2006/relationships/styles" Target="styles.xml"/><Relationship Id="rId16" Type="http://schemas.openxmlformats.org/officeDocument/2006/relationships/hyperlink" Target="http://hl7.org/fhir/valueset-clinical-findings.html" TargetMode="External"/><Relationship Id="rId20" Type="http://schemas.openxmlformats.org/officeDocument/2006/relationships/hyperlink" Target="http://hl7.org/fhir/ValueSet/reaction-event-severity" TargetMode="External"/><Relationship Id="rId1" Type="http://schemas.openxmlformats.org/officeDocument/2006/relationships/numbering" Target="numbering.xml"/><Relationship Id="rId6" Type="http://schemas.openxmlformats.org/officeDocument/2006/relationships/hyperlink" Target="http://hl7.org/fhir/ValueSet/allergy-intolerance-criticality" TargetMode="External"/><Relationship Id="rId11" Type="http://schemas.openxmlformats.org/officeDocument/2006/relationships/hyperlink" Target="http://hl7.org/fhir/valueset-allergyintolerance-code.html" TargetMode="External"/><Relationship Id="rId5" Type="http://schemas.openxmlformats.org/officeDocument/2006/relationships/hyperlink" Target="https://vsac.nlm.nih.gov/valueset/2.16.840.1.113883.1.11.20549/definition" TargetMode="External"/><Relationship Id="rId15" Type="http://schemas.openxmlformats.org/officeDocument/2006/relationships/hyperlink" Target="https://vsac.nlm.nih.gov/valueset/2.16.840.1.113883.3.88.12.3221.7.4/expansion" TargetMode="External"/><Relationship Id="rId10" Type="http://schemas.openxmlformats.org/officeDocument/2006/relationships/hyperlink" Target="https://vsac.nlm.nih.gov/valueset/2.16.840.1.113762.1.4.1010.1/definition" TargetMode="External"/><Relationship Id="rId19" Type="http://schemas.openxmlformats.org/officeDocument/2006/relationships/hyperlink" Target="https://vsac.nlm.nih.gov/valueset/2.16.840.1.113883.3.88.12.3221.6.8/expansion" TargetMode="External"/><Relationship Id="rId4" Type="http://schemas.openxmlformats.org/officeDocument/2006/relationships/webSettings" Target="webSettings.xml"/><Relationship Id="rId9" Type="http://schemas.openxmlformats.org/officeDocument/2006/relationships/hyperlink" Target="http://hl7.org/fhir/valueset-allergy-intolerance-category.html" TargetMode="External"/><Relationship Id="rId14" Type="http://schemas.openxmlformats.org/officeDocument/2006/relationships/hyperlink" Target="http://hl7.org/fhir/ValueSet/allergy-clinical-stat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Lyle</dc:creator>
  <cp:keywords/>
  <dc:description/>
  <cp:lastModifiedBy>Jay Lyle</cp:lastModifiedBy>
  <cp:revision>15</cp:revision>
  <dcterms:created xsi:type="dcterms:W3CDTF">2017-09-27T12:02:00Z</dcterms:created>
  <dcterms:modified xsi:type="dcterms:W3CDTF">2017-09-28T12:55:00Z</dcterms:modified>
</cp:coreProperties>
</file>