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bidi w:val="0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FHIMS WG Information Modeling Priorities</w:t>
      </w:r>
    </w:p>
    <w:tbl>
      <w:tblPr>
        <w:tblW w:w="9232" w:type="dxa"/>
        <w:jc w:val="left"/>
        <w:tblInd w:w="216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auto"/>
        <w:tblLayout w:type="fixed"/>
      </w:tblPr>
      <w:tblGrid>
        <w:gridCol w:w="5195"/>
        <w:gridCol w:w="2188"/>
        <w:gridCol w:w="1849"/>
      </w:tblGrid>
      <w:tr>
        <w:tblPrEx>
          <w:shd w:val="clear" w:color="auto" w:fill="bdc0bf"/>
        </w:tblPrEx>
        <w:trPr>
          <w:trHeight w:val="1060" w:hRule="atLeast"/>
          <w:tblHeader/>
        </w:trPr>
        <w:tc>
          <w:tcPr>
            <w:tcW w:type="dxa" w:w="51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Free Form"/>
              <w:keepNext w:val="1"/>
              <w:jc w:val="center"/>
            </w:pP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  <w:lang w:val="en-US"/>
              </w:rPr>
              <w:t>Information Domain Description</w:t>
            </w:r>
          </w:p>
        </w:tc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Free Form"/>
              <w:keepNext w:val="1"/>
              <w:jc w:val="center"/>
            </w:pP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  <w:lang w:val="en-US"/>
              </w:rPr>
              <w:t>Submitting Steering Group Member</w:t>
            </w:r>
          </w:p>
        </w:tc>
        <w:tc>
          <w:tcPr>
            <w:tcW w:type="dxa" w:w="184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Free Form"/>
              <w:keepNext w:val="1"/>
              <w:jc w:val="center"/>
            </w:pP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  <w:lang w:val="en-US"/>
              </w:rPr>
              <w:t>Consensus Steering Group Priority</w:t>
            </w:r>
          </w:p>
        </w:tc>
      </w:tr>
      <w:tr>
        <w:tblPrEx>
          <w:shd w:val="clear" w:color="auto" w:fill="auto"/>
        </w:tblPrEx>
        <w:trPr>
          <w:trHeight w:val="500" w:hRule="atLeast"/>
        </w:trPr>
        <w:tc>
          <w:tcPr>
            <w:tcW w:type="dxa" w:w="51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Free Form"/>
            </w:pPr>
            <w:r>
              <w:rPr>
                <w:rFonts w:ascii="Helvetica" w:hAnsi="Helvetica"/>
                <w:sz w:val="24"/>
                <w:szCs w:val="24"/>
                <w:rtl w:val="0"/>
                <w:lang w:val="en-US"/>
              </w:rPr>
              <w:t>Person</w:t>
            </w:r>
          </w:p>
        </w:tc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Free Form"/>
            </w:pPr>
            <w:r>
              <w:rPr>
                <w:rFonts w:ascii="Helvetica" w:hAnsi="Helvetica"/>
                <w:sz w:val="24"/>
                <w:szCs w:val="24"/>
                <w:rtl w:val="0"/>
                <w:lang w:val="en-US"/>
              </w:rPr>
              <w:t>Multiple</w:t>
            </w:r>
          </w:p>
        </w:tc>
        <w:tc>
          <w:tcPr>
            <w:tcW w:type="dxa" w:w="184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Free Form"/>
              <w:jc w:val="center"/>
            </w:pPr>
            <w:r>
              <w:rPr>
                <w:rFonts w:ascii="Helvetica" w:hAnsi="Helvetica"/>
                <w:sz w:val="24"/>
                <w:szCs w:val="24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500" w:hRule="atLeast"/>
        </w:trPr>
        <w:tc>
          <w:tcPr>
            <w:tcW w:type="dxa" w:w="51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Free Form"/>
            </w:pPr>
            <w:r>
              <w:rPr>
                <w:rFonts w:ascii="Helvetica" w:hAnsi="Helvetica"/>
                <w:sz w:val="24"/>
                <w:szCs w:val="24"/>
                <w:rtl w:val="0"/>
                <w:lang w:val="en-US"/>
              </w:rPr>
              <w:t>Eligibility/Enrollment/Coordination of Benefits</w:t>
            </w:r>
          </w:p>
        </w:tc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Free Form"/>
            </w:pPr>
            <w:r>
              <w:rPr>
                <w:rFonts w:ascii="Helvetica" w:hAnsi="Helvetica"/>
                <w:sz w:val="24"/>
                <w:szCs w:val="24"/>
                <w:rtl w:val="0"/>
                <w:lang w:val="en-US"/>
              </w:rPr>
              <w:t>Multiple</w:t>
            </w:r>
          </w:p>
        </w:tc>
        <w:tc>
          <w:tcPr>
            <w:tcW w:type="dxa" w:w="184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Free Form"/>
              <w:jc w:val="center"/>
            </w:pPr>
            <w:r>
              <w:rPr>
                <w:rFonts w:ascii="Helvetica" w:hAnsi="Helvetica"/>
                <w:sz w:val="24"/>
                <w:szCs w:val="24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500" w:hRule="atLeast"/>
        </w:trPr>
        <w:tc>
          <w:tcPr>
            <w:tcW w:type="dxa" w:w="51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Free Form"/>
            </w:pPr>
            <w:r>
              <w:rPr>
                <w:rFonts w:ascii="Helvetica" w:hAnsi="Helvetica"/>
                <w:sz w:val="24"/>
                <w:szCs w:val="24"/>
                <w:rtl w:val="0"/>
                <w:lang w:val="en-US"/>
              </w:rPr>
              <w:t>Protocol-Driven Clinical Research</w:t>
            </w:r>
          </w:p>
        </w:tc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Free Form"/>
            </w:pPr>
            <w:r>
              <w:rPr>
                <w:rFonts w:ascii="Helvetica" w:hAnsi="Helvetica"/>
                <w:sz w:val="24"/>
                <w:szCs w:val="24"/>
                <w:rtl w:val="0"/>
                <w:lang w:val="en-US"/>
              </w:rPr>
              <w:t>NCI</w:t>
            </w:r>
          </w:p>
        </w:tc>
        <w:tc>
          <w:tcPr>
            <w:tcW w:type="dxa" w:w="184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00" w:hRule="atLeast"/>
        </w:trPr>
        <w:tc>
          <w:tcPr>
            <w:tcW w:type="dxa" w:w="51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Free Form"/>
            </w:pPr>
            <w:r>
              <w:rPr>
                <w:rFonts w:ascii="Helvetica" w:hAnsi="Helvetica"/>
                <w:sz w:val="24"/>
                <w:szCs w:val="24"/>
                <w:rtl w:val="0"/>
                <w:lang w:val="en-US"/>
              </w:rPr>
              <w:t>Oncology Extensions</w:t>
            </w:r>
          </w:p>
        </w:tc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Free Form"/>
            </w:pPr>
            <w:r>
              <w:rPr>
                <w:rFonts w:ascii="Helvetica" w:hAnsi="Helvetica"/>
                <w:sz w:val="24"/>
                <w:szCs w:val="24"/>
                <w:rtl w:val="0"/>
                <w:lang w:val="en-US"/>
              </w:rPr>
              <w:t>NCI</w:t>
            </w:r>
          </w:p>
        </w:tc>
        <w:tc>
          <w:tcPr>
            <w:tcW w:type="dxa" w:w="184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00" w:hRule="atLeast"/>
        </w:trPr>
        <w:tc>
          <w:tcPr>
            <w:tcW w:type="dxa" w:w="51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Free Form"/>
            </w:pPr>
            <w:r>
              <w:rPr>
                <w:rFonts w:ascii="Helvetica" w:hAnsi="Helvetica"/>
                <w:sz w:val="24"/>
                <w:szCs w:val="24"/>
                <w:rtl w:val="0"/>
                <w:lang w:val="en-US"/>
              </w:rPr>
              <w:t>Ambulatory EHR</w:t>
            </w:r>
          </w:p>
        </w:tc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Free Form"/>
            </w:pPr>
            <w:r>
              <w:rPr>
                <w:rFonts w:ascii="Helvetica" w:hAnsi="Helvetica"/>
                <w:sz w:val="24"/>
                <w:szCs w:val="24"/>
                <w:rtl w:val="0"/>
                <w:lang w:val="en-US"/>
              </w:rPr>
              <w:t>NCI</w:t>
            </w:r>
          </w:p>
        </w:tc>
        <w:tc>
          <w:tcPr>
            <w:tcW w:type="dxa" w:w="184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Free Form"/>
              <w:jc w:val="center"/>
            </w:pPr>
            <w:r>
              <w:rPr>
                <w:rFonts w:ascii="Helvetica" w:hAnsi="Helvetica"/>
                <w:sz w:val="24"/>
                <w:szCs w:val="24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780" w:hRule="atLeast"/>
        </w:trPr>
        <w:tc>
          <w:tcPr>
            <w:tcW w:type="dxa" w:w="51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Free Form"/>
            </w:pPr>
            <w:r>
              <w:rPr>
                <w:rFonts w:ascii="Helvetica" w:hAnsi="Helvetica"/>
                <w:sz w:val="24"/>
                <w:szCs w:val="24"/>
                <w:rtl w:val="0"/>
                <w:lang w:val="en-US"/>
              </w:rPr>
              <w:t>Continuity of Care Document Information Categories</w:t>
            </w:r>
          </w:p>
        </w:tc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Free Form"/>
            </w:pPr>
            <w:r>
              <w:rPr>
                <w:rFonts w:ascii="Helvetica" w:hAnsi="Helvetica"/>
                <w:sz w:val="24"/>
                <w:szCs w:val="24"/>
                <w:rtl w:val="0"/>
                <w:lang w:val="en-US"/>
              </w:rPr>
              <w:t>SSA</w:t>
            </w:r>
          </w:p>
        </w:tc>
        <w:tc>
          <w:tcPr>
            <w:tcW w:type="dxa" w:w="184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Free Form"/>
              <w:jc w:val="center"/>
            </w:pPr>
            <w:r>
              <w:rPr>
                <w:rFonts w:ascii="Helvetica" w:hAnsi="Helvetica"/>
                <w:sz w:val="24"/>
                <w:szCs w:val="24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780" w:hRule="atLeast"/>
        </w:trPr>
        <w:tc>
          <w:tcPr>
            <w:tcW w:type="dxa" w:w="51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Free Form"/>
            </w:pPr>
            <w:r>
              <w:rPr>
                <w:rFonts w:ascii="Helvetica" w:hAnsi="Helvetica"/>
                <w:sz w:val="24"/>
                <w:szCs w:val="24"/>
                <w:rtl w:val="0"/>
                <w:lang w:val="en-US"/>
              </w:rPr>
              <w:t>Medications (especially National Drug File-Reference Terminology)</w:t>
            </w:r>
          </w:p>
        </w:tc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Free Form"/>
            </w:pPr>
            <w:r>
              <w:rPr>
                <w:rFonts w:ascii="Helvetica" w:hAnsi="Helvetica"/>
                <w:sz w:val="24"/>
                <w:szCs w:val="24"/>
                <w:rtl w:val="0"/>
                <w:lang w:val="en-US"/>
              </w:rPr>
              <w:t>VA/VHA</w:t>
            </w:r>
          </w:p>
        </w:tc>
        <w:tc>
          <w:tcPr>
            <w:tcW w:type="dxa" w:w="184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Free Form"/>
              <w:jc w:val="center"/>
            </w:pPr>
            <w:r>
              <w:rPr>
                <w:rFonts w:ascii="Helvetica" w:hAnsi="Helvetica"/>
                <w:sz w:val="24"/>
                <w:szCs w:val="24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500" w:hRule="atLeast"/>
        </w:trPr>
        <w:tc>
          <w:tcPr>
            <w:tcW w:type="dxa" w:w="51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Free Form"/>
            </w:pPr>
            <w:r>
              <w:rPr>
                <w:rFonts w:ascii="Helvetica" w:hAnsi="Helvetica"/>
                <w:sz w:val="24"/>
                <w:szCs w:val="24"/>
                <w:rtl w:val="0"/>
                <w:lang w:val="en-US"/>
              </w:rPr>
              <w:t>Laboratory</w:t>
            </w:r>
          </w:p>
        </w:tc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Free Form"/>
            </w:pPr>
            <w:r>
              <w:rPr>
                <w:rFonts w:ascii="Helvetica" w:hAnsi="Helvetica"/>
                <w:sz w:val="24"/>
                <w:szCs w:val="24"/>
                <w:rtl w:val="0"/>
                <w:lang w:val="en-US"/>
              </w:rPr>
              <w:t>VA/VHA</w:t>
            </w:r>
          </w:p>
        </w:tc>
        <w:tc>
          <w:tcPr>
            <w:tcW w:type="dxa" w:w="184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Free Form"/>
              <w:jc w:val="center"/>
            </w:pPr>
            <w:r>
              <w:rPr>
                <w:rFonts w:ascii="Helvetica" w:hAnsi="Helvetica"/>
                <w:sz w:val="24"/>
                <w:szCs w:val="24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500" w:hRule="atLeast"/>
        </w:trPr>
        <w:tc>
          <w:tcPr>
            <w:tcW w:type="dxa" w:w="51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Free Form"/>
            </w:pPr>
            <w:r>
              <w:rPr>
                <w:rFonts w:ascii="Helvetica" w:hAnsi="Helvetica"/>
                <w:sz w:val="24"/>
                <w:szCs w:val="24"/>
                <w:rtl w:val="0"/>
                <w:lang w:val="en-US"/>
              </w:rPr>
              <w:t>Allergy</w:t>
            </w:r>
          </w:p>
        </w:tc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Free Form"/>
            </w:pPr>
            <w:r>
              <w:rPr>
                <w:rFonts w:ascii="Helvetica" w:hAnsi="Helvetica"/>
                <w:sz w:val="24"/>
                <w:szCs w:val="24"/>
                <w:rtl w:val="0"/>
                <w:lang w:val="en-US"/>
              </w:rPr>
              <w:t>VA/VHA</w:t>
            </w:r>
          </w:p>
        </w:tc>
        <w:tc>
          <w:tcPr>
            <w:tcW w:type="dxa" w:w="184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Free Form"/>
              <w:jc w:val="center"/>
            </w:pPr>
            <w:r>
              <w:rPr>
                <w:rFonts w:ascii="Helvetica" w:hAnsi="Helvetica"/>
                <w:sz w:val="24"/>
                <w:szCs w:val="24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500" w:hRule="atLeast"/>
        </w:trPr>
        <w:tc>
          <w:tcPr>
            <w:tcW w:type="dxa" w:w="51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Free Form"/>
            </w:pPr>
            <w:r>
              <w:rPr>
                <w:rFonts w:ascii="Helvetica" w:hAnsi="Helvetica"/>
                <w:sz w:val="24"/>
                <w:szCs w:val="24"/>
                <w:rtl w:val="0"/>
                <w:lang w:val="en-US"/>
              </w:rPr>
              <w:t>Vital Signs</w:t>
            </w:r>
          </w:p>
        </w:tc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Free Form"/>
            </w:pPr>
            <w:r>
              <w:rPr>
                <w:rFonts w:ascii="Helvetica" w:hAnsi="Helvetica"/>
                <w:sz w:val="24"/>
                <w:szCs w:val="24"/>
                <w:rtl w:val="0"/>
                <w:lang w:val="en-US"/>
              </w:rPr>
              <w:t>VA/VHA</w:t>
            </w:r>
          </w:p>
        </w:tc>
        <w:tc>
          <w:tcPr>
            <w:tcW w:type="dxa" w:w="184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Free Form"/>
              <w:jc w:val="center"/>
            </w:pPr>
            <w:r>
              <w:rPr>
                <w:rFonts w:ascii="Helvetica" w:hAnsi="Helvetica"/>
                <w:sz w:val="24"/>
                <w:szCs w:val="24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500" w:hRule="atLeast"/>
        </w:trPr>
        <w:tc>
          <w:tcPr>
            <w:tcW w:type="dxa" w:w="51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Free Form"/>
            </w:pPr>
            <w:r>
              <w:rPr>
                <w:rFonts w:ascii="Helvetica" w:hAnsi="Helvetica"/>
                <w:sz w:val="24"/>
                <w:szCs w:val="24"/>
                <w:rtl w:val="0"/>
                <w:lang w:val="en-US"/>
              </w:rPr>
              <w:t>Hospital Acquired Infections</w:t>
            </w:r>
          </w:p>
        </w:tc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Free Form"/>
            </w:pPr>
            <w:r>
              <w:rPr>
                <w:rFonts w:ascii="Helvetica" w:hAnsi="Helvetica"/>
                <w:sz w:val="24"/>
                <w:szCs w:val="24"/>
                <w:rtl w:val="0"/>
                <w:lang w:val="en-US"/>
              </w:rPr>
              <w:t>CDC</w:t>
            </w:r>
          </w:p>
        </w:tc>
        <w:tc>
          <w:tcPr>
            <w:tcW w:type="dxa" w:w="184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00" w:hRule="atLeast"/>
        </w:trPr>
        <w:tc>
          <w:tcPr>
            <w:tcW w:type="dxa" w:w="51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Free Form"/>
            </w:pPr>
            <w:r>
              <w:rPr>
                <w:rFonts w:ascii="Helvetica" w:hAnsi="Helvetica"/>
                <w:sz w:val="24"/>
                <w:szCs w:val="24"/>
                <w:rtl w:val="0"/>
                <w:lang w:val="en-US"/>
              </w:rPr>
              <w:t>Quality Reporting/Measures</w:t>
            </w:r>
          </w:p>
        </w:tc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Free Form"/>
            </w:pPr>
            <w:r>
              <w:rPr>
                <w:rFonts w:ascii="Helvetica" w:hAnsi="Helvetica"/>
                <w:sz w:val="24"/>
                <w:szCs w:val="24"/>
                <w:rtl w:val="0"/>
                <w:lang w:val="en-US"/>
              </w:rPr>
              <w:t>CDC</w:t>
            </w:r>
          </w:p>
        </w:tc>
        <w:tc>
          <w:tcPr>
            <w:tcW w:type="dxa" w:w="184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00" w:hRule="atLeast"/>
        </w:trPr>
        <w:tc>
          <w:tcPr>
            <w:tcW w:type="dxa" w:w="51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Free Form"/>
            </w:pPr>
            <w:r>
              <w:rPr>
                <w:rFonts w:ascii="Helvetica" w:hAnsi="Helvetica"/>
                <w:sz w:val="24"/>
                <w:szCs w:val="24"/>
                <w:rtl w:val="0"/>
                <w:lang w:val="en-US"/>
              </w:rPr>
              <w:t>Public Health Case Reporting</w:t>
            </w:r>
          </w:p>
        </w:tc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Free Form"/>
            </w:pPr>
            <w:r>
              <w:rPr>
                <w:rFonts w:ascii="Helvetica" w:hAnsi="Helvetica"/>
                <w:sz w:val="24"/>
                <w:szCs w:val="24"/>
                <w:rtl w:val="0"/>
                <w:lang w:val="en-US"/>
              </w:rPr>
              <w:t>CDC</w:t>
            </w:r>
          </w:p>
        </w:tc>
        <w:tc>
          <w:tcPr>
            <w:tcW w:type="dxa" w:w="184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00" w:hRule="atLeast"/>
        </w:trPr>
        <w:tc>
          <w:tcPr>
            <w:tcW w:type="dxa" w:w="51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Free Form"/>
            </w:pPr>
            <w:r>
              <w:rPr>
                <w:rFonts w:ascii="Helvetica" w:hAnsi="Helvetica"/>
                <w:sz w:val="24"/>
                <w:szCs w:val="24"/>
                <w:rtl w:val="0"/>
                <w:lang w:val="en-US"/>
              </w:rPr>
              <w:t>Public Health Surveillance</w:t>
            </w:r>
          </w:p>
        </w:tc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Free Form"/>
            </w:pPr>
            <w:r>
              <w:rPr>
                <w:rFonts w:ascii="Helvetica" w:hAnsi="Helvetica"/>
                <w:sz w:val="24"/>
                <w:szCs w:val="24"/>
                <w:rtl w:val="0"/>
                <w:lang w:val="en-US"/>
              </w:rPr>
              <w:t>CDC</w:t>
            </w:r>
          </w:p>
        </w:tc>
        <w:tc>
          <w:tcPr>
            <w:tcW w:type="dxa" w:w="184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00" w:hRule="atLeast"/>
        </w:trPr>
        <w:tc>
          <w:tcPr>
            <w:tcW w:type="dxa" w:w="51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Free Form"/>
            </w:pPr>
            <w:r>
              <w:rPr>
                <w:rFonts w:ascii="Helvetica" w:hAnsi="Helvetica"/>
                <w:sz w:val="24"/>
                <w:szCs w:val="24"/>
                <w:rtl w:val="0"/>
                <w:lang w:val="en-US"/>
              </w:rPr>
              <w:t>Pharmaco Surveillance</w:t>
            </w:r>
          </w:p>
        </w:tc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Free Form"/>
            </w:pPr>
            <w:r>
              <w:rPr>
                <w:rFonts w:ascii="Helvetica" w:hAnsi="Helvetica"/>
                <w:sz w:val="24"/>
                <w:szCs w:val="24"/>
                <w:rtl w:val="0"/>
                <w:lang w:val="en-US"/>
              </w:rPr>
              <w:t>CDC</w:t>
            </w:r>
          </w:p>
        </w:tc>
        <w:tc>
          <w:tcPr>
            <w:tcW w:type="dxa" w:w="184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00" w:hRule="atLeast"/>
        </w:trPr>
        <w:tc>
          <w:tcPr>
            <w:tcW w:type="dxa" w:w="51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Free Form"/>
            </w:pPr>
            <w:r>
              <w:rPr>
                <w:rFonts w:ascii="Helvetica" w:hAnsi="Helvetica"/>
                <w:sz w:val="24"/>
                <w:szCs w:val="24"/>
                <w:rtl w:val="0"/>
                <w:lang w:val="en-US"/>
              </w:rPr>
              <w:t>Immunizations</w:t>
            </w:r>
          </w:p>
        </w:tc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Free Form"/>
            </w:pPr>
            <w:r>
              <w:rPr>
                <w:rFonts w:ascii="Helvetica" w:hAnsi="Helvetica"/>
                <w:sz w:val="24"/>
                <w:szCs w:val="24"/>
                <w:rtl w:val="0"/>
                <w:lang w:val="en-US"/>
              </w:rPr>
              <w:t>DoD</w:t>
            </w:r>
          </w:p>
        </w:tc>
        <w:tc>
          <w:tcPr>
            <w:tcW w:type="dxa" w:w="184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Free Form"/>
              <w:jc w:val="center"/>
            </w:pPr>
            <w:r>
              <w:rPr>
                <w:rFonts w:ascii="Helvetica" w:hAnsi="Helvetica"/>
                <w:sz w:val="24"/>
                <w:szCs w:val="24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500" w:hRule="atLeast"/>
        </w:trPr>
        <w:tc>
          <w:tcPr>
            <w:tcW w:type="dxa" w:w="51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Free Form"/>
            </w:pPr>
            <w:r>
              <w:rPr>
                <w:rFonts w:ascii="Helvetica" w:hAnsi="Helvetica"/>
                <w:sz w:val="24"/>
                <w:szCs w:val="24"/>
                <w:rtl w:val="0"/>
                <w:lang w:val="en-US"/>
              </w:rPr>
              <w:t>Discharge Summary</w:t>
            </w:r>
          </w:p>
        </w:tc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Free Form"/>
            </w:pPr>
            <w:r>
              <w:rPr>
                <w:rFonts w:ascii="Helvetica" w:hAnsi="Helvetica"/>
                <w:sz w:val="24"/>
                <w:szCs w:val="24"/>
                <w:rtl w:val="0"/>
                <w:lang w:val="en-US"/>
              </w:rPr>
              <w:t>DoD</w:t>
            </w:r>
          </w:p>
        </w:tc>
        <w:tc>
          <w:tcPr>
            <w:tcW w:type="dxa" w:w="184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Free Form"/>
              <w:jc w:val="center"/>
            </w:pPr>
            <w:r>
              <w:rPr>
                <w:rFonts w:ascii="Helvetica" w:hAnsi="Helvetica"/>
                <w:sz w:val="24"/>
                <w:szCs w:val="24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500" w:hRule="atLeast"/>
        </w:trPr>
        <w:tc>
          <w:tcPr>
            <w:tcW w:type="dxa" w:w="51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Free Form"/>
            </w:pPr>
            <w:r>
              <w:rPr>
                <w:rFonts w:ascii="Helvetica" w:hAnsi="Helvetica"/>
                <w:sz w:val="24"/>
                <w:szCs w:val="24"/>
                <w:rtl w:val="0"/>
                <w:lang w:val="en-US"/>
              </w:rPr>
              <w:t>Problems</w:t>
            </w:r>
          </w:p>
        </w:tc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Free Form"/>
            </w:pPr>
            <w:r>
              <w:rPr>
                <w:rFonts w:ascii="Helvetica" w:hAnsi="Helvetica"/>
                <w:sz w:val="24"/>
                <w:szCs w:val="24"/>
                <w:rtl w:val="0"/>
                <w:lang w:val="en-US"/>
              </w:rPr>
              <w:t>DoD</w:t>
            </w:r>
          </w:p>
        </w:tc>
        <w:tc>
          <w:tcPr>
            <w:tcW w:type="dxa" w:w="184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Free Form"/>
              <w:jc w:val="center"/>
            </w:pPr>
            <w:r>
              <w:rPr>
                <w:rFonts w:ascii="Helvetica" w:hAnsi="Helvetica"/>
                <w:sz w:val="24"/>
                <w:szCs w:val="24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500" w:hRule="atLeast"/>
        </w:trPr>
        <w:tc>
          <w:tcPr>
            <w:tcW w:type="dxa" w:w="51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Free Form"/>
            </w:pPr>
            <w:r>
              <w:rPr>
                <w:rFonts w:ascii="Helvetica" w:hAnsi="Helvetica"/>
                <w:sz w:val="24"/>
                <w:szCs w:val="24"/>
                <w:rtl w:val="0"/>
                <w:lang w:val="en-US"/>
              </w:rPr>
              <w:t>ER Encounters</w:t>
            </w:r>
          </w:p>
        </w:tc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Free Form"/>
            </w:pPr>
            <w:r>
              <w:rPr>
                <w:rFonts w:ascii="Helvetica" w:hAnsi="Helvetica"/>
                <w:sz w:val="24"/>
                <w:szCs w:val="24"/>
                <w:rtl w:val="0"/>
                <w:lang w:val="en-US"/>
              </w:rPr>
              <w:t>DoD</w:t>
            </w:r>
          </w:p>
        </w:tc>
        <w:tc>
          <w:tcPr>
            <w:tcW w:type="dxa" w:w="184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Free Form"/>
              <w:jc w:val="center"/>
            </w:pPr>
            <w:r>
              <w:rPr>
                <w:rFonts w:ascii="Helvetica" w:hAnsi="Helvetica"/>
                <w:sz w:val="24"/>
                <w:szCs w:val="24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500" w:hRule="atLeast"/>
        </w:trPr>
        <w:tc>
          <w:tcPr>
            <w:tcW w:type="dxa" w:w="51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Free Form"/>
            </w:pPr>
            <w:r>
              <w:rPr>
                <w:rFonts w:ascii="Helvetica" w:hAnsi="Helvetica"/>
                <w:sz w:val="24"/>
                <w:szCs w:val="24"/>
                <w:rtl w:val="0"/>
                <w:lang w:val="en-US"/>
              </w:rPr>
              <w:t>Appointments</w:t>
            </w:r>
          </w:p>
        </w:tc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Free Form"/>
            </w:pPr>
            <w:r>
              <w:rPr>
                <w:rFonts w:ascii="Helvetica" w:hAnsi="Helvetica"/>
                <w:sz w:val="24"/>
                <w:szCs w:val="24"/>
                <w:rtl w:val="0"/>
                <w:lang w:val="en-US"/>
              </w:rPr>
              <w:t>DoD</w:t>
            </w:r>
          </w:p>
        </w:tc>
        <w:tc>
          <w:tcPr>
            <w:tcW w:type="dxa" w:w="184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Free Form"/>
              <w:jc w:val="center"/>
            </w:pPr>
            <w:r>
              <w:rPr>
                <w:rFonts w:ascii="Helvetica" w:hAnsi="Helvetica"/>
                <w:sz w:val="24"/>
                <w:szCs w:val="24"/>
                <w:rtl w:val="0"/>
                <w:lang w:val="en-US"/>
              </w:rPr>
              <w:t>3</w:t>
            </w:r>
          </w:p>
        </w:tc>
      </w:tr>
    </w:tbl>
    <w:p>
      <w:pPr>
        <w:pStyle w:val="Free Form"/>
        <w:ind w:left="108" w:firstLine="0"/>
        <w:rPr>
          <w:b w:val="1"/>
          <w:bCs w:val="1"/>
          <w:sz w:val="36"/>
          <w:szCs w:val="36"/>
        </w:rPr>
      </w:pPr>
    </w:p>
    <w:p>
      <w:pPr>
        <w:pStyle w:val="Body A"/>
        <w:bidi w:val="0"/>
      </w:pPr>
      <w:r>
        <w:rPr>
          <w:sz w:val="24"/>
          <w:szCs w:val="24"/>
          <w:rtl w:val="0"/>
          <w:lang w:val="en-US"/>
        </w:rPr>
        <w:t>Note:  The Proposed Rule for Meaningful Use will be reviewed when it is finalized to determine if additions from the rule should be made to the priorities listed above.</w:t>
      </w:r>
    </w:p>
    <w:sectPr>
      <w:headerReference w:type="default" r:id="rId4"/>
      <w:headerReference w:type="even" r:id="rId5"/>
      <w:footerReference w:type="default" r:id="rId6"/>
      <w:footerReference w:type="even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 A"/>
      <w:tabs>
        <w:tab w:val="right" w:pos="9340"/>
        <w:tab w:val="clear" w:pos="9360"/>
      </w:tabs>
    </w:pPr>
    <w:r>
      <w:rPr>
        <w:sz w:val="20"/>
        <w:szCs w:val="20"/>
        <w:rtl w:val="0"/>
        <w:lang w:val="en-US"/>
      </w:rPr>
      <w:t xml:space="preserve">FHIMS WG                                             </w:t>
    </w:r>
    <w:r>
      <w:rPr>
        <w:sz w:val="20"/>
        <w:szCs w:val="20"/>
      </w:rPr>
      <w:fldChar w:fldCharType="begin" w:fldLock="0"/>
    </w:r>
    <w:r>
      <w:rPr>
        <w:sz w:val="20"/>
        <w:szCs w:val="20"/>
      </w:rPr>
      <w:instrText xml:space="preserve"> DATE \@ "dddd, MMMM d, yyyy" </w:instrText>
    </w:r>
    <w:r>
      <w:rPr>
        <w:sz w:val="20"/>
        <w:szCs w:val="20"/>
      </w:rPr>
      <w:fldChar w:fldCharType="separate" w:fldLock="0"/>
    </w:r>
    <w:r>
      <w:rPr>
        <w:sz w:val="20"/>
        <w:szCs w:val="20"/>
        <w:rtl w:val="0"/>
        <w:lang w:val="en-US"/>
      </w:rPr>
      <w:t>Monday, June 24, 2019</w:t>
    </w:r>
    <w:r>
      <w:rPr>
        <w:sz w:val="20"/>
        <w:szCs w:val="20"/>
      </w:rPr>
      <w:fldChar w:fldCharType="end" w:fldLock="0"/>
    </w:r>
    <w:r>
      <w:rPr>
        <w:sz w:val="20"/>
        <w:szCs w:val="20"/>
        <w:rtl w:val="0"/>
        <w:lang w:val="en-US"/>
      </w:rPr>
      <w:t xml:space="preserve"> </w:t>
      <w:tab/>
      <w:t xml:space="preserve">Page </w:t>
    </w:r>
    <w:r>
      <w:rPr>
        <w:sz w:val="20"/>
        <w:szCs w:val="20"/>
      </w:rPr>
      <w:fldChar w:fldCharType="begin" w:fldLock="0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 w:fldLock="0"/>
    </w:r>
    <w:r>
      <w:rPr>
        <w:sz w:val="20"/>
        <w:szCs w:val="20"/>
      </w:rPr>
      <w:t>1</w:t>
    </w:r>
    <w:r>
      <w:rPr>
        <w:sz w:val="20"/>
        <w:szCs w:val="20"/>
      </w:rPr>
      <w:fldChar w:fldCharType="end" w:fldLock="0"/>
    </w:r>
    <w:r>
      <w:rPr>
        <w:sz w:val="20"/>
        <w:szCs w:val="20"/>
        <w:rtl w:val="0"/>
        <w:lang w:val="en-US"/>
      </w:rPr>
      <w:t xml:space="preserve"> of </w:t>
    </w:r>
    <w:r>
      <w:rPr>
        <w:sz w:val="20"/>
        <w:szCs w:val="20"/>
      </w:rPr>
      <w:fldChar w:fldCharType="begin" w:fldLock="0"/>
    </w:r>
    <w:r>
      <w:rPr>
        <w:sz w:val="20"/>
        <w:szCs w:val="20"/>
      </w:rPr>
      <w:instrText xml:space="preserve"> NUMPAGES </w:instrText>
    </w:r>
    <w:r>
      <w:rPr>
        <w:sz w:val="20"/>
        <w:szCs w:val="20"/>
      </w:rPr>
      <w:fldChar w:fldCharType="separate" w:fldLock="0"/>
    </w:r>
    <w:r>
      <w:rPr>
        <w:sz w:val="20"/>
        <w:szCs w:val="20"/>
      </w:rPr>
      <w:t>1</w:t>
    </w:r>
    <w:r>
      <w:rPr>
        <w:sz w:val="20"/>
        <w:szCs w:val="20"/>
      </w:rPr>
      <w:fldChar w:fldCharType="end" w:fldLock="0"/>
    </w:r>
    <w:r>
      <w:rPr>
        <w:sz w:val="20"/>
        <w:szCs w:val="20"/>
      </w:rPr>
      <w:tab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 A"/>
      <w:tabs>
        <w:tab w:val="right" w:pos="9340"/>
        <w:tab w:val="clear" w:pos="9360"/>
      </w:tabs>
    </w:pPr>
    <w:r>
      <w:rPr>
        <w:sz w:val="20"/>
        <w:szCs w:val="20"/>
        <w:rtl w:val="0"/>
        <w:lang w:val="en-US"/>
      </w:rPr>
      <w:t xml:space="preserve">FHIMS WG                                             </w:t>
    </w:r>
    <w:r>
      <w:rPr>
        <w:sz w:val="20"/>
        <w:szCs w:val="20"/>
      </w:rPr>
      <w:fldChar w:fldCharType="begin" w:fldLock="0"/>
    </w:r>
    <w:r>
      <w:rPr>
        <w:sz w:val="20"/>
        <w:szCs w:val="20"/>
      </w:rPr>
      <w:instrText xml:space="preserve"> DATE \@ "dddd, MMMM d, yyyy" </w:instrText>
    </w:r>
    <w:r>
      <w:rPr>
        <w:sz w:val="20"/>
        <w:szCs w:val="20"/>
      </w:rPr>
      <w:fldChar w:fldCharType="separate" w:fldLock="0"/>
    </w:r>
    <w:r>
      <w:rPr>
        <w:sz w:val="20"/>
        <w:szCs w:val="20"/>
        <w:rtl w:val="0"/>
        <w:lang w:val="en-US"/>
      </w:rPr>
      <w:t>Monday, June 24, 2019</w:t>
    </w:r>
    <w:r>
      <w:rPr>
        <w:sz w:val="20"/>
        <w:szCs w:val="20"/>
      </w:rPr>
      <w:fldChar w:fldCharType="end" w:fldLock="0"/>
    </w:r>
    <w:r>
      <w:rPr>
        <w:sz w:val="20"/>
        <w:szCs w:val="20"/>
        <w:rtl w:val="0"/>
        <w:lang w:val="en-US"/>
      </w:rPr>
      <w:t xml:space="preserve"> </w:t>
      <w:tab/>
      <w:t xml:space="preserve">Page </w:t>
    </w:r>
    <w:r>
      <w:rPr>
        <w:sz w:val="20"/>
        <w:szCs w:val="20"/>
      </w:rPr>
      <w:fldChar w:fldCharType="begin" w:fldLock="0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 w:fldLock="0"/>
    </w:r>
    <w:r>
      <w:rPr>
        <w:sz w:val="20"/>
        <w:szCs w:val="20"/>
      </w:rPr>
    </w:r>
    <w:r>
      <w:rPr>
        <w:sz w:val="20"/>
        <w:szCs w:val="20"/>
      </w:rPr>
      <w:fldChar w:fldCharType="end" w:fldLock="0"/>
    </w:r>
    <w:r>
      <w:rPr>
        <w:sz w:val="20"/>
        <w:szCs w:val="20"/>
        <w:rtl w:val="0"/>
        <w:lang w:val="en-US"/>
      </w:rPr>
      <w:t xml:space="preserve"> of </w:t>
    </w:r>
    <w:r>
      <w:rPr>
        <w:sz w:val="20"/>
        <w:szCs w:val="20"/>
      </w:rPr>
      <w:fldChar w:fldCharType="begin" w:fldLock="0"/>
    </w:r>
    <w:r>
      <w:rPr>
        <w:sz w:val="20"/>
        <w:szCs w:val="20"/>
      </w:rPr>
      <w:instrText xml:space="preserve"> NUMPAGES </w:instrText>
    </w:r>
    <w:r>
      <w:rPr>
        <w:sz w:val="20"/>
        <w:szCs w:val="20"/>
      </w:rPr>
      <w:fldChar w:fldCharType="separate" w:fldLock="0"/>
    </w:r>
    <w:r>
      <w:rPr>
        <w:sz w:val="20"/>
        <w:szCs w:val="20"/>
      </w:rPr>
    </w:r>
    <w:r>
      <w:rPr>
        <w:sz w:val="20"/>
        <w:szCs w:val="20"/>
      </w:rPr>
      <w:fldChar w:fldCharType="end" w:fldLock="0"/>
    </w:r>
    <w:r>
      <w:rPr>
        <w:sz w:val="20"/>
        <w:szCs w:val="20"/>
      </w:rPr>
      <w:tab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spacing w:after="0"/>
      <w:rPr>
        <w:sz w:val="18"/>
        <w:szCs w:val="18"/>
      </w:rPr>
    </w:pPr>
    <w:r>
      <w:rPr>
        <w:sz w:val="18"/>
        <w:szCs w:val="18"/>
        <w:rtl w:val="0"/>
        <w:lang w:val="en-US"/>
      </w:rPr>
      <w:t>ONC DOCUMENT</w:t>
    </w:r>
  </w:p>
  <w:p>
    <w:pPr>
      <w:pStyle w:val="Header"/>
      <w:spacing w:after="0"/>
    </w:pPr>
    <w:r>
      <w:rPr>
        <w:sz w:val="18"/>
        <w:szCs w:val="18"/>
        <w:rtl w:val="0"/>
        <w:lang w:val="en-US"/>
      </w:rPr>
      <w:t>Federal Health Architecture (FHA) Program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spacing w:after="0"/>
      <w:rPr>
        <w:sz w:val="18"/>
        <w:szCs w:val="18"/>
      </w:rPr>
    </w:pPr>
    <w:r>
      <w:rPr>
        <w:sz w:val="18"/>
        <w:szCs w:val="18"/>
        <w:rtl w:val="0"/>
        <w:lang w:val="en-US"/>
      </w:rPr>
      <w:t>ONC DOCUMENT</w:t>
    </w:r>
  </w:p>
  <w:p>
    <w:pPr>
      <w:pStyle w:val="Header"/>
      <w:spacing w:after="0"/>
    </w:pPr>
    <w:r>
      <w:rPr>
        <w:sz w:val="18"/>
        <w:szCs w:val="18"/>
        <w:rtl w:val="0"/>
        <w:lang w:val="en-US"/>
      </w:rPr>
      <w:t>Federal Health Architecture (FHA) Program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1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er &amp; Footer A">
    <w:name w:val="Header &amp; Footer A"/>
    <w:next w:val="Header &amp; Footer A"/>
    <w:pPr>
      <w:keepNext w:val="0"/>
      <w:keepLines w:val="0"/>
      <w:pageBreakBefore w:val="0"/>
      <w:widowControl w:val="1"/>
      <w:shd w:val="clear" w:color="auto" w:fill="auto"/>
      <w:tabs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