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AF111" w14:textId="2C4B9FEF" w:rsidR="00973702" w:rsidRPr="00B14C4D" w:rsidRDefault="003F6054" w:rsidP="002C7B81">
      <w:pPr>
        <w:spacing w:after="0" w:line="240" w:lineRule="auto"/>
        <w:jc w:val="center"/>
        <w:rPr>
          <w:rFonts w:ascii="Arial Black" w:eastAsia="Times New Roman" w:hAnsi="Arial Black" w:cs="Calibri"/>
          <w:b/>
          <w:color w:val="0000CC"/>
          <w:sz w:val="28"/>
        </w:rPr>
      </w:pPr>
      <w:r w:rsidRPr="00B14C4D">
        <w:rPr>
          <w:rFonts w:ascii="Arial Black" w:eastAsia="Times New Roman" w:hAnsi="Arial Black" w:cs="Calibri"/>
          <w:b/>
          <w:color w:val="0000CC"/>
          <w:sz w:val="28"/>
        </w:rPr>
        <w:t xml:space="preserve">Healthcare </w:t>
      </w:r>
      <w:r w:rsidR="00B14652" w:rsidRPr="00B14C4D">
        <w:rPr>
          <w:rFonts w:ascii="Arial Black" w:eastAsia="Times New Roman" w:hAnsi="Arial Black" w:cs="Calibri"/>
          <w:b/>
          <w:color w:val="0000CC"/>
          <w:sz w:val="28"/>
        </w:rPr>
        <w:t xml:space="preserve">IT </w:t>
      </w:r>
      <w:r w:rsidR="00973702" w:rsidRPr="00B14C4D">
        <w:rPr>
          <w:rFonts w:ascii="Arial Black" w:eastAsia="Times New Roman" w:hAnsi="Arial Black" w:cs="Calibri"/>
          <w:b/>
          <w:color w:val="0000CC"/>
          <w:sz w:val="28"/>
        </w:rPr>
        <w:t>Data-Quality Risk-</w:t>
      </w:r>
      <w:r w:rsidR="00051321" w:rsidRPr="00B14C4D">
        <w:rPr>
          <w:rFonts w:ascii="Arial Black" w:eastAsia="Times New Roman" w:hAnsi="Arial Black" w:cs="Calibri"/>
          <w:b/>
          <w:color w:val="0000CC"/>
          <w:sz w:val="28"/>
        </w:rPr>
        <w:t>Mitigation</w:t>
      </w:r>
      <w:r w:rsidR="00973702" w:rsidRPr="00B14C4D">
        <w:rPr>
          <w:rFonts w:ascii="Arial Black" w:eastAsia="Times New Roman" w:hAnsi="Arial Black" w:cs="Calibri"/>
          <w:b/>
          <w:color w:val="0000CC"/>
          <w:sz w:val="28"/>
        </w:rPr>
        <w:t xml:space="preserve"> Strategy </w:t>
      </w:r>
    </w:p>
    <w:p w14:paraId="1732A438" w14:textId="0F2BC3EF" w:rsidR="00E450AE" w:rsidRPr="00B14C4D" w:rsidRDefault="00E450AE" w:rsidP="002C7B81">
      <w:pPr>
        <w:spacing w:after="0" w:line="240" w:lineRule="auto"/>
        <w:jc w:val="center"/>
        <w:rPr>
          <w:rFonts w:ascii="Arial Narrow" w:eastAsia="Times New Roman" w:hAnsi="Arial Narrow" w:cs="Calibri"/>
          <w:b/>
          <w:bCs/>
          <w:color w:val="0000CC"/>
          <w:sz w:val="28"/>
        </w:rPr>
      </w:pPr>
      <w:r w:rsidRPr="00B14C4D">
        <w:rPr>
          <w:rFonts w:ascii="Arial Narrow" w:eastAsia="Times New Roman" w:hAnsi="Arial Narrow" w:cs="Calibri"/>
          <w:b/>
          <w:bCs/>
          <w:color w:val="0000CC"/>
          <w:sz w:val="28"/>
        </w:rPr>
        <w:t>“How to manage healthcare IT risk by standardizing data”</w:t>
      </w:r>
    </w:p>
    <w:p w14:paraId="59AECD53" w14:textId="3FD306DB" w:rsidR="008F1FE2" w:rsidRPr="00B14C4D" w:rsidRDefault="00623E16" w:rsidP="002C7B81">
      <w:pPr>
        <w:spacing w:after="0" w:line="240" w:lineRule="auto"/>
        <w:jc w:val="center"/>
        <w:rPr>
          <w:rFonts w:ascii="Arial Narrow" w:eastAsia="Times New Roman" w:hAnsi="Arial Narrow" w:cs="Calibri"/>
          <w:b/>
          <w:color w:val="0000CC"/>
          <w:sz w:val="28"/>
        </w:rPr>
      </w:pPr>
      <w:r w:rsidRPr="00B14C4D">
        <w:rPr>
          <w:rFonts w:ascii="Arial Narrow" w:eastAsia="Times New Roman" w:hAnsi="Arial Narrow" w:cs="Calibri"/>
          <w:b/>
          <w:bCs/>
          <w:color w:val="0000CC"/>
          <w:sz w:val="28"/>
        </w:rPr>
        <w:t>Considering</w:t>
      </w:r>
      <w:r w:rsidR="005B1583" w:rsidRPr="00B14C4D">
        <w:rPr>
          <w:rFonts w:ascii="Arial Narrow" w:eastAsia="Times New Roman" w:hAnsi="Arial Narrow" w:cs="Calibri"/>
          <w:b/>
          <w:bCs/>
          <w:color w:val="0000CC"/>
          <w:sz w:val="28"/>
        </w:rPr>
        <w:t xml:space="preserve"> </w:t>
      </w:r>
      <w:r w:rsidR="008F1FE2" w:rsidRPr="00B14C4D">
        <w:rPr>
          <w:rFonts w:ascii="Arial Narrow" w:eastAsia="Times New Roman" w:hAnsi="Arial Narrow" w:cs="Calibri"/>
          <w:b/>
          <w:bCs/>
          <w:color w:val="0000CC"/>
          <w:sz w:val="28"/>
        </w:rPr>
        <w:t>21</w:t>
      </w:r>
      <w:r w:rsidR="008F1FE2" w:rsidRPr="00B14C4D">
        <w:rPr>
          <w:rFonts w:ascii="Arial Narrow" w:eastAsia="Times New Roman" w:hAnsi="Arial Narrow" w:cs="Calibri"/>
          <w:b/>
          <w:bCs/>
          <w:color w:val="0000CC"/>
          <w:sz w:val="28"/>
          <w:vertAlign w:val="superscript"/>
        </w:rPr>
        <w:t>st</w:t>
      </w:r>
      <w:r w:rsidR="008F1FE2" w:rsidRPr="00B14C4D">
        <w:rPr>
          <w:rFonts w:ascii="Arial Narrow" w:eastAsia="Times New Roman" w:hAnsi="Arial Narrow" w:cs="Calibri"/>
          <w:b/>
          <w:bCs/>
          <w:color w:val="0000CC"/>
          <w:sz w:val="28"/>
        </w:rPr>
        <w:t xml:space="preserve"> Century Cures Act</w:t>
      </w:r>
      <w:r w:rsidR="000F250A" w:rsidRPr="00B14C4D">
        <w:rPr>
          <w:rFonts w:ascii="Arial Narrow" w:eastAsia="Times New Roman" w:hAnsi="Arial Narrow" w:cs="Calibri"/>
          <w:b/>
          <w:bCs/>
          <w:color w:val="0000CC"/>
          <w:sz w:val="28"/>
        </w:rPr>
        <w:t>,</w:t>
      </w:r>
      <w:r w:rsidR="008F1FE2" w:rsidRPr="00B14C4D">
        <w:rPr>
          <w:rFonts w:ascii="Arial Narrow" w:eastAsia="Times New Roman" w:hAnsi="Arial Narrow" w:cs="Calibri"/>
          <w:b/>
          <w:bCs/>
          <w:color w:val="0000CC"/>
          <w:sz w:val="28"/>
        </w:rPr>
        <w:t xml:space="preserve"> TEFCA</w:t>
      </w:r>
      <w:r w:rsidR="005B1583" w:rsidRPr="00B14C4D">
        <w:rPr>
          <w:rFonts w:ascii="Arial Narrow" w:eastAsia="Times New Roman" w:hAnsi="Arial Narrow" w:cs="Calibri"/>
          <w:b/>
          <w:bCs/>
          <w:color w:val="0000CC"/>
          <w:sz w:val="28"/>
        </w:rPr>
        <w:t xml:space="preserve"> and</w:t>
      </w:r>
      <w:r w:rsidR="008F1FE2" w:rsidRPr="00B14C4D">
        <w:rPr>
          <w:rFonts w:ascii="Arial Narrow" w:eastAsia="Times New Roman" w:hAnsi="Arial Narrow" w:cs="Calibri"/>
          <w:b/>
          <w:bCs/>
          <w:color w:val="0000CC"/>
          <w:sz w:val="28"/>
        </w:rPr>
        <w:t xml:space="preserve"> USCDI</w:t>
      </w:r>
      <w:r w:rsidR="00E91033" w:rsidRPr="00B14C4D">
        <w:rPr>
          <w:rFonts w:ascii="Arial Narrow" w:eastAsia="Times New Roman" w:hAnsi="Arial Narrow" w:cs="Calibri"/>
          <w:b/>
          <w:bCs/>
          <w:color w:val="0000CC"/>
          <w:sz w:val="28"/>
        </w:rPr>
        <w:t xml:space="preserve"> </w:t>
      </w:r>
    </w:p>
    <w:p w14:paraId="6A2EC1D5" w14:textId="3BD45C65" w:rsidR="009F0287" w:rsidRPr="00B14C4D" w:rsidRDefault="009F0287" w:rsidP="00041DD7">
      <w:pPr>
        <w:spacing w:before="60" w:after="0" w:line="240" w:lineRule="auto"/>
        <w:jc w:val="center"/>
        <w:rPr>
          <w:rFonts w:ascii="Arial Narrow" w:eastAsia="Times New Roman" w:hAnsi="Arial Narrow" w:cs="Calibri"/>
          <w:bCs/>
          <w:color w:val="000000" w:themeColor="text1"/>
        </w:rPr>
      </w:pPr>
      <w:bookmarkStart w:id="0" w:name="_Hlk503090285"/>
      <w:r w:rsidRPr="00B14C4D">
        <w:rPr>
          <w:rFonts w:ascii="Arial Narrow" w:eastAsia="Times New Roman" w:hAnsi="Arial Narrow" w:cs="Calibri"/>
          <w:bCs/>
          <w:color w:val="000000" w:themeColor="text1"/>
        </w:rPr>
        <w:t xml:space="preserve">HL7 (CIC, PHER, EHR, </w:t>
      </w:r>
      <w:r w:rsidR="00596D24" w:rsidRPr="00B14C4D">
        <w:rPr>
          <w:rFonts w:ascii="Arial Narrow" w:eastAsia="Times New Roman" w:hAnsi="Arial Narrow" w:cs="Calibri"/>
          <w:bCs/>
          <w:color w:val="000000" w:themeColor="text1"/>
        </w:rPr>
        <w:t xml:space="preserve">CQI, CDS, </w:t>
      </w:r>
      <w:r w:rsidRPr="00B14C4D">
        <w:rPr>
          <w:rFonts w:ascii="Arial Narrow" w:eastAsia="Times New Roman" w:hAnsi="Arial Narrow" w:cs="Calibri"/>
          <w:bCs/>
          <w:color w:val="000000" w:themeColor="text1"/>
        </w:rPr>
        <w:t xml:space="preserve">CIMI) Workgroups, Steve Hufnagel </w:t>
      </w:r>
      <w:r w:rsidR="000C5039" w:rsidRPr="00B14C4D">
        <w:rPr>
          <w:rFonts w:ascii="Arial Narrow" w:eastAsia="Times New Roman" w:hAnsi="Arial Narrow" w:cs="Calibri"/>
          <w:bCs/>
          <w:color w:val="000000" w:themeColor="text1"/>
        </w:rPr>
        <w:t>facilitator</w:t>
      </w:r>
    </w:p>
    <w:p w14:paraId="7868265B" w14:textId="0EC4023C" w:rsidR="009D2A78" w:rsidRPr="00B14C4D" w:rsidRDefault="00DD62C2" w:rsidP="007D1202">
      <w:pPr>
        <w:spacing w:before="120" w:after="0" w:line="276" w:lineRule="auto"/>
        <w:ind w:left="720" w:hanging="720"/>
        <w:jc w:val="both"/>
        <w:rPr>
          <w:rFonts w:cs="Calibri"/>
          <w:color w:val="000000"/>
        </w:rPr>
      </w:pPr>
      <w:r w:rsidRPr="00B14C4D">
        <w:rPr>
          <w:rFonts w:cs="Calibri"/>
          <w:color w:val="000000"/>
          <w:u w:val="single"/>
        </w:rPr>
        <w:t>In December 201</w:t>
      </w:r>
      <w:r w:rsidR="004A3B70" w:rsidRPr="00B14C4D">
        <w:rPr>
          <w:rFonts w:cs="Calibri"/>
          <w:color w:val="000000"/>
          <w:u w:val="single"/>
        </w:rPr>
        <w:t>6</w:t>
      </w:r>
      <w:r w:rsidRPr="00B14C4D">
        <w:rPr>
          <w:rFonts w:cs="Calibri"/>
          <w:color w:val="000000"/>
        </w:rPr>
        <w:t xml:space="preserve">, the </w:t>
      </w:r>
      <w:r w:rsidRPr="00B14C4D">
        <w:rPr>
          <w:rFonts w:cs="Calibri"/>
          <w:i/>
          <w:bdr w:val="none" w:sz="0" w:space="0" w:color="auto" w:frame="1"/>
        </w:rPr>
        <w:t>21</w:t>
      </w:r>
      <w:r w:rsidRPr="00B14C4D">
        <w:rPr>
          <w:rFonts w:cs="Calibri"/>
          <w:i/>
          <w:bdr w:val="none" w:sz="0" w:space="0" w:color="auto" w:frame="1"/>
          <w:vertAlign w:val="superscript"/>
        </w:rPr>
        <w:t>st</w:t>
      </w:r>
      <w:r w:rsidRPr="00B14C4D">
        <w:rPr>
          <w:rFonts w:cs="Calibri"/>
          <w:i/>
          <w:bdr w:val="none" w:sz="0" w:space="0" w:color="auto" w:frame="1"/>
        </w:rPr>
        <w:t xml:space="preserve"> Century Cures Act</w:t>
      </w:r>
      <w:r w:rsidRPr="00B14C4D">
        <w:rPr>
          <w:rFonts w:cs="Calibri"/>
        </w:rPr>
        <w:t xml:space="preserve"> </w:t>
      </w:r>
      <w:r w:rsidRPr="00B14C4D">
        <w:rPr>
          <w:rFonts w:cs="Calibri"/>
          <w:color w:val="000000"/>
        </w:rPr>
        <w:t xml:space="preserve">was signed into US law. It provides the healthcare IT industry with stronger definitions </w:t>
      </w:r>
      <w:r w:rsidR="004D00B0" w:rsidRPr="00B14C4D">
        <w:rPr>
          <w:rFonts w:cs="Calibri"/>
          <w:color w:val="000000"/>
        </w:rPr>
        <w:t>for</w:t>
      </w:r>
      <w:r w:rsidRPr="00B14C4D">
        <w:rPr>
          <w:rFonts w:cs="Calibri"/>
          <w:color w:val="000000"/>
        </w:rPr>
        <w:t xml:space="preserve"> </w:t>
      </w:r>
      <w:r w:rsidR="004D00B0" w:rsidRPr="00B14C4D">
        <w:rPr>
          <w:rFonts w:cs="Calibri"/>
          <w:color w:val="000000"/>
        </w:rPr>
        <w:t>“interoperability” and</w:t>
      </w:r>
      <w:r w:rsidR="00A217CC" w:rsidRPr="00B14C4D">
        <w:rPr>
          <w:rFonts w:cs="Calibri"/>
          <w:color w:val="000000"/>
        </w:rPr>
        <w:t xml:space="preserve"> </w:t>
      </w:r>
      <w:r w:rsidRPr="00B14C4D">
        <w:rPr>
          <w:rFonts w:cs="Calibri"/>
          <w:color w:val="000000"/>
        </w:rPr>
        <w:t xml:space="preserve">“information blocking” while sketching the first outlines of a financially-driven penalty system for those who fail to ensure the free flow of patients’ healthcare data. </w:t>
      </w:r>
    </w:p>
    <w:p w14:paraId="0A83CC28" w14:textId="10D160A3" w:rsidR="00BA57E3" w:rsidRPr="00B14C4D" w:rsidRDefault="00DD62C2" w:rsidP="0095444A">
      <w:pPr>
        <w:spacing w:after="0" w:line="276" w:lineRule="auto"/>
        <w:ind w:left="720" w:hanging="720"/>
        <w:jc w:val="both"/>
        <w:rPr>
          <w:rFonts w:cs="Calibri"/>
          <w:color w:val="000000"/>
        </w:rPr>
      </w:pPr>
      <w:r w:rsidRPr="00B14C4D">
        <w:rPr>
          <w:rFonts w:cs="Calibri"/>
          <w:color w:val="000000"/>
          <w:u w:val="single"/>
        </w:rPr>
        <w:t>In January 2018</w:t>
      </w:r>
      <w:r w:rsidRPr="00B14C4D">
        <w:rPr>
          <w:rFonts w:cs="Calibri"/>
          <w:color w:val="000000"/>
        </w:rPr>
        <w:t>, Health and Human Services (</w:t>
      </w:r>
      <w:r w:rsidRPr="00B14C4D">
        <w:rPr>
          <w:rFonts w:cs="Calibri"/>
          <w:b/>
          <w:color w:val="000000"/>
        </w:rPr>
        <w:t>HHS</w:t>
      </w:r>
      <w:r w:rsidRPr="00B14C4D">
        <w:rPr>
          <w:rFonts w:cs="Calibri"/>
          <w:color w:val="000000"/>
        </w:rPr>
        <w:t>)</w:t>
      </w:r>
      <w:r w:rsidR="00895BBC" w:rsidRPr="00B14C4D">
        <w:rPr>
          <w:rFonts w:cs="Calibri"/>
          <w:color w:val="000000"/>
        </w:rPr>
        <w:t xml:space="preserve"> </w:t>
      </w:r>
      <w:r w:rsidR="00420F14" w:rsidRPr="00B14C4D">
        <w:rPr>
          <w:rFonts w:cs="Calibri"/>
          <w:color w:val="000000"/>
        </w:rPr>
        <w:t xml:space="preserve">Office of the </w:t>
      </w:r>
      <w:r w:rsidR="00B536BF" w:rsidRPr="00B14C4D">
        <w:rPr>
          <w:rFonts w:cs="Calibri"/>
          <w:color w:val="000000"/>
        </w:rPr>
        <w:t>National Coordinator (</w:t>
      </w:r>
      <w:r w:rsidR="00B536BF" w:rsidRPr="00B14C4D">
        <w:rPr>
          <w:rFonts w:cs="Calibri"/>
          <w:b/>
          <w:color w:val="000000"/>
        </w:rPr>
        <w:t>ONC</w:t>
      </w:r>
      <w:r w:rsidR="00B536BF" w:rsidRPr="00B14C4D">
        <w:rPr>
          <w:rFonts w:cs="Calibri"/>
          <w:color w:val="000000"/>
        </w:rPr>
        <w:t xml:space="preserve">) </w:t>
      </w:r>
      <w:r w:rsidRPr="00B14C4D">
        <w:rPr>
          <w:rFonts w:cs="Calibri"/>
          <w:color w:val="000000"/>
        </w:rPr>
        <w:t xml:space="preserve">released </w:t>
      </w:r>
      <w:r w:rsidR="00FA737A" w:rsidRPr="00B14C4D">
        <w:rPr>
          <w:rFonts w:cs="Calibri"/>
          <w:color w:val="000000"/>
        </w:rPr>
        <w:t>the TEFCA</w:t>
      </w:r>
      <w:r w:rsidR="00481D12" w:rsidRPr="00B14C4D">
        <w:rPr>
          <w:rFonts w:cs="Calibri"/>
          <w:color w:val="000000"/>
        </w:rPr>
        <w:t xml:space="preserve"> and </w:t>
      </w:r>
      <w:r w:rsidR="00FA737A" w:rsidRPr="00B14C4D">
        <w:rPr>
          <w:rFonts w:cs="Calibri"/>
          <w:color w:val="000000"/>
        </w:rPr>
        <w:t xml:space="preserve">USCDI </w:t>
      </w:r>
      <w:r w:rsidRPr="00B14C4D">
        <w:rPr>
          <w:rFonts w:cs="Calibri"/>
          <w:color w:val="000000"/>
        </w:rPr>
        <w:t>draft policy documents that promise profound impact on the activities and priorities of Health Information Networks (</w:t>
      </w:r>
      <w:r w:rsidRPr="00B14C4D">
        <w:rPr>
          <w:rFonts w:cs="Calibri"/>
          <w:b/>
          <w:color w:val="000000"/>
        </w:rPr>
        <w:t>HINs</w:t>
      </w:r>
      <w:r w:rsidRPr="00B14C4D">
        <w:rPr>
          <w:rFonts w:cs="Calibri"/>
          <w:color w:val="000000"/>
        </w:rPr>
        <w:t>), provider organizations that participate in them and the vendors that work to provide health IT (</w:t>
      </w:r>
      <w:r w:rsidRPr="00B14C4D">
        <w:rPr>
          <w:rFonts w:cs="Calibri"/>
          <w:b/>
          <w:color w:val="000000"/>
        </w:rPr>
        <w:t>HIT</w:t>
      </w:r>
      <w:r w:rsidRPr="00B14C4D">
        <w:rPr>
          <w:rFonts w:cs="Calibri"/>
          <w:color w:val="000000"/>
        </w:rPr>
        <w:t>) services.</w:t>
      </w:r>
      <w:r w:rsidR="00A44D25" w:rsidRPr="00B14C4D">
        <w:rPr>
          <w:rFonts w:cs="Calibri"/>
          <w:color w:val="000000"/>
        </w:rPr>
        <w:t xml:space="preserve"> </w:t>
      </w:r>
      <w:r w:rsidR="009B4764" w:rsidRPr="00B14C4D">
        <w:rPr>
          <w:rFonts w:cs="Calibri"/>
          <w:color w:val="000000"/>
        </w:rPr>
        <w:t>Once final, TEFCA</w:t>
      </w:r>
      <w:r w:rsidR="00481D12" w:rsidRPr="00B14C4D">
        <w:rPr>
          <w:rFonts w:cs="Calibri"/>
          <w:color w:val="000000"/>
        </w:rPr>
        <w:t xml:space="preserve"> and </w:t>
      </w:r>
      <w:r w:rsidR="009B4764" w:rsidRPr="00B14C4D">
        <w:rPr>
          <w:rFonts w:cs="Calibri"/>
          <w:color w:val="000000"/>
        </w:rPr>
        <w:t xml:space="preserve">USCDI will define US policy for interoperability. </w:t>
      </w:r>
    </w:p>
    <w:p w14:paraId="3599A9C3" w14:textId="32955D58" w:rsidR="00952C36" w:rsidRPr="00B14C4D" w:rsidRDefault="00143495" w:rsidP="00ED1A5D">
      <w:pPr>
        <w:pStyle w:val="ListParagraph"/>
        <w:numPr>
          <w:ilvl w:val="0"/>
          <w:numId w:val="17"/>
        </w:numPr>
        <w:spacing w:after="0" w:line="276" w:lineRule="auto"/>
        <w:jc w:val="both"/>
        <w:rPr>
          <w:rFonts w:cs="Calibri"/>
          <w:color w:val="000000"/>
        </w:rPr>
      </w:pPr>
      <w:r w:rsidRPr="00B14C4D">
        <w:rPr>
          <w:rFonts w:cs="Calibri"/>
        </w:rPr>
        <w:t>Draft Trusted Exchange Frame-work and Common Agreement</w:t>
      </w:r>
      <w:r w:rsidR="00BF176A" w:rsidRPr="00B14C4D">
        <w:rPr>
          <w:rFonts w:cs="Calibri"/>
        </w:rPr>
        <w:t xml:space="preserve"> (</w:t>
      </w:r>
      <w:r w:rsidR="00DD62C2" w:rsidRPr="00B14C4D">
        <w:rPr>
          <w:rFonts w:cs="Calibri"/>
          <w:b/>
          <w:color w:val="000000"/>
        </w:rPr>
        <w:t>TEFCA</w:t>
      </w:r>
      <w:r w:rsidR="00BF176A" w:rsidRPr="00B14C4D">
        <w:rPr>
          <w:rFonts w:cs="Calibri"/>
          <w:b/>
          <w:color w:val="000000"/>
        </w:rPr>
        <w:t>)</w:t>
      </w:r>
      <w:r w:rsidR="00DD62C2" w:rsidRPr="00B14C4D">
        <w:rPr>
          <w:rFonts w:cs="Calibri"/>
          <w:color w:val="000000"/>
        </w:rPr>
        <w:t xml:space="preserve"> strives to establish a single “on-ramp” for Healthcare Information Exchange (</w:t>
      </w:r>
      <w:r w:rsidR="00DD62C2" w:rsidRPr="00B14C4D">
        <w:rPr>
          <w:rFonts w:cs="Calibri"/>
          <w:b/>
          <w:color w:val="000000"/>
        </w:rPr>
        <w:t>HIE</w:t>
      </w:r>
      <w:r w:rsidR="00DD62C2" w:rsidRPr="00B14C4D">
        <w:rPr>
          <w:rFonts w:cs="Calibri"/>
          <w:color w:val="000000"/>
        </w:rPr>
        <w:t xml:space="preserve">) </w:t>
      </w:r>
      <w:r w:rsidR="00FA737A" w:rsidRPr="00B14C4D">
        <w:rPr>
          <w:rFonts w:cs="Calibri"/>
          <w:color w:val="000000"/>
        </w:rPr>
        <w:t>to</w:t>
      </w:r>
      <w:r w:rsidR="00DD62C2" w:rsidRPr="00B14C4D">
        <w:rPr>
          <w:rFonts w:cs="Calibri"/>
          <w:color w:val="000000"/>
        </w:rPr>
        <w:t xml:space="preserve"> enable providers, hospitals and other healthcare stake-holders to join any health information network (</w:t>
      </w:r>
      <w:r w:rsidR="00DD62C2" w:rsidRPr="00B14C4D">
        <w:rPr>
          <w:rFonts w:cs="Calibri"/>
          <w:b/>
          <w:color w:val="000000"/>
        </w:rPr>
        <w:t>HIN</w:t>
      </w:r>
      <w:r w:rsidR="00DD62C2" w:rsidRPr="00B14C4D">
        <w:rPr>
          <w:rFonts w:cs="Calibri"/>
          <w:color w:val="000000"/>
        </w:rPr>
        <w:t>) and then to automatically connect and participate in nationwide health information exchange</w:t>
      </w:r>
      <w:r w:rsidR="0026144F" w:rsidRPr="00B14C4D">
        <w:rPr>
          <w:rFonts w:cs="Calibri"/>
          <w:color w:val="000000"/>
        </w:rPr>
        <w:t xml:space="preserve"> (</w:t>
      </w:r>
      <w:r w:rsidR="0026144F" w:rsidRPr="00B14C4D">
        <w:rPr>
          <w:rFonts w:cs="Calibri"/>
          <w:b/>
          <w:color w:val="000000"/>
        </w:rPr>
        <w:t>NHIN</w:t>
      </w:r>
      <w:r w:rsidR="0026144F" w:rsidRPr="00B14C4D">
        <w:rPr>
          <w:rFonts w:cs="Calibri"/>
          <w:color w:val="000000"/>
        </w:rPr>
        <w:t>)</w:t>
      </w:r>
      <w:r w:rsidR="00DD62C2" w:rsidRPr="00B14C4D">
        <w:rPr>
          <w:rFonts w:cs="Calibri"/>
          <w:color w:val="000000"/>
        </w:rPr>
        <w:t xml:space="preserve">. TEFCA establishes “Qualified </w:t>
      </w:r>
      <w:r w:rsidR="00DE6EF6" w:rsidRPr="00B14C4D">
        <w:rPr>
          <w:rFonts w:cs="Calibri"/>
          <w:color w:val="000000"/>
        </w:rPr>
        <w:t>HIN</w:t>
      </w:r>
      <w:r w:rsidR="00DD62C2" w:rsidRPr="00B14C4D">
        <w:rPr>
          <w:rFonts w:cs="Calibri"/>
          <w:color w:val="000000"/>
        </w:rPr>
        <w:t>s” (</w:t>
      </w:r>
      <w:r w:rsidR="00DD62C2" w:rsidRPr="00B14C4D">
        <w:rPr>
          <w:rFonts w:cs="Calibri"/>
          <w:b/>
          <w:color w:val="000000"/>
        </w:rPr>
        <w:t>QHINs</w:t>
      </w:r>
      <w:r w:rsidR="00DD62C2" w:rsidRPr="00B14C4D">
        <w:rPr>
          <w:rFonts w:cs="Calibri"/>
          <w:color w:val="000000"/>
        </w:rPr>
        <w:t>) as a vehicle to help facilitate a standardized methodology for HIE inter-connectivity, along with a new administrative organization, the Recognized Coordinating Entity (</w:t>
      </w:r>
      <w:r w:rsidR="00DD62C2" w:rsidRPr="00B14C4D">
        <w:rPr>
          <w:rFonts w:cs="Calibri"/>
          <w:b/>
          <w:color w:val="000000"/>
        </w:rPr>
        <w:t>RCE</w:t>
      </w:r>
      <w:r w:rsidR="00DD62C2" w:rsidRPr="00B14C4D">
        <w:rPr>
          <w:rFonts w:cs="Calibri"/>
          <w:color w:val="000000"/>
        </w:rPr>
        <w:t xml:space="preserve">). </w:t>
      </w:r>
    </w:p>
    <w:p w14:paraId="4E9469C4" w14:textId="63F1DDF8" w:rsidR="00E21FD5" w:rsidRPr="00B14C4D" w:rsidRDefault="00143495" w:rsidP="00ED1A5D">
      <w:pPr>
        <w:pStyle w:val="ListParagraph"/>
        <w:numPr>
          <w:ilvl w:val="0"/>
          <w:numId w:val="17"/>
        </w:numPr>
        <w:spacing w:after="0" w:line="276" w:lineRule="auto"/>
        <w:jc w:val="both"/>
        <w:rPr>
          <w:rFonts w:cs="Calibri"/>
          <w:color w:val="000000"/>
        </w:rPr>
      </w:pPr>
      <w:r w:rsidRPr="00B14C4D">
        <w:rPr>
          <w:rFonts w:cs="Calibri"/>
        </w:rPr>
        <w:t>Draft U.S. Core Data for Interoperability</w:t>
      </w:r>
      <w:r w:rsidRPr="00B14C4D">
        <w:rPr>
          <w:rFonts w:cs="Calibri"/>
          <w:color w:val="000000"/>
        </w:rPr>
        <w:t xml:space="preserve"> </w:t>
      </w:r>
      <w:r w:rsidR="00BF176A" w:rsidRPr="00B14C4D">
        <w:rPr>
          <w:rFonts w:cs="Calibri"/>
          <w:color w:val="000000"/>
        </w:rPr>
        <w:t>(</w:t>
      </w:r>
      <w:r w:rsidR="00DD62C2" w:rsidRPr="00B14C4D">
        <w:rPr>
          <w:rFonts w:cs="Calibri"/>
          <w:b/>
          <w:color w:val="000000"/>
        </w:rPr>
        <w:t>USCDI</w:t>
      </w:r>
      <w:r w:rsidR="00BF176A" w:rsidRPr="00B14C4D">
        <w:rPr>
          <w:rFonts w:cs="Calibri"/>
          <w:b/>
          <w:color w:val="000000"/>
        </w:rPr>
        <w:t>)</w:t>
      </w:r>
      <w:r w:rsidR="00DD62C2" w:rsidRPr="00B14C4D">
        <w:rPr>
          <w:rFonts w:cs="Calibri"/>
          <w:color w:val="000000"/>
        </w:rPr>
        <w:t xml:space="preserve"> begins with the Common Clinical Data Set (</w:t>
      </w:r>
      <w:r w:rsidR="00171DD3" w:rsidRPr="00B14C4D">
        <w:rPr>
          <w:rFonts w:cs="Calibri"/>
          <w:b/>
          <w:color w:val="000000"/>
        </w:rPr>
        <w:t>CCDS</w:t>
      </w:r>
      <w:r w:rsidR="00171DD3" w:rsidRPr="00B14C4D">
        <w:rPr>
          <w:rFonts w:cs="Calibri"/>
          <w:color w:val="000000"/>
        </w:rPr>
        <w:t>) required</w:t>
      </w:r>
      <w:r w:rsidR="00DD62C2" w:rsidRPr="00B14C4D">
        <w:rPr>
          <w:rFonts w:cs="Calibri"/>
          <w:color w:val="000000"/>
        </w:rPr>
        <w:t xml:space="preserve"> by </w:t>
      </w:r>
      <w:r w:rsidR="00E94A43" w:rsidRPr="00B14C4D">
        <w:rPr>
          <w:rFonts w:cs="Calibri"/>
          <w:color w:val="000000"/>
        </w:rPr>
        <w:t>ONC’s</w:t>
      </w:r>
      <w:r w:rsidR="00DD62C2" w:rsidRPr="00B14C4D">
        <w:rPr>
          <w:rFonts w:cs="Calibri"/>
          <w:color w:val="000000"/>
        </w:rPr>
        <w:t xml:space="preserve"> 2015 Certification Criteria</w:t>
      </w:r>
      <w:r w:rsidR="002D61A1" w:rsidRPr="00B14C4D">
        <w:rPr>
          <w:rFonts w:cs="Calibri"/>
          <w:color w:val="000000"/>
        </w:rPr>
        <w:t>; where,</w:t>
      </w:r>
      <w:r w:rsidR="00B7733C" w:rsidRPr="00B14C4D">
        <w:rPr>
          <w:rFonts w:cs="Calibri"/>
          <w:color w:val="000000"/>
        </w:rPr>
        <w:t xml:space="preserve"> USCDI</w:t>
      </w:r>
      <w:r w:rsidR="00DD62C2" w:rsidRPr="00B14C4D">
        <w:rPr>
          <w:rFonts w:cs="Calibri"/>
          <w:color w:val="000000"/>
        </w:rPr>
        <w:t xml:space="preserve"> adds two new data classes: </w:t>
      </w:r>
      <w:r w:rsidR="00F122E4" w:rsidRPr="00B14C4D">
        <w:rPr>
          <w:rFonts w:cs="Calibri"/>
          <w:color w:val="000000"/>
        </w:rPr>
        <w:t xml:space="preserve">structured-and-unstructured </w:t>
      </w:r>
      <w:r w:rsidR="00DD62C2" w:rsidRPr="00B14C4D">
        <w:rPr>
          <w:rFonts w:cs="Calibri"/>
          <w:color w:val="000000"/>
        </w:rPr>
        <w:t>Clinical Notes and Provenance. USCDI outlines a progression in</w:t>
      </w:r>
      <w:r w:rsidR="00E61804" w:rsidRPr="00B14C4D">
        <w:rPr>
          <w:rFonts w:cs="Calibri"/>
          <w:color w:val="000000"/>
        </w:rPr>
        <w:t xml:space="preserve"> the USCDI</w:t>
      </w:r>
      <w:r w:rsidR="00DD62C2" w:rsidRPr="00B14C4D">
        <w:rPr>
          <w:rFonts w:cs="Calibri"/>
          <w:color w:val="000000"/>
        </w:rPr>
        <w:t xml:space="preserve"> data set to include more data, categorizing additional data classes being considered as “candidate” and “emerging” data </w:t>
      </w:r>
      <w:r w:rsidR="000E0271" w:rsidRPr="00B14C4D">
        <w:rPr>
          <w:rFonts w:cs="Calibri"/>
          <w:color w:val="000000"/>
        </w:rPr>
        <w:t>in</w:t>
      </w:r>
      <w:r w:rsidR="00DD62C2" w:rsidRPr="00B14C4D">
        <w:rPr>
          <w:rFonts w:cs="Calibri"/>
          <w:color w:val="000000"/>
        </w:rPr>
        <w:t xml:space="preserve"> ONC’s </w:t>
      </w:r>
      <w:r w:rsidR="008D78B7" w:rsidRPr="00B14C4D">
        <w:rPr>
          <w:rFonts w:cs="Calibri"/>
          <w:color w:val="000000"/>
        </w:rPr>
        <w:t xml:space="preserve">USCDI </w:t>
      </w:r>
      <w:r w:rsidR="00171DD3" w:rsidRPr="00B14C4D">
        <w:rPr>
          <w:rFonts w:cs="Calibri"/>
          <w:color w:val="000000"/>
        </w:rPr>
        <w:t xml:space="preserve">expansion </w:t>
      </w:r>
      <w:r w:rsidR="00DD62C2" w:rsidRPr="00B14C4D">
        <w:rPr>
          <w:rFonts w:cs="Calibri"/>
          <w:color w:val="000000"/>
        </w:rPr>
        <w:t>roadmap.</w:t>
      </w:r>
    </w:p>
    <w:p w14:paraId="2EAA7605" w14:textId="46470773" w:rsidR="002D01FD" w:rsidRPr="00B14C4D" w:rsidRDefault="002D0E07" w:rsidP="0095444A">
      <w:pPr>
        <w:keepNext/>
        <w:spacing w:after="0"/>
        <w:jc w:val="center"/>
        <w:rPr>
          <w:rFonts w:ascii="Arial Narrow" w:hAnsi="Arial Narrow"/>
          <w:b/>
          <w:color w:val="FF0000"/>
          <w:sz w:val="20"/>
        </w:rPr>
      </w:pPr>
      <w:r w:rsidRPr="00B14C4D">
        <w:rPr>
          <w:noProof/>
        </w:rPr>
        <w:drawing>
          <wp:inline distT="0" distB="0" distL="0" distR="0" wp14:anchorId="115DAAAE" wp14:editId="047B3EAC">
            <wp:extent cx="4933950" cy="3521075"/>
            <wp:effectExtent l="0" t="0" r="0" b="3175"/>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059" cy="3540421"/>
                    </a:xfrm>
                    <a:prstGeom prst="rect">
                      <a:avLst/>
                    </a:prstGeom>
                    <a:noFill/>
                    <a:ln>
                      <a:noFill/>
                    </a:ln>
                  </pic:spPr>
                </pic:pic>
              </a:graphicData>
            </a:graphic>
          </wp:inline>
        </w:drawing>
      </w:r>
    </w:p>
    <w:p w14:paraId="7A3FDF85" w14:textId="72E5381B" w:rsidR="0077260B" w:rsidRPr="00B14C4D" w:rsidRDefault="002D01FD" w:rsidP="001437AF">
      <w:pPr>
        <w:pStyle w:val="Caption"/>
        <w:spacing w:after="0"/>
        <w:jc w:val="center"/>
        <w:rPr>
          <w:b/>
          <w:color w:val="000000"/>
          <w:sz w:val="22"/>
          <w:szCs w:val="22"/>
        </w:rPr>
      </w:pPr>
      <w:r w:rsidRPr="00B14C4D">
        <w:rPr>
          <w:b/>
          <w:color w:val="000000"/>
          <w:sz w:val="22"/>
          <w:szCs w:val="22"/>
        </w:rPr>
        <w:t xml:space="preserve">Figure </w:t>
      </w:r>
      <w:r w:rsidRPr="00B14C4D">
        <w:rPr>
          <w:b/>
          <w:color w:val="000000"/>
          <w:sz w:val="22"/>
          <w:szCs w:val="22"/>
        </w:rPr>
        <w:fldChar w:fldCharType="begin"/>
      </w:r>
      <w:r w:rsidRPr="00B14C4D">
        <w:rPr>
          <w:b/>
          <w:color w:val="000000"/>
          <w:sz w:val="22"/>
          <w:szCs w:val="22"/>
        </w:rPr>
        <w:instrText xml:space="preserve"> SEQ Figure \* ARABIC </w:instrText>
      </w:r>
      <w:r w:rsidRPr="00B14C4D">
        <w:rPr>
          <w:b/>
          <w:color w:val="000000"/>
          <w:sz w:val="22"/>
          <w:szCs w:val="22"/>
        </w:rPr>
        <w:fldChar w:fldCharType="separate"/>
      </w:r>
      <w:r w:rsidR="00B14C4D" w:rsidRPr="00B14C4D">
        <w:rPr>
          <w:b/>
          <w:noProof/>
          <w:color w:val="000000"/>
          <w:sz w:val="22"/>
          <w:szCs w:val="22"/>
        </w:rPr>
        <w:t>1</w:t>
      </w:r>
      <w:r w:rsidRPr="00B14C4D">
        <w:rPr>
          <w:b/>
          <w:color w:val="000000"/>
          <w:sz w:val="22"/>
          <w:szCs w:val="22"/>
        </w:rPr>
        <w:fldChar w:fldCharType="end"/>
      </w:r>
      <w:r w:rsidRPr="00B14C4D">
        <w:rPr>
          <w:b/>
          <w:color w:val="000000"/>
          <w:sz w:val="22"/>
          <w:szCs w:val="22"/>
        </w:rPr>
        <w:t xml:space="preserve">: </w:t>
      </w:r>
      <w:r w:rsidR="000B2F02" w:rsidRPr="00B14C4D">
        <w:rPr>
          <w:b/>
          <w:color w:val="000000"/>
          <w:sz w:val="22"/>
          <w:szCs w:val="22"/>
        </w:rPr>
        <w:t xml:space="preserve">Emergency-Management </w:t>
      </w:r>
      <w:r w:rsidR="001B7C77" w:rsidRPr="00B14C4D">
        <w:rPr>
          <w:b/>
          <w:color w:val="000000"/>
          <w:sz w:val="22"/>
          <w:szCs w:val="22"/>
        </w:rPr>
        <w:t xml:space="preserve">Patient-Movement </w:t>
      </w:r>
      <w:r w:rsidRPr="00B14C4D">
        <w:rPr>
          <w:b/>
          <w:color w:val="000000"/>
          <w:sz w:val="22"/>
          <w:szCs w:val="22"/>
        </w:rPr>
        <w:t>Continuum-of-Care Scenario</w:t>
      </w:r>
    </w:p>
    <w:p w14:paraId="0DE2A99B" w14:textId="4809FA5E" w:rsidR="00952C36" w:rsidRPr="00B14C4D" w:rsidRDefault="00A302C1" w:rsidP="004602AF">
      <w:pPr>
        <w:spacing w:after="0" w:line="276" w:lineRule="auto"/>
        <w:ind w:left="720" w:hanging="720"/>
        <w:jc w:val="both"/>
        <w:rPr>
          <w:rFonts w:asciiTheme="minorHAnsi" w:eastAsia="Times New Roman" w:hAnsiTheme="minorHAnsi" w:cstheme="minorHAnsi"/>
        </w:rPr>
      </w:pPr>
      <w:r w:rsidRPr="00B14C4D">
        <w:rPr>
          <w:rFonts w:asciiTheme="minorHAnsi" w:hAnsiTheme="minorHAnsi" w:cstheme="minorHAnsi"/>
          <w:color w:val="000000"/>
        </w:rPr>
        <w:lastRenderedPageBreak/>
        <w:t>T</w:t>
      </w:r>
      <w:r w:rsidR="00BE6A67" w:rsidRPr="00B14C4D">
        <w:rPr>
          <w:rFonts w:asciiTheme="minorHAnsi" w:hAnsiTheme="minorHAnsi" w:cstheme="minorHAnsi"/>
          <w:color w:val="000000"/>
        </w:rPr>
        <w:t>he Figure 1</w:t>
      </w:r>
      <w:r w:rsidR="00AD0F77" w:rsidRPr="00B14C4D">
        <w:rPr>
          <w:rFonts w:asciiTheme="minorHAnsi" w:hAnsiTheme="minorHAnsi" w:cstheme="minorHAnsi"/>
          <w:color w:val="000000"/>
        </w:rPr>
        <w:t>’s</w:t>
      </w:r>
      <w:r w:rsidR="002F29DE" w:rsidRPr="00B14C4D">
        <w:rPr>
          <w:rFonts w:asciiTheme="minorHAnsi" w:hAnsiTheme="minorHAnsi" w:cstheme="minorHAnsi"/>
          <w:color w:val="000000"/>
        </w:rPr>
        <w:t>,</w:t>
      </w:r>
      <w:r w:rsidR="00BE6A67" w:rsidRPr="00B14C4D">
        <w:rPr>
          <w:rFonts w:asciiTheme="minorHAnsi" w:hAnsiTheme="minorHAnsi" w:cstheme="minorHAnsi"/>
          <w:color w:val="000000"/>
        </w:rPr>
        <w:t xml:space="preserve"> </w:t>
      </w:r>
      <w:r w:rsidR="00F81FA2" w:rsidRPr="00B14C4D">
        <w:rPr>
          <w:rFonts w:asciiTheme="minorHAnsi" w:hAnsiTheme="minorHAnsi" w:cstheme="minorHAnsi"/>
          <w:color w:val="000000"/>
        </w:rPr>
        <w:t xml:space="preserve">Emergency-Management </w:t>
      </w:r>
      <w:r w:rsidR="001F4355" w:rsidRPr="00B14C4D">
        <w:rPr>
          <w:rFonts w:asciiTheme="minorHAnsi" w:hAnsiTheme="minorHAnsi" w:cstheme="minorHAnsi"/>
          <w:color w:val="000000"/>
        </w:rPr>
        <w:t>Scenario</w:t>
      </w:r>
      <w:r w:rsidR="007B41C6" w:rsidRPr="00B14C4D">
        <w:rPr>
          <w:rFonts w:asciiTheme="minorHAnsi" w:hAnsiTheme="minorHAnsi" w:cstheme="minorHAnsi"/>
          <w:color w:val="000000"/>
        </w:rPr>
        <w:t xml:space="preserve"> </w:t>
      </w:r>
      <w:r w:rsidR="007565BF" w:rsidRPr="00B14C4D">
        <w:rPr>
          <w:rFonts w:asciiTheme="minorHAnsi" w:hAnsiTheme="minorHAnsi" w:cstheme="minorHAnsi"/>
          <w:color w:val="000000"/>
        </w:rPr>
        <w:t>define</w:t>
      </w:r>
      <w:r w:rsidR="00205EE4" w:rsidRPr="00B14C4D">
        <w:rPr>
          <w:rFonts w:asciiTheme="minorHAnsi" w:hAnsiTheme="minorHAnsi" w:cstheme="minorHAnsi"/>
          <w:color w:val="000000"/>
        </w:rPr>
        <w:t>s</w:t>
      </w:r>
      <w:r w:rsidR="007565BF" w:rsidRPr="00B14C4D">
        <w:rPr>
          <w:rFonts w:asciiTheme="minorHAnsi" w:hAnsiTheme="minorHAnsi" w:cstheme="minorHAnsi"/>
          <w:color w:val="000000"/>
        </w:rPr>
        <w:t xml:space="preserve"> </w:t>
      </w:r>
      <w:r w:rsidR="001A4E14" w:rsidRPr="00B14C4D">
        <w:rPr>
          <w:rFonts w:asciiTheme="minorHAnsi" w:hAnsiTheme="minorHAnsi" w:cstheme="minorHAnsi"/>
          <w:color w:val="000000"/>
        </w:rPr>
        <w:t xml:space="preserve">the </w:t>
      </w:r>
      <w:r w:rsidR="00AF427A" w:rsidRPr="00B14C4D">
        <w:rPr>
          <w:rFonts w:asciiTheme="minorHAnsi" w:hAnsiTheme="minorHAnsi" w:cstheme="minorHAnsi"/>
          <w:color w:val="000000"/>
        </w:rPr>
        <w:t>worst-case high</w:t>
      </w:r>
      <w:r w:rsidR="00116914" w:rsidRPr="00B14C4D">
        <w:rPr>
          <w:rFonts w:asciiTheme="minorHAnsi" w:hAnsiTheme="minorHAnsi" w:cstheme="minorHAnsi"/>
          <w:color w:val="000000"/>
        </w:rPr>
        <w:t>est</w:t>
      </w:r>
      <w:r w:rsidR="00AF427A" w:rsidRPr="00B14C4D">
        <w:rPr>
          <w:rFonts w:asciiTheme="minorHAnsi" w:hAnsiTheme="minorHAnsi" w:cstheme="minorHAnsi"/>
          <w:color w:val="000000"/>
        </w:rPr>
        <w:t xml:space="preserve">-value </w:t>
      </w:r>
      <w:r w:rsidR="004E4D29" w:rsidRPr="00B14C4D">
        <w:rPr>
          <w:rFonts w:asciiTheme="minorHAnsi" w:hAnsiTheme="minorHAnsi" w:cstheme="minorHAnsi"/>
          <w:color w:val="000000"/>
        </w:rPr>
        <w:t xml:space="preserve">TEFCA-USCDI </w:t>
      </w:r>
      <w:r w:rsidR="00341475" w:rsidRPr="00B14C4D">
        <w:rPr>
          <w:rFonts w:asciiTheme="minorHAnsi" w:hAnsiTheme="minorHAnsi" w:cstheme="minorHAnsi"/>
          <w:color w:val="000000"/>
        </w:rPr>
        <w:t>h</w:t>
      </w:r>
      <w:r w:rsidR="00E432E7" w:rsidRPr="00B14C4D">
        <w:rPr>
          <w:rFonts w:asciiTheme="minorHAnsi" w:hAnsiTheme="minorHAnsi" w:cstheme="minorHAnsi"/>
          <w:color w:val="000000"/>
        </w:rPr>
        <w:t xml:space="preserve">ealthcare IT </w:t>
      </w:r>
      <w:r w:rsidR="00FD0C0D" w:rsidRPr="00B14C4D">
        <w:rPr>
          <w:rFonts w:asciiTheme="minorHAnsi" w:hAnsiTheme="minorHAnsi" w:cstheme="minorHAnsi"/>
          <w:color w:val="000000"/>
        </w:rPr>
        <w:t>computable-interoperability requir</w:t>
      </w:r>
      <w:r w:rsidR="00AC2C21" w:rsidRPr="00B14C4D">
        <w:rPr>
          <w:rFonts w:asciiTheme="minorHAnsi" w:hAnsiTheme="minorHAnsi" w:cstheme="minorHAnsi"/>
          <w:color w:val="000000"/>
        </w:rPr>
        <w:t xml:space="preserve">ements; where, </w:t>
      </w:r>
      <w:r w:rsidR="00F86C15" w:rsidRPr="00B14C4D">
        <w:rPr>
          <w:rFonts w:asciiTheme="minorHAnsi" w:hAnsiTheme="minorHAnsi" w:cstheme="minorHAnsi"/>
          <w:color w:val="000000"/>
        </w:rPr>
        <w:t xml:space="preserve">electronic medical records </w:t>
      </w:r>
      <w:r w:rsidR="00B77192" w:rsidRPr="00B14C4D">
        <w:rPr>
          <w:rFonts w:asciiTheme="minorHAnsi" w:hAnsiTheme="minorHAnsi" w:cstheme="minorHAnsi"/>
          <w:color w:val="000000"/>
        </w:rPr>
        <w:t>move</w:t>
      </w:r>
      <w:r w:rsidR="00AE2492" w:rsidRPr="00B14C4D">
        <w:rPr>
          <w:rFonts w:asciiTheme="minorHAnsi" w:hAnsiTheme="minorHAnsi" w:cstheme="minorHAnsi"/>
          <w:color w:val="000000"/>
        </w:rPr>
        <w:t xml:space="preserve"> with </w:t>
      </w:r>
      <w:r w:rsidR="00FC44E8" w:rsidRPr="00B14C4D">
        <w:rPr>
          <w:rFonts w:asciiTheme="minorHAnsi" w:hAnsiTheme="minorHAnsi" w:cstheme="minorHAnsi"/>
          <w:color w:val="000000"/>
        </w:rPr>
        <w:t>p</w:t>
      </w:r>
      <w:r w:rsidR="00AE2492" w:rsidRPr="00B14C4D">
        <w:rPr>
          <w:rFonts w:asciiTheme="minorHAnsi" w:hAnsiTheme="minorHAnsi" w:cstheme="minorHAnsi"/>
          <w:color w:val="000000"/>
        </w:rPr>
        <w:t>atients</w:t>
      </w:r>
      <w:r w:rsidR="007D3AF3" w:rsidRPr="00B14C4D">
        <w:rPr>
          <w:rFonts w:asciiTheme="minorHAnsi" w:hAnsiTheme="minorHAnsi" w:cstheme="minorHAnsi"/>
          <w:color w:val="000000"/>
        </w:rPr>
        <w:t xml:space="preserve">. </w:t>
      </w:r>
      <w:r w:rsidR="00727B26" w:rsidRPr="00B14C4D">
        <w:rPr>
          <w:rFonts w:asciiTheme="minorHAnsi" w:eastAsia="Times New Roman" w:hAnsiTheme="minorHAnsi" w:cstheme="minorHAnsi"/>
        </w:rPr>
        <w:t xml:space="preserve">The </w:t>
      </w:r>
      <w:r w:rsidR="00727B26" w:rsidRPr="00B14C4D">
        <w:rPr>
          <w:rFonts w:asciiTheme="minorHAnsi" w:eastAsia="Times New Roman" w:hAnsiTheme="minorHAnsi" w:cstheme="minorHAnsi"/>
          <w:u w:val="single"/>
        </w:rPr>
        <w:t>goal</w:t>
      </w:r>
      <w:r w:rsidR="00727B26" w:rsidRPr="00B14C4D">
        <w:rPr>
          <w:rFonts w:asciiTheme="minorHAnsi" w:eastAsia="Times New Roman" w:hAnsiTheme="minorHAnsi" w:cstheme="minorHAnsi"/>
        </w:rPr>
        <w:t xml:space="preserve"> is to help people live the healthiest lives possible. The </w:t>
      </w:r>
      <w:r w:rsidR="00727B26" w:rsidRPr="00B14C4D">
        <w:rPr>
          <w:rFonts w:asciiTheme="minorHAnsi" w:eastAsia="Times New Roman" w:hAnsiTheme="minorHAnsi" w:cstheme="minorHAnsi"/>
          <w:u w:val="single"/>
        </w:rPr>
        <w:t>objective</w:t>
      </w:r>
      <w:r w:rsidR="00727B26" w:rsidRPr="00B14C4D">
        <w:rPr>
          <w:rFonts w:asciiTheme="minorHAnsi" w:eastAsia="Times New Roman" w:hAnsiTheme="minorHAnsi" w:cstheme="minorHAnsi"/>
        </w:rPr>
        <w:t xml:space="preserve"> is continuously-improving learning health systems. </w:t>
      </w:r>
      <w:r w:rsidR="00727B26" w:rsidRPr="00B14C4D">
        <w:rPr>
          <w:rFonts w:asciiTheme="minorHAnsi" w:hAnsiTheme="minorHAnsi" w:cstheme="minorHAnsi"/>
          <w:i/>
          <w:color w:val="000000"/>
        </w:rPr>
        <w:t>Emergency-management</w:t>
      </w:r>
      <w:r w:rsidR="000977CB" w:rsidRPr="00B14C4D">
        <w:rPr>
          <w:rFonts w:asciiTheme="minorHAnsi" w:hAnsiTheme="minorHAnsi" w:cstheme="minorHAnsi"/>
          <w:i/>
          <w:color w:val="000000"/>
        </w:rPr>
        <w:t xml:space="preserve"> </w:t>
      </w:r>
      <w:r w:rsidR="00370369" w:rsidRPr="00B14C4D">
        <w:rPr>
          <w:rFonts w:asciiTheme="minorHAnsi" w:hAnsiTheme="minorHAnsi" w:cstheme="minorHAnsi"/>
          <w:i/>
          <w:color w:val="000000"/>
        </w:rPr>
        <w:t xml:space="preserve">adds </w:t>
      </w:r>
      <w:r w:rsidR="000977CB" w:rsidRPr="00B14C4D">
        <w:rPr>
          <w:rFonts w:asciiTheme="minorHAnsi" w:hAnsiTheme="minorHAnsi" w:cstheme="minorHAnsi"/>
          <w:i/>
          <w:color w:val="000000"/>
        </w:rPr>
        <w:t>r</w:t>
      </w:r>
      <w:r w:rsidR="00F45E7F" w:rsidRPr="00B14C4D">
        <w:rPr>
          <w:rFonts w:asciiTheme="minorHAnsi" w:hAnsiTheme="minorHAnsi" w:cstheme="minorHAnsi"/>
          <w:i/>
          <w:color w:val="000000"/>
        </w:rPr>
        <w:t>equirements</w:t>
      </w:r>
      <w:r w:rsidR="000977CB" w:rsidRPr="00B14C4D">
        <w:rPr>
          <w:rFonts w:asciiTheme="minorHAnsi" w:hAnsiTheme="minorHAnsi" w:cstheme="minorHAnsi"/>
          <w:i/>
          <w:color w:val="000000"/>
        </w:rPr>
        <w:t xml:space="preserve"> </w:t>
      </w:r>
      <w:r w:rsidR="00370369" w:rsidRPr="00B14C4D">
        <w:rPr>
          <w:rFonts w:asciiTheme="minorHAnsi" w:hAnsiTheme="minorHAnsi" w:cstheme="minorHAnsi"/>
          <w:i/>
          <w:color w:val="000000"/>
        </w:rPr>
        <w:t>for</w:t>
      </w:r>
      <w:r w:rsidR="00057620" w:rsidRPr="00B14C4D">
        <w:rPr>
          <w:rFonts w:asciiTheme="minorHAnsi" w:hAnsiTheme="minorHAnsi" w:cstheme="minorHAnsi"/>
          <w:i/>
          <w:color w:val="000000"/>
        </w:rPr>
        <w:t xml:space="preserve"> </w:t>
      </w:r>
      <w:r w:rsidR="000B0F91" w:rsidRPr="00B14C4D">
        <w:rPr>
          <w:rFonts w:asciiTheme="minorHAnsi" w:hAnsiTheme="minorHAnsi" w:cstheme="minorHAnsi"/>
          <w:i/>
          <w:color w:val="000000"/>
        </w:rPr>
        <w:t xml:space="preserve">computable-interoperability amongst disparate partners collaborating with an ad-hoc set of heterogeneous systems, during </w:t>
      </w:r>
      <w:r w:rsidR="00C53D9C" w:rsidRPr="00B14C4D">
        <w:rPr>
          <w:rFonts w:asciiTheme="minorHAnsi" w:hAnsiTheme="minorHAnsi" w:cstheme="minorHAnsi"/>
          <w:i/>
          <w:color w:val="000000"/>
        </w:rPr>
        <w:t>patient</w:t>
      </w:r>
      <w:r w:rsidR="000B0F91" w:rsidRPr="00B14C4D">
        <w:rPr>
          <w:rFonts w:asciiTheme="minorHAnsi" w:hAnsiTheme="minorHAnsi" w:cstheme="minorHAnsi"/>
          <w:i/>
          <w:color w:val="000000"/>
        </w:rPr>
        <w:t>-movement episode</w:t>
      </w:r>
      <w:r w:rsidR="007245D2" w:rsidRPr="00B14C4D">
        <w:rPr>
          <w:rFonts w:asciiTheme="minorHAnsi" w:hAnsiTheme="minorHAnsi" w:cstheme="minorHAnsi"/>
          <w:i/>
          <w:color w:val="000000"/>
        </w:rPr>
        <w:t>s</w:t>
      </w:r>
      <w:r w:rsidR="000B0F91" w:rsidRPr="00B14C4D">
        <w:rPr>
          <w:rFonts w:asciiTheme="minorHAnsi" w:hAnsiTheme="minorHAnsi" w:cstheme="minorHAnsi"/>
          <w:i/>
          <w:color w:val="000000"/>
        </w:rPr>
        <w:t xml:space="preserve"> across </w:t>
      </w:r>
      <w:r w:rsidR="00855141" w:rsidRPr="00B14C4D">
        <w:rPr>
          <w:rFonts w:asciiTheme="minorHAnsi" w:hAnsiTheme="minorHAnsi" w:cstheme="minorHAnsi"/>
          <w:i/>
          <w:color w:val="000000"/>
        </w:rPr>
        <w:t>a</w:t>
      </w:r>
      <w:r w:rsidR="000B0F91" w:rsidRPr="00B14C4D">
        <w:rPr>
          <w:rFonts w:asciiTheme="minorHAnsi" w:hAnsiTheme="minorHAnsi" w:cstheme="minorHAnsi"/>
          <w:i/>
          <w:color w:val="000000"/>
        </w:rPr>
        <w:t xml:space="preserve"> </w:t>
      </w:r>
      <w:r w:rsidR="00F75665" w:rsidRPr="00B14C4D">
        <w:rPr>
          <w:rFonts w:asciiTheme="minorHAnsi" w:hAnsiTheme="minorHAnsi" w:cstheme="minorHAnsi"/>
          <w:i/>
          <w:color w:val="000000"/>
        </w:rPr>
        <w:t xml:space="preserve">disaster-response </w:t>
      </w:r>
      <w:r w:rsidR="000B0F91" w:rsidRPr="00B14C4D">
        <w:rPr>
          <w:rFonts w:asciiTheme="minorHAnsi" w:hAnsiTheme="minorHAnsi" w:cstheme="minorHAnsi"/>
          <w:i/>
          <w:color w:val="000000"/>
        </w:rPr>
        <w:t>continuum-of-care</w:t>
      </w:r>
      <w:r w:rsidR="004E0478" w:rsidRPr="00B14C4D">
        <w:rPr>
          <w:rFonts w:asciiTheme="minorHAnsi" w:hAnsiTheme="minorHAnsi" w:cstheme="minorHAnsi"/>
          <w:color w:val="000000"/>
        </w:rPr>
        <w:t xml:space="preserve">. </w:t>
      </w:r>
    </w:p>
    <w:p w14:paraId="14404268" w14:textId="77777777" w:rsidR="00EA5C99" w:rsidRPr="00B14C4D" w:rsidRDefault="0020389A" w:rsidP="004602AF">
      <w:pPr>
        <w:pStyle w:val="ListParagraph"/>
        <w:numPr>
          <w:ilvl w:val="0"/>
          <w:numId w:val="18"/>
        </w:numPr>
        <w:spacing w:after="0" w:line="276" w:lineRule="auto"/>
        <w:jc w:val="both"/>
        <w:rPr>
          <w:rFonts w:asciiTheme="minorHAnsi" w:eastAsia="Times New Roman" w:hAnsiTheme="minorHAnsi" w:cstheme="minorHAnsi"/>
        </w:rPr>
      </w:pPr>
      <w:r w:rsidRPr="00B14C4D">
        <w:rPr>
          <w:rFonts w:asciiTheme="minorHAnsi" w:eastAsia="Times New Roman" w:hAnsiTheme="minorHAnsi" w:cstheme="minorHAnsi"/>
        </w:rPr>
        <w:t>The 50-year data-quality lesson</w:t>
      </w:r>
      <w:r w:rsidR="00914DA8" w:rsidRPr="00B14C4D">
        <w:rPr>
          <w:rFonts w:asciiTheme="minorHAnsi" w:eastAsia="Times New Roman" w:hAnsiTheme="minorHAnsi" w:cstheme="minorHAnsi"/>
        </w:rPr>
        <w:t>-</w:t>
      </w:r>
      <w:r w:rsidRPr="00B14C4D">
        <w:rPr>
          <w:rFonts w:asciiTheme="minorHAnsi" w:eastAsia="Times New Roman" w:hAnsiTheme="minorHAnsi" w:cstheme="minorHAnsi"/>
        </w:rPr>
        <w:t>learned and conundrum is clinicians prefer pre-coordinated data-entry terminology while analysts prefer post-coordinated normalized controlled</w:t>
      </w:r>
      <w:r w:rsidR="00EA5C99" w:rsidRPr="00B14C4D">
        <w:rPr>
          <w:rFonts w:asciiTheme="minorHAnsi" w:eastAsia="Times New Roman" w:hAnsiTheme="minorHAnsi" w:cstheme="minorHAnsi"/>
        </w:rPr>
        <w:t>-</w:t>
      </w:r>
      <w:r w:rsidRPr="00B14C4D">
        <w:rPr>
          <w:rFonts w:asciiTheme="minorHAnsi" w:eastAsia="Times New Roman" w:hAnsiTheme="minorHAnsi" w:cstheme="minorHAnsi"/>
        </w:rPr>
        <w:t xml:space="preserve">terminology forms. Inconsistent pre-post coordinated data mapping is an inherent data </w:t>
      </w:r>
      <w:r w:rsidR="00EA5C99" w:rsidRPr="00B14C4D">
        <w:rPr>
          <w:rFonts w:asciiTheme="minorHAnsi" w:eastAsia="Times New Roman" w:hAnsiTheme="minorHAnsi" w:cstheme="minorHAnsi"/>
        </w:rPr>
        <w:t>integrity</w:t>
      </w:r>
      <w:r w:rsidRPr="00B14C4D">
        <w:rPr>
          <w:rFonts w:asciiTheme="minorHAnsi" w:eastAsia="Times New Roman" w:hAnsiTheme="minorHAnsi" w:cstheme="minorHAnsi"/>
        </w:rPr>
        <w:t xml:space="preserve"> risk. Mapping is complicated by different granularities and ontologies across</w:t>
      </w:r>
      <w:r w:rsidR="00914DA8" w:rsidRPr="00B14C4D">
        <w:rPr>
          <w:rFonts w:asciiTheme="minorHAnsi" w:eastAsia="Times New Roman" w:hAnsiTheme="minorHAnsi" w:cstheme="minorHAnsi"/>
        </w:rPr>
        <w:t>-</w:t>
      </w:r>
      <w:r w:rsidRPr="00B14C4D">
        <w:rPr>
          <w:rFonts w:asciiTheme="minorHAnsi" w:eastAsia="Times New Roman" w:hAnsiTheme="minorHAnsi" w:cstheme="minorHAnsi"/>
        </w:rPr>
        <w:t>and</w:t>
      </w:r>
      <w:r w:rsidR="00914DA8" w:rsidRPr="00B14C4D">
        <w:rPr>
          <w:rFonts w:asciiTheme="minorHAnsi" w:eastAsia="Times New Roman" w:hAnsiTheme="minorHAnsi" w:cstheme="minorHAnsi"/>
        </w:rPr>
        <w:t>-</w:t>
      </w:r>
      <w:r w:rsidRPr="00B14C4D">
        <w:rPr>
          <w:rFonts w:asciiTheme="minorHAnsi" w:eastAsia="Times New Roman" w:hAnsiTheme="minorHAnsi" w:cstheme="minorHAnsi"/>
        </w:rPr>
        <w:t xml:space="preserve">within standards. </w:t>
      </w:r>
    </w:p>
    <w:p w14:paraId="7F6EEAB2" w14:textId="7FC17A85" w:rsidR="0020389A" w:rsidRPr="00B14C4D" w:rsidRDefault="009763EF" w:rsidP="004602AF">
      <w:pPr>
        <w:pStyle w:val="ListParagraph"/>
        <w:numPr>
          <w:ilvl w:val="0"/>
          <w:numId w:val="18"/>
        </w:numPr>
        <w:spacing w:after="0" w:line="276" w:lineRule="auto"/>
        <w:jc w:val="both"/>
        <w:rPr>
          <w:rFonts w:asciiTheme="minorHAnsi" w:hAnsiTheme="minorHAnsi" w:cstheme="minorHAnsi"/>
        </w:rPr>
      </w:pPr>
      <w:r w:rsidRPr="00B14C4D">
        <w:rPr>
          <w:rFonts w:asciiTheme="minorHAnsi" w:eastAsia="Times New Roman" w:hAnsiTheme="minorHAnsi" w:cstheme="minorHAnsi"/>
        </w:rPr>
        <w:t xml:space="preserve">Regardless of vendor, </w:t>
      </w:r>
      <w:r w:rsidR="0020389A" w:rsidRPr="00B14C4D">
        <w:rPr>
          <w:rFonts w:asciiTheme="minorHAnsi" w:eastAsia="Times New Roman" w:hAnsiTheme="minorHAnsi" w:cstheme="minorHAnsi"/>
        </w:rPr>
        <w:t>EHR data-entry Electronic Healthcare Record (</w:t>
      </w:r>
      <w:r w:rsidR="0020389A" w:rsidRPr="00B14C4D">
        <w:rPr>
          <w:rFonts w:asciiTheme="minorHAnsi" w:eastAsia="Times New Roman" w:hAnsiTheme="minorHAnsi" w:cstheme="minorHAnsi"/>
          <w:b/>
        </w:rPr>
        <w:t>EHR</w:t>
      </w:r>
      <w:r w:rsidR="0020389A" w:rsidRPr="00B14C4D">
        <w:rPr>
          <w:rFonts w:asciiTheme="minorHAnsi" w:eastAsia="Times New Roman" w:hAnsiTheme="minorHAnsi" w:cstheme="minorHAnsi"/>
        </w:rPr>
        <w:t>)</w:t>
      </w:r>
      <w:r w:rsidR="00E86346" w:rsidRPr="00B14C4D">
        <w:rPr>
          <w:rFonts w:asciiTheme="minorHAnsi" w:eastAsia="Times New Roman" w:hAnsiTheme="minorHAnsi" w:cstheme="minorHAnsi"/>
        </w:rPr>
        <w:t>,</w:t>
      </w:r>
      <w:r w:rsidR="0020389A" w:rsidRPr="00B14C4D">
        <w:rPr>
          <w:rFonts w:asciiTheme="minorHAnsi" w:eastAsia="Times New Roman" w:hAnsiTheme="minorHAnsi" w:cstheme="minorHAnsi"/>
        </w:rPr>
        <w:t xml:space="preserve"> analytic/reasoning Enterprise Data Warehouse (</w:t>
      </w:r>
      <w:r w:rsidR="0020389A" w:rsidRPr="00B14C4D">
        <w:rPr>
          <w:rFonts w:asciiTheme="minorHAnsi" w:eastAsia="Times New Roman" w:hAnsiTheme="minorHAnsi" w:cstheme="minorHAnsi"/>
          <w:b/>
        </w:rPr>
        <w:t>EDW</w:t>
      </w:r>
      <w:r w:rsidR="0020389A" w:rsidRPr="00B14C4D">
        <w:rPr>
          <w:rFonts w:asciiTheme="minorHAnsi" w:eastAsia="Times New Roman" w:hAnsiTheme="minorHAnsi" w:cstheme="minorHAnsi"/>
        </w:rPr>
        <w:t>) and HIE exchanges are subject to this data-quality conundrum</w:t>
      </w:r>
      <w:r w:rsidR="0020389A" w:rsidRPr="00B14C4D">
        <w:rPr>
          <w:rFonts w:asciiTheme="minorHAnsi" w:hAnsiTheme="minorHAnsi" w:cstheme="minorHAnsi"/>
        </w:rPr>
        <w:t>.</w:t>
      </w:r>
    </w:p>
    <w:p w14:paraId="6B18727E" w14:textId="77777777" w:rsidR="00DC4024" w:rsidRPr="00B14C4D" w:rsidRDefault="00DC4024" w:rsidP="004602AF">
      <w:pPr>
        <w:spacing w:after="0" w:line="276" w:lineRule="auto"/>
        <w:jc w:val="both"/>
        <w:rPr>
          <w:rFonts w:asciiTheme="minorHAnsi" w:hAnsiTheme="minorHAnsi" w:cstheme="minorHAnsi"/>
          <w:b/>
          <w:color w:val="000000"/>
        </w:rPr>
      </w:pPr>
    </w:p>
    <w:p w14:paraId="6472BB53" w14:textId="5B371473" w:rsidR="00D20637" w:rsidRPr="00B14C4D" w:rsidRDefault="001C0D28" w:rsidP="004602AF">
      <w:pPr>
        <w:spacing w:after="0" w:line="276" w:lineRule="auto"/>
        <w:jc w:val="both"/>
        <w:rPr>
          <w:rFonts w:asciiTheme="minorHAnsi" w:eastAsia="Times New Roman" w:hAnsiTheme="minorHAnsi" w:cstheme="minorHAnsi"/>
          <w:color w:val="000000"/>
        </w:rPr>
      </w:pPr>
      <w:r w:rsidRPr="00B14C4D">
        <w:rPr>
          <w:rFonts w:asciiTheme="minorHAnsi" w:hAnsiTheme="minorHAnsi" w:cstheme="minorHAnsi"/>
          <w:b/>
          <w:color w:val="000000"/>
        </w:rPr>
        <w:t>E</w:t>
      </w:r>
      <w:r w:rsidR="00B553EB" w:rsidRPr="00B14C4D">
        <w:rPr>
          <w:rFonts w:asciiTheme="minorHAnsi" w:hAnsiTheme="minorHAnsi" w:cstheme="minorHAnsi"/>
          <w:b/>
          <w:color w:val="000000"/>
        </w:rPr>
        <w:t>xample</w:t>
      </w:r>
      <w:r w:rsidR="00B553EB" w:rsidRPr="00B14C4D">
        <w:rPr>
          <w:rFonts w:asciiTheme="minorHAnsi" w:hAnsiTheme="minorHAnsi" w:cstheme="minorHAnsi"/>
          <w:color w:val="000000"/>
        </w:rPr>
        <w:t xml:space="preserve">: </w:t>
      </w:r>
      <w:r w:rsidR="00D20637" w:rsidRPr="00B14C4D">
        <w:rPr>
          <w:rFonts w:asciiTheme="minorHAnsi" w:eastAsia="Times New Roman" w:hAnsiTheme="minorHAnsi" w:cstheme="minorHAnsi"/>
          <w:color w:val="000000"/>
        </w:rPr>
        <w:t>pre/post coordinated data-representation forms.</w:t>
      </w:r>
      <w:r w:rsidR="00D20637" w:rsidRPr="00B14C4D">
        <w:rPr>
          <w:rFonts w:asciiTheme="minorHAnsi" w:hAnsiTheme="minorHAnsi" w:cstheme="minorHAnsi"/>
          <w:color w:val="000000"/>
        </w:rPr>
        <w:t xml:space="preserve"> </w:t>
      </w:r>
    </w:p>
    <w:p w14:paraId="2089389E" w14:textId="78A7BC67" w:rsidR="00D20637" w:rsidRPr="00B14C4D" w:rsidRDefault="00D20637" w:rsidP="004602AF">
      <w:pPr>
        <w:pStyle w:val="ListParagraph"/>
        <w:numPr>
          <w:ilvl w:val="0"/>
          <w:numId w:val="6"/>
        </w:numPr>
        <w:spacing w:after="0" w:line="276" w:lineRule="auto"/>
        <w:ind w:left="810"/>
        <w:jc w:val="both"/>
        <w:rPr>
          <w:rFonts w:asciiTheme="minorHAnsi" w:hAnsiTheme="minorHAnsi" w:cstheme="minorHAnsi"/>
          <w:color w:val="000000"/>
        </w:rPr>
      </w:pPr>
      <w:r w:rsidRPr="00B14C4D">
        <w:rPr>
          <w:rFonts w:asciiTheme="minorHAnsi" w:hAnsiTheme="minorHAnsi" w:cstheme="minorHAnsi"/>
          <w:color w:val="000000"/>
        </w:rPr>
        <w:t xml:space="preserve">In a pre-coordinated coded clinical entry form, multiple concepts are brought together in one term. Pre-coordination allows for disambiguation of the relationship of the concepts into one term that might not be possible in post-coordinated systems – </w:t>
      </w:r>
      <w:r w:rsidR="005729E7" w:rsidRPr="00B14C4D">
        <w:rPr>
          <w:rFonts w:asciiTheme="minorHAnsi" w:hAnsiTheme="minorHAnsi" w:cstheme="minorHAnsi"/>
          <w:color w:val="000000"/>
        </w:rPr>
        <w:t xml:space="preserve">pre-coordinated </w:t>
      </w:r>
      <w:r w:rsidRPr="00B14C4D">
        <w:rPr>
          <w:rFonts w:asciiTheme="minorHAnsi" w:hAnsiTheme="minorHAnsi" w:cstheme="minorHAnsi"/>
          <w:color w:val="000000"/>
        </w:rPr>
        <w:t>entry order is relevant</w:t>
      </w:r>
      <w:r w:rsidR="006A5744" w:rsidRPr="00B14C4D">
        <w:rPr>
          <w:rFonts w:asciiTheme="minorHAnsi" w:hAnsiTheme="minorHAnsi" w:cstheme="minorHAnsi"/>
          <w:color w:val="000000"/>
        </w:rPr>
        <w:t>. F</w:t>
      </w:r>
      <w:r w:rsidRPr="00B14C4D">
        <w:rPr>
          <w:rFonts w:asciiTheme="minorHAnsi" w:hAnsiTheme="minorHAnsi" w:cstheme="minorHAnsi"/>
          <w:color w:val="000000"/>
        </w:rPr>
        <w:t>or example</w:t>
      </w:r>
      <w:r w:rsidR="006A5744" w:rsidRPr="00B14C4D">
        <w:rPr>
          <w:rFonts w:asciiTheme="minorHAnsi" w:hAnsiTheme="minorHAnsi" w:cstheme="minorHAnsi"/>
          <w:color w:val="000000"/>
        </w:rPr>
        <w:t xml:space="preserve">, </w:t>
      </w:r>
    </w:p>
    <w:p w14:paraId="4B4DDA97" w14:textId="3AFBE76C" w:rsidR="00D20637" w:rsidRPr="00B14C4D" w:rsidRDefault="00D20637" w:rsidP="004602AF">
      <w:pPr>
        <w:pStyle w:val="ListParagraph"/>
        <w:numPr>
          <w:ilvl w:val="2"/>
          <w:numId w:val="15"/>
        </w:numPr>
        <w:spacing w:after="0" w:line="276" w:lineRule="auto"/>
        <w:ind w:left="1170" w:hanging="270"/>
        <w:textAlignment w:val="center"/>
        <w:rPr>
          <w:rFonts w:asciiTheme="minorHAnsi" w:eastAsia="Times New Roman" w:hAnsiTheme="minorHAnsi" w:cstheme="minorHAnsi"/>
          <w:color w:val="000000"/>
        </w:rPr>
      </w:pPr>
      <w:r w:rsidRPr="00B14C4D">
        <w:rPr>
          <w:rFonts w:asciiTheme="minorHAnsi" w:eastAsia="Times New Roman" w:hAnsiTheme="minorHAnsi" w:cstheme="minorHAnsi"/>
          <w:color w:val="000000"/>
        </w:rPr>
        <w:t>Clinicians text notes: “closed displaced-fracture on the right leg at the neck</w:t>
      </w:r>
      <w:r w:rsidR="00C601E9" w:rsidRPr="00B14C4D">
        <w:rPr>
          <w:rFonts w:asciiTheme="minorHAnsi" w:eastAsia="Times New Roman" w:hAnsiTheme="minorHAnsi" w:cstheme="minorHAnsi"/>
          <w:color w:val="000000"/>
        </w:rPr>
        <w:t>-</w:t>
      </w:r>
      <w:r w:rsidRPr="00B14C4D">
        <w:rPr>
          <w:rFonts w:asciiTheme="minorHAnsi" w:eastAsia="Times New Roman" w:hAnsiTheme="minorHAnsi" w:cstheme="minorHAnsi"/>
          <w:color w:val="000000"/>
        </w:rPr>
        <w:t>of</w:t>
      </w:r>
      <w:r w:rsidR="00C601E9" w:rsidRPr="00B14C4D">
        <w:rPr>
          <w:rFonts w:asciiTheme="minorHAnsi" w:eastAsia="Times New Roman" w:hAnsiTheme="minorHAnsi" w:cstheme="minorHAnsi"/>
          <w:color w:val="000000"/>
        </w:rPr>
        <w:t>-</w:t>
      </w:r>
      <w:r w:rsidRPr="00B14C4D">
        <w:rPr>
          <w:rFonts w:asciiTheme="minorHAnsi" w:eastAsia="Times New Roman" w:hAnsiTheme="minorHAnsi" w:cstheme="minorHAnsi"/>
          <w:color w:val="000000"/>
        </w:rPr>
        <w:t>the</w:t>
      </w:r>
      <w:r w:rsidR="00C601E9" w:rsidRPr="00B14C4D">
        <w:rPr>
          <w:rFonts w:asciiTheme="minorHAnsi" w:eastAsia="Times New Roman" w:hAnsiTheme="minorHAnsi" w:cstheme="minorHAnsi"/>
          <w:color w:val="000000"/>
        </w:rPr>
        <w:t>-</w:t>
      </w:r>
      <w:r w:rsidRPr="00B14C4D">
        <w:rPr>
          <w:rFonts w:asciiTheme="minorHAnsi" w:eastAsia="Times New Roman" w:hAnsiTheme="minorHAnsi" w:cstheme="minorHAnsi"/>
          <w:color w:val="000000"/>
        </w:rPr>
        <w:t>femur”</w:t>
      </w:r>
    </w:p>
    <w:p w14:paraId="04C7C0DB" w14:textId="18E27015" w:rsidR="00D20637" w:rsidRPr="00B14C4D" w:rsidRDefault="00D20637" w:rsidP="004602AF">
      <w:pPr>
        <w:pStyle w:val="ListParagraph"/>
        <w:numPr>
          <w:ilvl w:val="2"/>
          <w:numId w:val="15"/>
        </w:numPr>
        <w:spacing w:after="0" w:line="276" w:lineRule="auto"/>
        <w:ind w:left="1170" w:hanging="270"/>
        <w:textAlignment w:val="center"/>
        <w:rPr>
          <w:rFonts w:asciiTheme="minorHAnsi" w:eastAsia="Times New Roman" w:hAnsiTheme="minorHAnsi" w:cstheme="minorHAnsi"/>
          <w:color w:val="000000"/>
        </w:rPr>
      </w:pPr>
      <w:r w:rsidRPr="00B14C4D">
        <w:rPr>
          <w:rFonts w:asciiTheme="minorHAnsi" w:eastAsia="Times New Roman" w:hAnsiTheme="minorHAnsi" w:cstheme="minorHAnsi"/>
          <w:color w:val="000000"/>
        </w:rPr>
        <w:t xml:space="preserve">ICD-10-CM, EHR </w:t>
      </w:r>
      <w:r w:rsidR="002D6063" w:rsidRPr="00B14C4D">
        <w:rPr>
          <w:rFonts w:asciiTheme="minorHAnsi" w:eastAsia="Times New Roman" w:hAnsiTheme="minorHAnsi" w:cstheme="minorHAnsi"/>
          <w:color w:val="000000"/>
        </w:rPr>
        <w:t>billing</w:t>
      </w:r>
      <w:r w:rsidRPr="00B14C4D">
        <w:rPr>
          <w:rFonts w:asciiTheme="minorHAnsi" w:eastAsia="Times New Roman" w:hAnsiTheme="minorHAnsi" w:cstheme="minorHAnsi"/>
          <w:color w:val="000000"/>
        </w:rPr>
        <w:t xml:space="preserve"> form: displaced-femur fracture type III </w:t>
      </w:r>
    </w:p>
    <w:p w14:paraId="7E3E378B" w14:textId="0281D25E" w:rsidR="00D20637" w:rsidRPr="00B14C4D" w:rsidRDefault="00D20637" w:rsidP="004602AF">
      <w:pPr>
        <w:pStyle w:val="ListParagraph"/>
        <w:numPr>
          <w:ilvl w:val="0"/>
          <w:numId w:val="6"/>
        </w:numPr>
        <w:spacing w:after="0" w:line="276" w:lineRule="auto"/>
        <w:ind w:left="810"/>
        <w:jc w:val="both"/>
        <w:rPr>
          <w:rFonts w:asciiTheme="minorHAnsi" w:hAnsiTheme="minorHAnsi" w:cstheme="minorHAnsi"/>
          <w:color w:val="000000"/>
        </w:rPr>
      </w:pPr>
      <w:r w:rsidRPr="00B14C4D">
        <w:rPr>
          <w:rFonts w:asciiTheme="minorHAnsi" w:hAnsiTheme="minorHAnsi" w:cstheme="minorHAnsi"/>
          <w:color w:val="000000"/>
        </w:rPr>
        <w:t>In a post-coordinated or normalized data</w:t>
      </w:r>
      <w:r w:rsidR="00DA58C6" w:rsidRPr="00B14C4D">
        <w:rPr>
          <w:rFonts w:asciiTheme="minorHAnsi" w:hAnsiTheme="minorHAnsi" w:cstheme="minorHAnsi"/>
          <w:color w:val="000000"/>
        </w:rPr>
        <w:t xml:space="preserve">-analytic </w:t>
      </w:r>
      <w:r w:rsidRPr="00B14C4D">
        <w:rPr>
          <w:rFonts w:asciiTheme="minorHAnsi" w:hAnsiTheme="minorHAnsi" w:cstheme="minorHAnsi"/>
          <w:color w:val="000000"/>
        </w:rPr>
        <w:t xml:space="preserve">form, concepts are kept broader and separate to be selected and joined with Boolean operators in the process of searching. </w:t>
      </w:r>
    </w:p>
    <w:p w14:paraId="33E5D339" w14:textId="72456A34" w:rsidR="00D20637" w:rsidRPr="00B14C4D" w:rsidRDefault="00D20637" w:rsidP="004602AF">
      <w:pPr>
        <w:pStyle w:val="ListParagraph"/>
        <w:numPr>
          <w:ilvl w:val="2"/>
          <w:numId w:val="15"/>
        </w:numPr>
        <w:spacing w:after="0" w:line="276" w:lineRule="auto"/>
        <w:ind w:left="1170" w:hanging="270"/>
        <w:textAlignment w:val="center"/>
        <w:rPr>
          <w:rFonts w:asciiTheme="minorHAnsi" w:eastAsia="Times New Roman" w:hAnsiTheme="minorHAnsi" w:cstheme="minorHAnsi"/>
          <w:color w:val="000000"/>
        </w:rPr>
      </w:pPr>
      <w:r w:rsidRPr="00B14C4D">
        <w:rPr>
          <w:rFonts w:asciiTheme="minorHAnsi" w:eastAsia="Times New Roman" w:hAnsiTheme="minorHAnsi" w:cstheme="minorHAnsi"/>
          <w:color w:val="000000"/>
        </w:rPr>
        <w:t>A</w:t>
      </w:r>
      <w:r w:rsidR="00B064A6" w:rsidRPr="00B14C4D">
        <w:rPr>
          <w:rFonts w:asciiTheme="minorHAnsi" w:eastAsia="Times New Roman" w:hAnsiTheme="minorHAnsi" w:cstheme="minorHAnsi"/>
          <w:color w:val="000000"/>
        </w:rPr>
        <w:t xml:space="preserve"> </w:t>
      </w:r>
      <w:r w:rsidRPr="00B14C4D">
        <w:rPr>
          <w:rFonts w:asciiTheme="minorHAnsi" w:eastAsia="Times New Roman" w:hAnsiTheme="minorHAnsi" w:cstheme="minorHAnsi"/>
          <w:color w:val="000000"/>
        </w:rPr>
        <w:t xml:space="preserve">post-coordinated representation of the above </w:t>
      </w:r>
      <w:r w:rsidR="00DA58C6" w:rsidRPr="00B14C4D">
        <w:rPr>
          <w:rFonts w:asciiTheme="minorHAnsi" w:eastAsia="Times New Roman" w:hAnsiTheme="minorHAnsi" w:cstheme="minorHAnsi"/>
          <w:color w:val="000000"/>
        </w:rPr>
        <w:t>might</w:t>
      </w:r>
      <w:r w:rsidRPr="00B14C4D">
        <w:rPr>
          <w:rFonts w:asciiTheme="minorHAnsi" w:eastAsia="Times New Roman" w:hAnsiTheme="minorHAnsi" w:cstheme="minorHAnsi"/>
          <w:color w:val="000000"/>
        </w:rPr>
        <w:t xml:space="preserve"> be "fracture AND femur AND neck AND displaced AND right leg AND closed" – </w:t>
      </w:r>
      <w:r w:rsidR="00F612D7" w:rsidRPr="00B14C4D">
        <w:rPr>
          <w:rFonts w:asciiTheme="minorHAnsi" w:eastAsia="Times New Roman" w:hAnsiTheme="minorHAnsi" w:cstheme="minorHAnsi"/>
          <w:color w:val="000000"/>
        </w:rPr>
        <w:t xml:space="preserve">in </w:t>
      </w:r>
      <w:r w:rsidR="00347426" w:rsidRPr="00B14C4D">
        <w:rPr>
          <w:rFonts w:asciiTheme="minorHAnsi" w:eastAsia="Times New Roman" w:hAnsiTheme="minorHAnsi" w:cstheme="minorHAnsi"/>
          <w:color w:val="000000"/>
        </w:rPr>
        <w:t xml:space="preserve">post-coordinated </w:t>
      </w:r>
      <w:r w:rsidRPr="00B14C4D">
        <w:rPr>
          <w:rFonts w:asciiTheme="minorHAnsi" w:eastAsia="Times New Roman" w:hAnsiTheme="minorHAnsi" w:cstheme="minorHAnsi"/>
          <w:color w:val="000000"/>
        </w:rPr>
        <w:t>representation</w:t>
      </w:r>
      <w:r w:rsidR="00F612D7" w:rsidRPr="00B14C4D">
        <w:rPr>
          <w:rFonts w:asciiTheme="minorHAnsi" w:eastAsia="Times New Roman" w:hAnsiTheme="minorHAnsi" w:cstheme="minorHAnsi"/>
          <w:color w:val="000000"/>
        </w:rPr>
        <w:t>,</w:t>
      </w:r>
      <w:r w:rsidRPr="00B14C4D">
        <w:rPr>
          <w:rFonts w:asciiTheme="minorHAnsi" w:eastAsia="Times New Roman" w:hAnsiTheme="minorHAnsi" w:cstheme="minorHAnsi"/>
          <w:color w:val="000000"/>
        </w:rPr>
        <w:t xml:space="preserve"> order is irrelevant. </w:t>
      </w:r>
    </w:p>
    <w:p w14:paraId="12E4F1C6" w14:textId="24283C9D" w:rsidR="00D20637" w:rsidRPr="00B14C4D" w:rsidRDefault="00D20637" w:rsidP="004602AF">
      <w:pPr>
        <w:pStyle w:val="ListParagraph"/>
        <w:numPr>
          <w:ilvl w:val="2"/>
          <w:numId w:val="15"/>
        </w:numPr>
        <w:spacing w:after="0" w:line="276" w:lineRule="auto"/>
        <w:ind w:left="1170" w:hanging="270"/>
        <w:textAlignment w:val="center"/>
        <w:rPr>
          <w:rFonts w:asciiTheme="minorHAnsi" w:eastAsia="Times New Roman" w:hAnsiTheme="minorHAnsi" w:cstheme="minorHAnsi"/>
          <w:color w:val="000000"/>
        </w:rPr>
      </w:pPr>
      <w:r w:rsidRPr="00B14C4D">
        <w:rPr>
          <w:rFonts w:asciiTheme="minorHAnsi" w:eastAsia="Times New Roman" w:hAnsiTheme="minorHAnsi" w:cstheme="minorHAnsi"/>
          <w:color w:val="000000"/>
        </w:rPr>
        <w:t xml:space="preserve">SNOMED CT analytic form: fracture (morphologic abnormality), structure of neck of femur (body structure), right (laterality), </w:t>
      </w:r>
      <w:r w:rsidR="000C1E75" w:rsidRPr="00B14C4D">
        <w:rPr>
          <w:rFonts w:asciiTheme="minorHAnsi" w:eastAsia="Times New Roman" w:hAnsiTheme="minorHAnsi" w:cstheme="minorHAnsi"/>
          <w:color w:val="000000"/>
        </w:rPr>
        <w:t>plus</w:t>
      </w:r>
      <w:r w:rsidRPr="00B14C4D">
        <w:rPr>
          <w:rFonts w:asciiTheme="minorHAnsi" w:eastAsia="Times New Roman" w:hAnsiTheme="minorHAnsi" w:cstheme="minorHAnsi"/>
          <w:color w:val="000000"/>
        </w:rPr>
        <w:t xml:space="preserve"> primary </w:t>
      </w:r>
      <w:r w:rsidR="000253D3" w:rsidRPr="00B14C4D">
        <w:rPr>
          <w:rFonts w:asciiTheme="minorHAnsi" w:eastAsia="Times New Roman" w:hAnsiTheme="minorHAnsi" w:cstheme="minorHAnsi"/>
          <w:color w:val="000000"/>
        </w:rPr>
        <w:t>procedure</w:t>
      </w:r>
      <w:r w:rsidRPr="00B14C4D">
        <w:rPr>
          <w:rFonts w:asciiTheme="minorHAnsi" w:eastAsia="Times New Roman" w:hAnsiTheme="minorHAnsi" w:cstheme="minorHAnsi"/>
          <w:color w:val="000000"/>
        </w:rPr>
        <w:t xml:space="preserve"> (qualifier value), etc. </w:t>
      </w:r>
    </w:p>
    <w:p w14:paraId="7006AF68" w14:textId="6DA054AA" w:rsidR="00D20637" w:rsidRPr="00B14C4D" w:rsidRDefault="00D20637" w:rsidP="004602AF">
      <w:pPr>
        <w:pStyle w:val="ListParagraph"/>
        <w:numPr>
          <w:ilvl w:val="0"/>
          <w:numId w:val="6"/>
        </w:numPr>
        <w:spacing w:after="0" w:line="276" w:lineRule="auto"/>
        <w:ind w:left="810"/>
        <w:jc w:val="both"/>
        <w:rPr>
          <w:rFonts w:asciiTheme="minorHAnsi" w:hAnsiTheme="minorHAnsi" w:cstheme="minorHAnsi"/>
          <w:color w:val="000000"/>
        </w:rPr>
      </w:pPr>
      <w:r w:rsidRPr="00B14C4D">
        <w:rPr>
          <w:rFonts w:asciiTheme="minorHAnsi" w:hAnsiTheme="minorHAnsi" w:cstheme="minorHAnsi"/>
          <w:color w:val="000000"/>
        </w:rPr>
        <w:t>Data quality solutions that are both optimized for clinician data entry</w:t>
      </w:r>
      <w:r w:rsidR="006A5744" w:rsidRPr="00B14C4D">
        <w:rPr>
          <w:rFonts w:asciiTheme="minorHAnsi" w:hAnsiTheme="minorHAnsi" w:cstheme="minorHAnsi"/>
          <w:color w:val="000000"/>
        </w:rPr>
        <w:t>,</w:t>
      </w:r>
      <w:r w:rsidRPr="00B14C4D">
        <w:rPr>
          <w:rFonts w:asciiTheme="minorHAnsi" w:hAnsiTheme="minorHAnsi" w:cstheme="minorHAnsi"/>
          <w:color w:val="000000"/>
        </w:rPr>
        <w:t xml:space="preserve"> analytics and reasoning, require clinician data-entry </w:t>
      </w:r>
      <w:r w:rsidR="00DC2259" w:rsidRPr="00B14C4D">
        <w:rPr>
          <w:rFonts w:asciiTheme="minorHAnsi" w:hAnsiTheme="minorHAnsi" w:cstheme="minorHAnsi"/>
          <w:color w:val="000000"/>
        </w:rPr>
        <w:t xml:space="preserve">bi-directional </w:t>
      </w:r>
      <w:r w:rsidRPr="00B14C4D">
        <w:rPr>
          <w:rFonts w:asciiTheme="minorHAnsi" w:hAnsiTheme="minorHAnsi" w:cstheme="minorHAnsi"/>
          <w:color w:val="000000"/>
        </w:rPr>
        <w:t>mapping</w:t>
      </w:r>
      <w:r w:rsidR="00DC2259" w:rsidRPr="00B14C4D">
        <w:rPr>
          <w:rFonts w:asciiTheme="minorHAnsi" w:hAnsiTheme="minorHAnsi" w:cstheme="minorHAnsi"/>
          <w:color w:val="000000"/>
        </w:rPr>
        <w:t>, without loss of information,</w:t>
      </w:r>
      <w:r w:rsidRPr="00B14C4D">
        <w:rPr>
          <w:rFonts w:asciiTheme="minorHAnsi" w:hAnsiTheme="minorHAnsi" w:cstheme="minorHAnsi"/>
          <w:color w:val="000000"/>
        </w:rPr>
        <w:t xml:space="preserve"> to </w:t>
      </w:r>
      <w:r w:rsidR="00DC2259" w:rsidRPr="00B14C4D">
        <w:rPr>
          <w:rFonts w:asciiTheme="minorHAnsi" w:hAnsiTheme="minorHAnsi" w:cstheme="minorHAnsi"/>
          <w:color w:val="000000"/>
        </w:rPr>
        <w:t>normalized analytic</w:t>
      </w:r>
      <w:r w:rsidRPr="00B14C4D">
        <w:rPr>
          <w:rFonts w:asciiTheme="minorHAnsi" w:hAnsiTheme="minorHAnsi" w:cstheme="minorHAnsi"/>
          <w:color w:val="000000"/>
        </w:rPr>
        <w:t xml:space="preserve"> post-coordinated </w:t>
      </w:r>
      <w:r w:rsidR="00DC2259" w:rsidRPr="00B14C4D">
        <w:rPr>
          <w:rFonts w:asciiTheme="minorHAnsi" w:hAnsiTheme="minorHAnsi" w:cstheme="minorHAnsi"/>
          <w:color w:val="000000"/>
        </w:rPr>
        <w:t>form</w:t>
      </w:r>
      <w:r w:rsidRPr="00B14C4D">
        <w:rPr>
          <w:rFonts w:asciiTheme="minorHAnsi" w:hAnsiTheme="minorHAnsi" w:cstheme="minorHAnsi"/>
          <w:color w:val="000000"/>
        </w:rPr>
        <w:t>; where</w:t>
      </w:r>
      <w:r w:rsidR="00D0132F" w:rsidRPr="00B14C4D">
        <w:rPr>
          <w:rFonts w:asciiTheme="minorHAnsi" w:hAnsiTheme="minorHAnsi" w:cstheme="minorHAnsi"/>
          <w:color w:val="000000"/>
        </w:rPr>
        <w:t>,</w:t>
      </w:r>
      <w:r w:rsidRPr="00B14C4D">
        <w:rPr>
          <w:rFonts w:asciiTheme="minorHAnsi" w:hAnsiTheme="minorHAnsi" w:cstheme="minorHAnsi"/>
          <w:color w:val="000000"/>
        </w:rPr>
        <w:t xml:space="preserve"> </w:t>
      </w:r>
      <w:r w:rsidR="00F01F3D" w:rsidRPr="00B14C4D">
        <w:rPr>
          <w:rFonts w:asciiTheme="minorHAnsi" w:hAnsiTheme="minorHAnsi" w:cstheme="minorHAnsi"/>
          <w:color w:val="000000"/>
        </w:rPr>
        <w:t>clinical findings</w:t>
      </w:r>
      <w:r w:rsidR="00EB736A" w:rsidRPr="00B14C4D">
        <w:rPr>
          <w:rFonts w:asciiTheme="minorHAnsi" w:hAnsiTheme="minorHAnsi" w:cstheme="minorHAnsi"/>
          <w:color w:val="000000"/>
        </w:rPr>
        <w:t xml:space="preserve"> have </w:t>
      </w:r>
      <w:r w:rsidR="00F612D7" w:rsidRPr="00B14C4D">
        <w:rPr>
          <w:rFonts w:asciiTheme="minorHAnsi" w:hAnsiTheme="minorHAnsi" w:cstheme="minorHAnsi"/>
          <w:color w:val="000000"/>
        </w:rPr>
        <w:t xml:space="preserve">multi-faceted </w:t>
      </w:r>
      <w:r w:rsidRPr="00B14C4D">
        <w:rPr>
          <w:rFonts w:asciiTheme="minorHAnsi" w:hAnsiTheme="minorHAnsi" w:cstheme="minorHAnsi"/>
          <w:color w:val="000000"/>
        </w:rPr>
        <w:t>context</w:t>
      </w:r>
      <w:r w:rsidR="009C2173" w:rsidRPr="00B14C4D">
        <w:rPr>
          <w:rFonts w:asciiTheme="minorHAnsi" w:hAnsiTheme="minorHAnsi" w:cstheme="minorHAnsi"/>
          <w:color w:val="000000"/>
        </w:rPr>
        <w:t xml:space="preserve">, </w:t>
      </w:r>
      <w:r w:rsidR="00D0132F" w:rsidRPr="00B14C4D">
        <w:rPr>
          <w:rFonts w:asciiTheme="minorHAnsi" w:hAnsiTheme="minorHAnsi" w:cstheme="minorHAnsi"/>
          <w:color w:val="000000"/>
        </w:rPr>
        <w:t>such as</w:t>
      </w:r>
      <w:r w:rsidRPr="00B14C4D">
        <w:rPr>
          <w:rFonts w:asciiTheme="minorHAnsi" w:hAnsiTheme="minorHAnsi" w:cstheme="minorHAnsi"/>
          <w:color w:val="000000"/>
        </w:rPr>
        <w:t xml:space="preserve"> workflow, provenance and intended use.</w:t>
      </w:r>
    </w:p>
    <w:p w14:paraId="14882348" w14:textId="77777777" w:rsidR="00DC4024" w:rsidRPr="00B14C4D" w:rsidRDefault="00DC4024" w:rsidP="004602AF">
      <w:pPr>
        <w:spacing w:after="0" w:line="276" w:lineRule="auto"/>
        <w:ind w:left="720" w:hanging="720"/>
        <w:jc w:val="both"/>
        <w:rPr>
          <w:rFonts w:asciiTheme="minorHAnsi" w:hAnsiTheme="minorHAnsi" w:cstheme="minorHAnsi"/>
          <w:b/>
          <w:color w:val="000000"/>
        </w:rPr>
      </w:pPr>
    </w:p>
    <w:p w14:paraId="24598902" w14:textId="03A21634" w:rsidR="00D20637" w:rsidRPr="00B14C4D" w:rsidRDefault="00D20637" w:rsidP="004602AF">
      <w:pPr>
        <w:spacing w:after="0" w:line="276" w:lineRule="auto"/>
        <w:ind w:left="720" w:hanging="720"/>
        <w:jc w:val="both"/>
        <w:rPr>
          <w:rFonts w:asciiTheme="minorHAnsi" w:eastAsia="Times New Roman" w:hAnsiTheme="minorHAnsi" w:cstheme="minorHAnsi"/>
          <w:color w:val="000000"/>
        </w:rPr>
      </w:pPr>
      <w:r w:rsidRPr="00B14C4D">
        <w:rPr>
          <w:rFonts w:asciiTheme="minorHAnsi" w:hAnsiTheme="minorHAnsi" w:cstheme="minorHAnsi"/>
          <w:b/>
          <w:color w:val="000000"/>
        </w:rPr>
        <w:t>R</w:t>
      </w:r>
      <w:r w:rsidR="00E97365" w:rsidRPr="00B14C4D">
        <w:rPr>
          <w:rFonts w:asciiTheme="minorHAnsi" w:hAnsiTheme="minorHAnsi" w:cstheme="minorHAnsi"/>
          <w:b/>
          <w:color w:val="000000"/>
        </w:rPr>
        <w:t>ecommendation</w:t>
      </w:r>
      <w:r w:rsidRPr="00B14C4D">
        <w:rPr>
          <w:rFonts w:asciiTheme="minorHAnsi" w:hAnsiTheme="minorHAnsi" w:cstheme="minorHAnsi"/>
          <w:color w:val="000000"/>
        </w:rPr>
        <w:t xml:space="preserve">: </w:t>
      </w:r>
      <w:r w:rsidR="001111D1" w:rsidRPr="00B14C4D">
        <w:rPr>
          <w:rFonts w:asciiTheme="minorHAnsi" w:eastAsia="Times New Roman" w:hAnsiTheme="minorHAnsi" w:cstheme="minorHAnsi"/>
          <w:i/>
          <w:color w:val="000000"/>
        </w:rPr>
        <w:t xml:space="preserve">The </w:t>
      </w:r>
      <w:r w:rsidR="00D40515" w:rsidRPr="00B14C4D">
        <w:rPr>
          <w:rFonts w:cs="Calibri"/>
          <w:i/>
          <w:bdr w:val="none" w:sz="0" w:space="0" w:color="auto" w:frame="1"/>
        </w:rPr>
        <w:t>21</w:t>
      </w:r>
      <w:r w:rsidR="00D40515" w:rsidRPr="00B14C4D">
        <w:rPr>
          <w:rFonts w:cs="Calibri"/>
          <w:i/>
          <w:bdr w:val="none" w:sz="0" w:space="0" w:color="auto" w:frame="1"/>
          <w:vertAlign w:val="superscript"/>
        </w:rPr>
        <w:t>st</w:t>
      </w:r>
      <w:r w:rsidR="00D40515" w:rsidRPr="00B14C4D">
        <w:rPr>
          <w:rFonts w:cs="Calibri"/>
          <w:i/>
          <w:bdr w:val="none" w:sz="0" w:space="0" w:color="auto" w:frame="1"/>
        </w:rPr>
        <w:t xml:space="preserve"> Century Cures Act’s</w:t>
      </w:r>
      <w:r w:rsidR="00D40515" w:rsidRPr="00B14C4D">
        <w:rPr>
          <w:rFonts w:asciiTheme="minorHAnsi" w:eastAsia="Times New Roman" w:hAnsiTheme="minorHAnsi" w:cstheme="minorHAnsi"/>
          <w:i/>
          <w:color w:val="000000"/>
        </w:rPr>
        <w:t xml:space="preserve"> Health Information Technology Advisory Committee (</w:t>
      </w:r>
      <w:r w:rsidR="00D40515" w:rsidRPr="00B14C4D">
        <w:rPr>
          <w:rFonts w:asciiTheme="minorHAnsi" w:eastAsia="Times New Roman" w:hAnsiTheme="minorHAnsi" w:cstheme="minorHAnsi"/>
          <w:b/>
          <w:i/>
          <w:color w:val="000000"/>
        </w:rPr>
        <w:t>HITAC</w:t>
      </w:r>
      <w:r w:rsidR="00D40515" w:rsidRPr="00B14C4D">
        <w:rPr>
          <w:rFonts w:asciiTheme="minorHAnsi" w:eastAsia="Times New Roman" w:hAnsiTheme="minorHAnsi" w:cstheme="minorHAnsi"/>
          <w:i/>
          <w:color w:val="000000"/>
        </w:rPr>
        <w:t xml:space="preserve">) </w:t>
      </w:r>
      <w:r w:rsidR="001111D1" w:rsidRPr="00B14C4D">
        <w:rPr>
          <w:rFonts w:asciiTheme="minorHAnsi" w:eastAsia="Times New Roman" w:hAnsiTheme="minorHAnsi" w:cstheme="minorHAnsi"/>
          <w:i/>
          <w:color w:val="000000"/>
        </w:rPr>
        <w:t>USCDI task force align the many informatics considerations, technologies, methodologies and tools into a National data-quality</w:t>
      </w:r>
      <w:r w:rsidR="008F5FBC" w:rsidRPr="00B14C4D">
        <w:rPr>
          <w:rFonts w:asciiTheme="minorHAnsi" w:eastAsia="Times New Roman" w:hAnsiTheme="minorHAnsi" w:cstheme="minorHAnsi"/>
          <w:i/>
          <w:color w:val="000000"/>
        </w:rPr>
        <w:t xml:space="preserve"> US Core</w:t>
      </w:r>
      <w:r w:rsidR="001111D1" w:rsidRPr="00B14C4D">
        <w:rPr>
          <w:rFonts w:asciiTheme="minorHAnsi" w:eastAsia="Times New Roman" w:hAnsiTheme="minorHAnsi" w:cstheme="minorHAnsi"/>
          <w:i/>
          <w:color w:val="000000"/>
        </w:rPr>
        <w:t xml:space="preserve"> </w:t>
      </w:r>
      <w:r w:rsidR="000A03DF" w:rsidRPr="00B14C4D">
        <w:rPr>
          <w:rFonts w:asciiTheme="minorHAnsi" w:eastAsia="Times New Roman" w:hAnsiTheme="minorHAnsi" w:cstheme="minorHAnsi"/>
          <w:i/>
          <w:color w:val="000000"/>
        </w:rPr>
        <w:t>USCDI-FHIM-</w:t>
      </w:r>
      <w:r w:rsidR="008F5FBC" w:rsidRPr="00B14C4D">
        <w:rPr>
          <w:rFonts w:asciiTheme="minorHAnsi" w:eastAsia="Times New Roman" w:hAnsiTheme="minorHAnsi" w:cstheme="minorHAnsi"/>
          <w:i/>
          <w:color w:val="000000"/>
        </w:rPr>
        <w:t xml:space="preserve">DCM </w:t>
      </w:r>
      <w:r w:rsidR="001111D1" w:rsidRPr="00B14C4D">
        <w:rPr>
          <w:rFonts w:asciiTheme="minorHAnsi" w:eastAsia="Times New Roman" w:hAnsiTheme="minorHAnsi" w:cstheme="minorHAnsi"/>
          <w:i/>
          <w:color w:val="000000"/>
        </w:rPr>
        <w:t>stewardship-and-governance process, technology-tools and methodology to achieve efficient-and-effective bi-directional mapping</w:t>
      </w:r>
      <w:r w:rsidR="005214B7" w:rsidRPr="00B14C4D">
        <w:rPr>
          <w:rFonts w:asciiTheme="minorHAnsi" w:eastAsia="Times New Roman" w:hAnsiTheme="minorHAnsi" w:cstheme="minorHAnsi"/>
          <w:i/>
          <w:color w:val="000000"/>
        </w:rPr>
        <w:t>s</w:t>
      </w:r>
      <w:r w:rsidR="001111D1" w:rsidRPr="00B14C4D">
        <w:rPr>
          <w:rFonts w:asciiTheme="minorHAnsi" w:eastAsia="Times New Roman" w:hAnsiTheme="minorHAnsi" w:cstheme="minorHAnsi"/>
          <w:i/>
          <w:color w:val="000000"/>
        </w:rPr>
        <w:t xml:space="preserve">, without loss of information; where, pre/post coordinated mappings </w:t>
      </w:r>
      <w:r w:rsidR="00CE713D" w:rsidRPr="00B14C4D">
        <w:rPr>
          <w:rFonts w:asciiTheme="minorHAnsi" w:eastAsia="Times New Roman" w:hAnsiTheme="minorHAnsi" w:cstheme="minorHAnsi"/>
          <w:i/>
          <w:color w:val="000000"/>
        </w:rPr>
        <w:t>are</w:t>
      </w:r>
      <w:r w:rsidR="001111D1" w:rsidRPr="00B14C4D">
        <w:rPr>
          <w:rFonts w:asciiTheme="minorHAnsi" w:eastAsia="Times New Roman" w:hAnsiTheme="minorHAnsi" w:cstheme="minorHAnsi"/>
          <w:i/>
          <w:color w:val="000000"/>
        </w:rPr>
        <w:t xml:space="preserve"> standardized and shared as a</w:t>
      </w:r>
      <w:r w:rsidR="00B7236C" w:rsidRPr="00B14C4D">
        <w:rPr>
          <w:rFonts w:asciiTheme="minorHAnsi" w:eastAsia="Times New Roman" w:hAnsiTheme="minorHAnsi" w:cstheme="minorHAnsi"/>
          <w:i/>
          <w:color w:val="000000"/>
        </w:rPr>
        <w:t>n FHA-managed</w:t>
      </w:r>
      <w:r w:rsidR="001111D1" w:rsidRPr="00B14C4D">
        <w:rPr>
          <w:rFonts w:asciiTheme="minorHAnsi" w:eastAsia="Times New Roman" w:hAnsiTheme="minorHAnsi" w:cstheme="minorHAnsi"/>
          <w:i/>
          <w:color w:val="000000"/>
        </w:rPr>
        <w:t xml:space="preserve"> US Realm SNOMED </w:t>
      </w:r>
      <w:r w:rsidR="009763EF" w:rsidRPr="00B14C4D">
        <w:rPr>
          <w:rFonts w:asciiTheme="minorHAnsi" w:eastAsia="Times New Roman" w:hAnsiTheme="minorHAnsi" w:cstheme="minorHAnsi"/>
          <w:i/>
          <w:color w:val="000000"/>
        </w:rPr>
        <w:t xml:space="preserve">CT </w:t>
      </w:r>
      <w:r w:rsidR="001111D1" w:rsidRPr="00B14C4D">
        <w:rPr>
          <w:rFonts w:asciiTheme="minorHAnsi" w:eastAsia="Times New Roman" w:hAnsiTheme="minorHAnsi" w:cstheme="minorHAnsi"/>
          <w:i/>
          <w:color w:val="000000"/>
        </w:rPr>
        <w:t>extension</w:t>
      </w:r>
      <w:r w:rsidR="00CE713D" w:rsidRPr="00B14C4D">
        <w:rPr>
          <w:rFonts w:asciiTheme="minorHAnsi" w:eastAsia="Times New Roman" w:hAnsiTheme="minorHAnsi" w:cstheme="minorHAnsi"/>
          <w:i/>
          <w:color w:val="000000"/>
        </w:rPr>
        <w:t>,</w:t>
      </w:r>
      <w:r w:rsidR="001111D1" w:rsidRPr="00B14C4D">
        <w:rPr>
          <w:rFonts w:asciiTheme="minorHAnsi" w:eastAsia="Times New Roman" w:hAnsiTheme="minorHAnsi" w:cstheme="minorHAnsi"/>
          <w:i/>
          <w:color w:val="000000"/>
        </w:rPr>
        <w:t xml:space="preserve"> including LOINC and </w:t>
      </w:r>
      <w:proofErr w:type="spellStart"/>
      <w:r w:rsidR="001111D1" w:rsidRPr="00B14C4D">
        <w:rPr>
          <w:rFonts w:asciiTheme="minorHAnsi" w:eastAsia="Times New Roman" w:hAnsiTheme="minorHAnsi" w:cstheme="minorHAnsi"/>
          <w:i/>
          <w:color w:val="000000"/>
        </w:rPr>
        <w:t>RxNorm</w:t>
      </w:r>
      <w:proofErr w:type="spellEnd"/>
      <w:r w:rsidR="001111D1" w:rsidRPr="00B14C4D">
        <w:rPr>
          <w:rFonts w:asciiTheme="minorHAnsi" w:eastAsia="Times New Roman" w:hAnsiTheme="minorHAnsi" w:cstheme="minorHAnsi"/>
          <w:i/>
          <w:color w:val="000000"/>
        </w:rPr>
        <w:t>.</w:t>
      </w:r>
      <w:r w:rsidR="001111D1" w:rsidRPr="00B14C4D">
        <w:rPr>
          <w:rFonts w:asciiTheme="minorHAnsi" w:eastAsia="Times New Roman" w:hAnsiTheme="minorHAnsi" w:cstheme="minorHAnsi"/>
          <w:color w:val="000000"/>
        </w:rPr>
        <w:t xml:space="preserve"> </w:t>
      </w:r>
      <w:r w:rsidR="00382769" w:rsidRPr="00B14C4D">
        <w:rPr>
          <w:rFonts w:asciiTheme="minorHAnsi" w:eastAsia="Times New Roman" w:hAnsiTheme="minorHAnsi" w:cstheme="minorHAnsi"/>
          <w:color w:val="000000"/>
          <w:sz w:val="24"/>
          <w:szCs w:val="24"/>
          <w:u w:val="single"/>
        </w:rPr>
        <w:t>The good news</w:t>
      </w:r>
      <w:r w:rsidR="00382769" w:rsidRPr="00B14C4D">
        <w:rPr>
          <w:rFonts w:asciiTheme="minorHAnsi" w:eastAsia="Times New Roman" w:hAnsiTheme="minorHAnsi" w:cstheme="minorHAnsi"/>
          <w:color w:val="000000"/>
          <w:sz w:val="24"/>
          <w:szCs w:val="24"/>
        </w:rPr>
        <w:t xml:space="preserve"> is that this pragmatic risk-mitigation strategy has no impact on </w:t>
      </w:r>
      <w:r w:rsidR="005214B7" w:rsidRPr="00B14C4D">
        <w:rPr>
          <w:rFonts w:asciiTheme="minorHAnsi" w:eastAsia="Times New Roman" w:hAnsiTheme="minorHAnsi" w:cstheme="minorHAnsi"/>
          <w:color w:val="000000"/>
          <w:sz w:val="24"/>
          <w:szCs w:val="24"/>
        </w:rPr>
        <w:t xml:space="preserve">currently-deployed </w:t>
      </w:r>
      <w:r w:rsidR="00382769" w:rsidRPr="00B14C4D">
        <w:rPr>
          <w:rFonts w:asciiTheme="minorHAnsi" w:eastAsia="Times New Roman" w:hAnsiTheme="minorHAnsi" w:cstheme="minorHAnsi"/>
          <w:color w:val="000000"/>
          <w:sz w:val="24"/>
          <w:szCs w:val="24"/>
        </w:rPr>
        <w:t>E</w:t>
      </w:r>
      <w:r w:rsidR="0054224F" w:rsidRPr="00B14C4D">
        <w:rPr>
          <w:rFonts w:asciiTheme="minorHAnsi" w:eastAsia="Times New Roman" w:hAnsiTheme="minorHAnsi" w:cstheme="minorHAnsi"/>
          <w:color w:val="000000"/>
          <w:sz w:val="24"/>
          <w:szCs w:val="24"/>
        </w:rPr>
        <w:t>H</w:t>
      </w:r>
      <w:r w:rsidR="00382769" w:rsidRPr="00B14C4D">
        <w:rPr>
          <w:rFonts w:asciiTheme="minorHAnsi" w:eastAsia="Times New Roman" w:hAnsiTheme="minorHAnsi" w:cstheme="minorHAnsi"/>
          <w:color w:val="000000"/>
          <w:sz w:val="24"/>
          <w:szCs w:val="24"/>
        </w:rPr>
        <w:t>R</w:t>
      </w:r>
      <w:r w:rsidR="005214B7" w:rsidRPr="00B14C4D">
        <w:rPr>
          <w:rFonts w:asciiTheme="minorHAnsi" w:eastAsia="Times New Roman" w:hAnsiTheme="minorHAnsi" w:cstheme="minorHAnsi"/>
          <w:color w:val="000000"/>
          <w:sz w:val="24"/>
          <w:szCs w:val="24"/>
        </w:rPr>
        <w:t>-</w:t>
      </w:r>
      <w:r w:rsidR="000B1886" w:rsidRPr="00B14C4D">
        <w:rPr>
          <w:rFonts w:asciiTheme="minorHAnsi" w:eastAsia="Times New Roman" w:hAnsiTheme="minorHAnsi" w:cstheme="minorHAnsi"/>
          <w:color w:val="000000"/>
          <w:sz w:val="24"/>
          <w:szCs w:val="24"/>
        </w:rPr>
        <w:t>systems</w:t>
      </w:r>
      <w:r w:rsidR="00DC730C" w:rsidRPr="00B14C4D">
        <w:rPr>
          <w:rFonts w:asciiTheme="minorHAnsi" w:eastAsia="Times New Roman" w:hAnsiTheme="minorHAnsi" w:cstheme="minorHAnsi"/>
          <w:color w:val="000000"/>
          <w:sz w:val="24"/>
          <w:szCs w:val="24"/>
        </w:rPr>
        <w:t>.</w:t>
      </w:r>
      <w:r w:rsidR="00382769" w:rsidRPr="00B14C4D">
        <w:rPr>
          <w:rFonts w:asciiTheme="minorHAnsi" w:eastAsia="Times New Roman" w:hAnsiTheme="minorHAnsi" w:cstheme="minorHAnsi"/>
          <w:color w:val="000000"/>
          <w:sz w:val="24"/>
          <w:szCs w:val="24"/>
        </w:rPr>
        <w:t xml:space="preserve"> </w:t>
      </w:r>
      <w:r w:rsidR="00DC730C" w:rsidRPr="00B14C4D">
        <w:rPr>
          <w:rFonts w:asciiTheme="minorHAnsi" w:eastAsia="Times New Roman" w:hAnsiTheme="minorHAnsi" w:cstheme="minorHAnsi"/>
          <w:color w:val="000000"/>
          <w:sz w:val="24"/>
          <w:szCs w:val="24"/>
          <w:u w:val="single"/>
        </w:rPr>
        <w:t>B</w:t>
      </w:r>
      <w:r w:rsidR="005B6DE3" w:rsidRPr="00B14C4D">
        <w:rPr>
          <w:rFonts w:asciiTheme="minorHAnsi" w:eastAsia="Times New Roman" w:hAnsiTheme="minorHAnsi" w:cstheme="minorHAnsi"/>
          <w:color w:val="000000"/>
          <w:sz w:val="24"/>
          <w:szCs w:val="24"/>
          <w:u w:val="single"/>
        </w:rPr>
        <w:t>ut</w:t>
      </w:r>
      <w:r w:rsidR="00942331" w:rsidRPr="00B14C4D">
        <w:rPr>
          <w:rFonts w:asciiTheme="minorHAnsi" w:eastAsia="Times New Roman" w:hAnsiTheme="minorHAnsi" w:cstheme="minorHAnsi"/>
          <w:color w:val="000000"/>
          <w:sz w:val="24"/>
          <w:szCs w:val="24"/>
        </w:rPr>
        <w:t>,</w:t>
      </w:r>
      <w:r w:rsidR="00382769" w:rsidRPr="00B14C4D">
        <w:rPr>
          <w:rFonts w:asciiTheme="minorHAnsi" w:eastAsia="Times New Roman" w:hAnsiTheme="minorHAnsi" w:cstheme="minorHAnsi"/>
          <w:color w:val="000000"/>
          <w:sz w:val="24"/>
          <w:szCs w:val="24"/>
        </w:rPr>
        <w:t xml:space="preserve"> </w:t>
      </w:r>
      <w:r w:rsidR="00942331" w:rsidRPr="00B14C4D">
        <w:rPr>
          <w:rFonts w:asciiTheme="minorHAnsi" w:eastAsia="Times New Roman" w:hAnsiTheme="minorHAnsi" w:cstheme="minorHAnsi"/>
          <w:color w:val="000000"/>
          <w:sz w:val="24"/>
          <w:szCs w:val="24"/>
        </w:rPr>
        <w:t>EHR-EDW Extraction, Transfer</w:t>
      </w:r>
      <w:r w:rsidR="00CE713D" w:rsidRPr="00B14C4D">
        <w:rPr>
          <w:rFonts w:asciiTheme="minorHAnsi" w:eastAsia="Times New Roman" w:hAnsiTheme="minorHAnsi" w:cstheme="minorHAnsi"/>
          <w:color w:val="000000"/>
          <w:sz w:val="24"/>
          <w:szCs w:val="24"/>
        </w:rPr>
        <w:t xml:space="preserve"> and Load</w:t>
      </w:r>
      <w:r w:rsidR="00942331" w:rsidRPr="00B14C4D">
        <w:rPr>
          <w:rFonts w:asciiTheme="minorHAnsi" w:eastAsia="Times New Roman" w:hAnsiTheme="minorHAnsi" w:cstheme="minorHAnsi"/>
          <w:color w:val="000000"/>
          <w:sz w:val="24"/>
          <w:szCs w:val="24"/>
        </w:rPr>
        <w:t xml:space="preserve"> </w:t>
      </w:r>
      <w:r w:rsidR="009763EF" w:rsidRPr="00B14C4D">
        <w:rPr>
          <w:rFonts w:asciiTheme="minorHAnsi" w:eastAsia="Times New Roman" w:hAnsiTheme="minorHAnsi" w:cstheme="minorHAnsi"/>
          <w:color w:val="000000"/>
          <w:sz w:val="24"/>
          <w:szCs w:val="24"/>
        </w:rPr>
        <w:t>(</w:t>
      </w:r>
      <w:r w:rsidR="00382769" w:rsidRPr="00B14C4D">
        <w:rPr>
          <w:rFonts w:asciiTheme="minorHAnsi" w:eastAsia="Times New Roman" w:hAnsiTheme="minorHAnsi" w:cstheme="minorHAnsi"/>
          <w:b/>
          <w:color w:val="000000"/>
          <w:sz w:val="24"/>
          <w:szCs w:val="24"/>
        </w:rPr>
        <w:t>ETL</w:t>
      </w:r>
      <w:r w:rsidR="009763EF" w:rsidRPr="00B14C4D">
        <w:rPr>
          <w:rFonts w:asciiTheme="minorHAnsi" w:eastAsia="Times New Roman" w:hAnsiTheme="minorHAnsi" w:cstheme="minorHAnsi"/>
          <w:color w:val="000000"/>
          <w:sz w:val="24"/>
          <w:szCs w:val="24"/>
        </w:rPr>
        <w:t>)</w:t>
      </w:r>
      <w:r w:rsidR="00382769" w:rsidRPr="00B14C4D">
        <w:rPr>
          <w:rFonts w:asciiTheme="minorHAnsi" w:eastAsia="Times New Roman" w:hAnsiTheme="minorHAnsi" w:cstheme="minorHAnsi"/>
          <w:color w:val="000000"/>
          <w:sz w:val="24"/>
          <w:szCs w:val="24"/>
        </w:rPr>
        <w:t xml:space="preserve"> process</w:t>
      </w:r>
      <w:r w:rsidR="001F6206" w:rsidRPr="00B14C4D">
        <w:rPr>
          <w:rFonts w:asciiTheme="minorHAnsi" w:eastAsia="Times New Roman" w:hAnsiTheme="minorHAnsi" w:cstheme="minorHAnsi"/>
          <w:color w:val="000000"/>
          <w:sz w:val="24"/>
          <w:szCs w:val="24"/>
        </w:rPr>
        <w:t>es</w:t>
      </w:r>
      <w:r w:rsidR="00382769" w:rsidRPr="00B14C4D">
        <w:rPr>
          <w:rFonts w:asciiTheme="minorHAnsi" w:eastAsia="Times New Roman" w:hAnsiTheme="minorHAnsi" w:cstheme="minorHAnsi"/>
          <w:color w:val="000000"/>
          <w:sz w:val="24"/>
          <w:szCs w:val="24"/>
        </w:rPr>
        <w:t xml:space="preserve"> and EDW</w:t>
      </w:r>
      <w:r w:rsidR="00CE713D" w:rsidRPr="00B14C4D">
        <w:rPr>
          <w:rFonts w:asciiTheme="minorHAnsi" w:eastAsia="Times New Roman" w:hAnsiTheme="minorHAnsi" w:cstheme="minorHAnsi"/>
          <w:color w:val="000000"/>
          <w:sz w:val="24"/>
          <w:szCs w:val="24"/>
        </w:rPr>
        <w:t xml:space="preserve"> </w:t>
      </w:r>
      <w:r w:rsidR="00CD6B02" w:rsidRPr="00B14C4D">
        <w:rPr>
          <w:rFonts w:asciiTheme="minorHAnsi" w:eastAsia="Times New Roman" w:hAnsiTheme="minorHAnsi" w:cstheme="minorHAnsi"/>
          <w:color w:val="000000"/>
          <w:sz w:val="24"/>
          <w:szCs w:val="24"/>
        </w:rPr>
        <w:t xml:space="preserve">and HIE </w:t>
      </w:r>
      <w:r w:rsidR="00CE713D" w:rsidRPr="00B14C4D">
        <w:rPr>
          <w:rFonts w:asciiTheme="minorHAnsi" w:eastAsia="Times New Roman" w:hAnsiTheme="minorHAnsi" w:cstheme="minorHAnsi"/>
          <w:color w:val="000000"/>
          <w:sz w:val="24"/>
          <w:szCs w:val="24"/>
        </w:rPr>
        <w:t>content</w:t>
      </w:r>
      <w:r w:rsidR="00382769" w:rsidRPr="00B14C4D">
        <w:rPr>
          <w:rFonts w:asciiTheme="minorHAnsi" w:eastAsia="Times New Roman" w:hAnsiTheme="minorHAnsi" w:cstheme="minorHAnsi"/>
          <w:color w:val="000000"/>
          <w:sz w:val="24"/>
          <w:szCs w:val="24"/>
        </w:rPr>
        <w:t xml:space="preserve"> are at risk. Federal Agencies, partners, venders and contractors </w:t>
      </w:r>
      <w:r w:rsidR="00FB4CC5" w:rsidRPr="00B14C4D">
        <w:rPr>
          <w:rFonts w:asciiTheme="minorHAnsi" w:hAnsiTheme="minorHAnsi" w:cstheme="minorHAnsi"/>
          <w:color w:val="000000"/>
        </w:rPr>
        <w:t xml:space="preserve">should </w:t>
      </w:r>
      <w:r w:rsidR="00BC4B7B" w:rsidRPr="00B14C4D">
        <w:rPr>
          <w:rFonts w:asciiTheme="minorHAnsi" w:hAnsiTheme="minorHAnsi" w:cstheme="minorHAnsi"/>
          <w:color w:val="000000"/>
        </w:rPr>
        <w:t>incorporate</w:t>
      </w:r>
      <w:r w:rsidRPr="00B14C4D">
        <w:rPr>
          <w:rFonts w:asciiTheme="minorHAnsi" w:hAnsiTheme="minorHAnsi" w:cstheme="minorHAnsi"/>
          <w:color w:val="000000"/>
        </w:rPr>
        <w:t xml:space="preserve"> </w:t>
      </w:r>
      <w:r w:rsidR="00C61C2A" w:rsidRPr="00B14C4D">
        <w:rPr>
          <w:rFonts w:asciiTheme="minorHAnsi" w:hAnsiTheme="minorHAnsi" w:cstheme="minorHAnsi"/>
          <w:color w:val="000000"/>
        </w:rPr>
        <w:t>modern best-practice</w:t>
      </w:r>
      <w:r w:rsidR="00CD6B02" w:rsidRPr="00B14C4D">
        <w:rPr>
          <w:rFonts w:asciiTheme="minorHAnsi" w:hAnsiTheme="minorHAnsi" w:cstheme="minorHAnsi"/>
          <w:color w:val="000000"/>
        </w:rPr>
        <w:t>s,</w:t>
      </w:r>
      <w:r w:rsidR="00C61C2A" w:rsidRPr="00B14C4D">
        <w:rPr>
          <w:rFonts w:asciiTheme="minorHAnsi" w:hAnsiTheme="minorHAnsi" w:cstheme="minorHAnsi"/>
          <w:color w:val="000000"/>
        </w:rPr>
        <w:t xml:space="preserve"> </w:t>
      </w:r>
      <w:r w:rsidRPr="00B14C4D">
        <w:rPr>
          <w:rFonts w:asciiTheme="minorHAnsi" w:hAnsiTheme="minorHAnsi" w:cstheme="minorHAnsi"/>
          <w:color w:val="000000"/>
        </w:rPr>
        <w:t xml:space="preserve">methodologies, technologies and tools </w:t>
      </w:r>
      <w:r w:rsidR="001111D1" w:rsidRPr="00B14C4D">
        <w:rPr>
          <w:rFonts w:asciiTheme="minorHAnsi" w:hAnsiTheme="minorHAnsi" w:cstheme="minorHAnsi"/>
          <w:color w:val="000000"/>
        </w:rPr>
        <w:t>to mitigate TEFCA-USCDI data-quality risk</w:t>
      </w:r>
      <w:r w:rsidR="00DF38DD" w:rsidRPr="00B14C4D">
        <w:rPr>
          <w:rFonts w:asciiTheme="minorHAnsi" w:hAnsiTheme="minorHAnsi" w:cstheme="minorHAnsi"/>
          <w:color w:val="000000"/>
        </w:rPr>
        <w:t>, as described next</w:t>
      </w:r>
      <w:r w:rsidRPr="00B14C4D">
        <w:rPr>
          <w:rFonts w:asciiTheme="minorHAnsi" w:hAnsiTheme="minorHAnsi" w:cstheme="minorHAnsi"/>
          <w:color w:val="000000"/>
        </w:rPr>
        <w:t xml:space="preserve">. </w:t>
      </w:r>
      <w:bookmarkStart w:id="1" w:name="_GoBack"/>
      <w:bookmarkEnd w:id="1"/>
    </w:p>
    <w:p w14:paraId="19E9D790" w14:textId="7CFE587B" w:rsidR="00AD555F" w:rsidRPr="00B14C4D" w:rsidRDefault="003A76EE" w:rsidP="0095444A">
      <w:pPr>
        <w:pStyle w:val="Caption"/>
        <w:spacing w:after="0"/>
        <w:jc w:val="center"/>
        <w:rPr>
          <w:b/>
          <w:color w:val="000000"/>
          <w:sz w:val="22"/>
        </w:rPr>
      </w:pPr>
      <w:r w:rsidRPr="00B14C4D">
        <w:rPr>
          <w:noProof/>
        </w:rPr>
        <w:lastRenderedPageBreak/>
        <w:drawing>
          <wp:inline distT="0" distB="0" distL="0" distR="0" wp14:anchorId="44955A86" wp14:editId="0FCFC74F">
            <wp:extent cx="5030901" cy="36933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519" cy="3700380"/>
                    </a:xfrm>
                    <a:prstGeom prst="rect">
                      <a:avLst/>
                    </a:prstGeom>
                  </pic:spPr>
                </pic:pic>
              </a:graphicData>
            </a:graphic>
          </wp:inline>
        </w:drawing>
      </w:r>
    </w:p>
    <w:p w14:paraId="3AFF6DE1" w14:textId="018E3732" w:rsidR="00C83D55" w:rsidRPr="00B14C4D" w:rsidRDefault="00C83D55" w:rsidP="0095444A">
      <w:pPr>
        <w:pStyle w:val="Caption"/>
        <w:spacing w:after="0"/>
        <w:jc w:val="center"/>
        <w:rPr>
          <w:rFonts w:ascii="Arial Narrow" w:eastAsia="Times New Roman" w:hAnsi="Arial Narrow" w:cs="Calibri"/>
          <w:b/>
          <w:color w:val="000000"/>
          <w:sz w:val="22"/>
          <w:u w:val="single"/>
        </w:rPr>
      </w:pPr>
      <w:r w:rsidRPr="00B14C4D">
        <w:rPr>
          <w:b/>
          <w:color w:val="000000"/>
          <w:sz w:val="22"/>
        </w:rPr>
        <w:t xml:space="preserve">Figure </w:t>
      </w:r>
      <w:r w:rsidRPr="00B14C4D">
        <w:rPr>
          <w:b/>
          <w:color w:val="000000"/>
          <w:sz w:val="22"/>
        </w:rPr>
        <w:fldChar w:fldCharType="begin"/>
      </w:r>
      <w:r w:rsidRPr="00B14C4D">
        <w:rPr>
          <w:b/>
          <w:color w:val="000000"/>
          <w:sz w:val="22"/>
        </w:rPr>
        <w:instrText xml:space="preserve"> SEQ Figure \* ARABIC </w:instrText>
      </w:r>
      <w:r w:rsidRPr="00B14C4D">
        <w:rPr>
          <w:b/>
          <w:color w:val="000000"/>
          <w:sz w:val="22"/>
        </w:rPr>
        <w:fldChar w:fldCharType="separate"/>
      </w:r>
      <w:r w:rsidR="00B14C4D" w:rsidRPr="00B14C4D">
        <w:rPr>
          <w:b/>
          <w:noProof/>
          <w:color w:val="000000"/>
          <w:sz w:val="22"/>
        </w:rPr>
        <w:t>2</w:t>
      </w:r>
      <w:r w:rsidRPr="00B14C4D">
        <w:rPr>
          <w:b/>
          <w:color w:val="000000"/>
          <w:sz w:val="22"/>
        </w:rPr>
        <w:fldChar w:fldCharType="end"/>
      </w:r>
      <w:r w:rsidRPr="00B14C4D">
        <w:rPr>
          <w:b/>
          <w:color w:val="000000"/>
          <w:sz w:val="22"/>
        </w:rPr>
        <w:t xml:space="preserve">: </w:t>
      </w:r>
      <w:r w:rsidR="00F573B6" w:rsidRPr="00B14C4D">
        <w:rPr>
          <w:b/>
          <w:color w:val="000000"/>
          <w:sz w:val="22"/>
        </w:rPr>
        <w:t>TEFCA-</w:t>
      </w:r>
      <w:r w:rsidR="00507BE2" w:rsidRPr="00B14C4D">
        <w:rPr>
          <w:b/>
          <w:color w:val="000000"/>
          <w:sz w:val="22"/>
        </w:rPr>
        <w:t>USCD</w:t>
      </w:r>
      <w:r w:rsidR="00A02DA6" w:rsidRPr="00B14C4D">
        <w:rPr>
          <w:b/>
          <w:color w:val="000000"/>
          <w:sz w:val="22"/>
        </w:rPr>
        <w:t>I</w:t>
      </w:r>
      <w:r w:rsidR="00F573B6" w:rsidRPr="00B14C4D">
        <w:rPr>
          <w:b/>
          <w:color w:val="000000"/>
          <w:sz w:val="22"/>
        </w:rPr>
        <w:t>-FHA-</w:t>
      </w:r>
      <w:r w:rsidRPr="00B14C4D">
        <w:rPr>
          <w:b/>
          <w:color w:val="000000"/>
          <w:sz w:val="22"/>
        </w:rPr>
        <w:t>HL7</w:t>
      </w:r>
      <w:r w:rsidR="00A02DA6" w:rsidRPr="00B14C4D">
        <w:rPr>
          <w:b/>
          <w:color w:val="000000"/>
          <w:sz w:val="22"/>
        </w:rPr>
        <w:t>-HSPC</w:t>
      </w:r>
      <w:r w:rsidRPr="00B14C4D">
        <w:rPr>
          <w:b/>
          <w:color w:val="000000"/>
          <w:sz w:val="22"/>
        </w:rPr>
        <w:t xml:space="preserve"> Data-Quality Risk</w:t>
      </w:r>
      <w:r w:rsidR="00A02DA6" w:rsidRPr="00B14C4D">
        <w:rPr>
          <w:b/>
          <w:color w:val="000000"/>
          <w:sz w:val="22"/>
        </w:rPr>
        <w:t>-</w:t>
      </w:r>
      <w:r w:rsidRPr="00B14C4D">
        <w:rPr>
          <w:b/>
          <w:color w:val="000000"/>
          <w:sz w:val="22"/>
        </w:rPr>
        <w:t xml:space="preserve">Mitigation Methodology. </w:t>
      </w:r>
    </w:p>
    <w:p w14:paraId="74271DE9" w14:textId="77777777" w:rsidR="00C83D55" w:rsidRPr="00B14C4D" w:rsidRDefault="00C83D55" w:rsidP="0095444A">
      <w:pPr>
        <w:spacing w:after="0" w:line="276" w:lineRule="auto"/>
        <w:ind w:left="720" w:hanging="720"/>
        <w:jc w:val="both"/>
        <w:rPr>
          <w:rFonts w:ascii="Arial Narrow" w:eastAsia="Times New Roman" w:hAnsi="Arial Narrow" w:cs="Calibri"/>
        </w:rPr>
      </w:pPr>
    </w:p>
    <w:p w14:paraId="1BB3774C" w14:textId="58FFDF5C" w:rsidR="00C83D55" w:rsidRPr="00B14C4D" w:rsidRDefault="002F29DE" w:rsidP="0095444A">
      <w:pPr>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rPr>
        <w:t xml:space="preserve">In Figure 2, </w:t>
      </w:r>
      <w:r w:rsidR="00C83D55" w:rsidRPr="00B14C4D">
        <w:rPr>
          <w:rFonts w:asciiTheme="minorHAnsi" w:eastAsia="Times New Roman" w:hAnsiTheme="minorHAnsi" w:cstheme="minorHAnsi"/>
        </w:rPr>
        <w:t>The data-quality risk</w:t>
      </w:r>
      <w:r w:rsidR="00F01F3D" w:rsidRPr="00B14C4D">
        <w:rPr>
          <w:rFonts w:asciiTheme="minorHAnsi" w:eastAsia="Times New Roman" w:hAnsiTheme="minorHAnsi" w:cstheme="minorHAnsi"/>
        </w:rPr>
        <w:t>-</w:t>
      </w:r>
      <w:r w:rsidR="00C83D55" w:rsidRPr="00B14C4D">
        <w:rPr>
          <w:rFonts w:asciiTheme="minorHAnsi" w:eastAsia="Times New Roman" w:hAnsiTheme="minorHAnsi" w:cstheme="minorHAnsi"/>
        </w:rPr>
        <w:t>mitigation methodology uses USCDI-FHIM-HL7-</w:t>
      </w:r>
      <w:r w:rsidR="00C50A97" w:rsidRPr="00B14C4D">
        <w:rPr>
          <w:rFonts w:asciiTheme="minorHAnsi" w:eastAsia="Times New Roman" w:hAnsiTheme="minorHAnsi" w:cstheme="minorHAnsi"/>
        </w:rPr>
        <w:t>FHA-</w:t>
      </w:r>
      <w:r w:rsidR="00C83D55" w:rsidRPr="00B14C4D">
        <w:rPr>
          <w:rFonts w:asciiTheme="minorHAnsi" w:eastAsia="Times New Roman" w:hAnsiTheme="minorHAnsi" w:cstheme="minorHAnsi"/>
        </w:rPr>
        <w:t xml:space="preserve">HSPC-MITRE </w:t>
      </w:r>
      <w:r w:rsidR="00766D09" w:rsidRPr="00B14C4D">
        <w:rPr>
          <w:rFonts w:asciiTheme="minorHAnsi" w:eastAsia="Times New Roman" w:hAnsiTheme="minorHAnsi" w:cstheme="minorHAnsi"/>
        </w:rPr>
        <w:t>model driven development (</w:t>
      </w:r>
      <w:r w:rsidR="00766D09" w:rsidRPr="00B14C4D">
        <w:rPr>
          <w:rFonts w:asciiTheme="minorHAnsi" w:eastAsia="Times New Roman" w:hAnsiTheme="minorHAnsi" w:cstheme="minorHAnsi"/>
          <w:b/>
        </w:rPr>
        <w:t>MDD</w:t>
      </w:r>
      <w:r w:rsidR="00766D09" w:rsidRPr="00B14C4D">
        <w:rPr>
          <w:rFonts w:asciiTheme="minorHAnsi" w:eastAsia="Times New Roman" w:hAnsiTheme="minorHAnsi" w:cstheme="minorHAnsi"/>
        </w:rPr>
        <w:t xml:space="preserve">) </w:t>
      </w:r>
      <w:r w:rsidR="00C83D55" w:rsidRPr="00B14C4D">
        <w:rPr>
          <w:rFonts w:asciiTheme="minorHAnsi" w:eastAsia="Times New Roman" w:hAnsiTheme="minorHAnsi" w:cstheme="minorHAnsi"/>
        </w:rPr>
        <w:t>technologies and tools. These projects separate structure</w:t>
      </w:r>
      <w:r w:rsidR="00DA32B8" w:rsidRPr="00B14C4D">
        <w:rPr>
          <w:rFonts w:asciiTheme="minorHAnsi" w:eastAsia="Times New Roman" w:hAnsiTheme="minorHAnsi" w:cstheme="minorHAnsi"/>
        </w:rPr>
        <w:t>-</w:t>
      </w:r>
      <w:r w:rsidR="00C83D55" w:rsidRPr="00B14C4D">
        <w:rPr>
          <w:rFonts w:asciiTheme="minorHAnsi" w:eastAsia="Times New Roman" w:hAnsiTheme="minorHAnsi" w:cstheme="minorHAnsi"/>
        </w:rPr>
        <w:t>and</w:t>
      </w:r>
      <w:r w:rsidR="00DA32B8" w:rsidRPr="00B14C4D">
        <w:rPr>
          <w:rFonts w:asciiTheme="minorHAnsi" w:eastAsia="Times New Roman" w:hAnsiTheme="minorHAnsi" w:cstheme="minorHAnsi"/>
        </w:rPr>
        <w:t>-</w:t>
      </w:r>
      <w:r w:rsidR="00C83D55" w:rsidRPr="00B14C4D">
        <w:rPr>
          <w:rFonts w:asciiTheme="minorHAnsi" w:eastAsia="Times New Roman" w:hAnsiTheme="minorHAnsi" w:cstheme="minorHAnsi"/>
        </w:rPr>
        <w:t xml:space="preserve">semantic concerns making complex risks manageable. The pre/post coordination mapping conundrum is addressed by a use-case specific constrained </w:t>
      </w:r>
      <w:r w:rsidR="00DA32B8" w:rsidRPr="00B14C4D">
        <w:rPr>
          <w:rFonts w:asciiTheme="minorHAnsi" w:eastAsia="Times New Roman" w:hAnsiTheme="minorHAnsi" w:cstheme="minorHAnsi"/>
        </w:rPr>
        <w:t>USCDI-</w:t>
      </w:r>
      <w:r w:rsidR="00C83D55" w:rsidRPr="00B14C4D">
        <w:rPr>
          <w:rFonts w:asciiTheme="minorHAnsi" w:eastAsia="Times New Roman" w:hAnsiTheme="minorHAnsi" w:cstheme="minorHAnsi"/>
        </w:rPr>
        <w:t>FHIM domain models into CIMI Detailed Clinical Models (</w:t>
      </w:r>
      <w:r w:rsidR="00C83D55" w:rsidRPr="00B14C4D">
        <w:rPr>
          <w:rFonts w:asciiTheme="minorHAnsi" w:eastAsia="Times New Roman" w:hAnsiTheme="minorHAnsi" w:cstheme="minorHAnsi"/>
          <w:b/>
        </w:rPr>
        <w:t>DCMs</w:t>
      </w:r>
      <w:r w:rsidR="00C83D55" w:rsidRPr="00B14C4D">
        <w:rPr>
          <w:rFonts w:asciiTheme="minorHAnsi" w:eastAsia="Times New Roman" w:hAnsiTheme="minorHAnsi" w:cstheme="minorHAnsi"/>
        </w:rPr>
        <w:t>) harmonized across-and-within SOLOR controlled vocabularies (</w:t>
      </w:r>
      <w:r w:rsidR="00C83D55" w:rsidRPr="00B14C4D">
        <w:rPr>
          <w:rFonts w:asciiTheme="minorHAnsi" w:eastAsia="Times New Roman" w:hAnsiTheme="minorHAnsi" w:cstheme="minorHAnsi"/>
          <w:b/>
        </w:rPr>
        <w:t>CVs</w:t>
      </w:r>
      <w:r w:rsidR="00C83D55" w:rsidRPr="00B14C4D">
        <w:rPr>
          <w:rFonts w:asciiTheme="minorHAnsi" w:eastAsia="Times New Roman" w:hAnsiTheme="minorHAnsi" w:cstheme="minorHAnsi"/>
        </w:rPr>
        <w:t xml:space="preserve">) and code sets; where, a DCM associates a SOLOR model-of-meaning using the SNOMED observation model, which then associates a DCM </w:t>
      </w:r>
      <w:r w:rsidR="00130AB9" w:rsidRPr="00B14C4D">
        <w:rPr>
          <w:rFonts w:asciiTheme="minorHAnsi" w:eastAsia="Times New Roman" w:hAnsiTheme="minorHAnsi" w:cstheme="minorHAnsi"/>
        </w:rPr>
        <w:t>(</w:t>
      </w:r>
      <w:r w:rsidR="00C83D55" w:rsidRPr="00B14C4D">
        <w:rPr>
          <w:rFonts w:asciiTheme="minorHAnsi" w:eastAsia="Times New Roman" w:hAnsiTheme="minorHAnsi" w:cstheme="minorHAnsi"/>
        </w:rPr>
        <w:t>Finding, Order</w:t>
      </w:r>
      <w:r w:rsidR="00F130AB" w:rsidRPr="00B14C4D">
        <w:rPr>
          <w:rFonts w:asciiTheme="minorHAnsi" w:eastAsia="Times New Roman" w:hAnsiTheme="minorHAnsi" w:cstheme="minorHAnsi"/>
        </w:rPr>
        <w:t xml:space="preserve"> or</w:t>
      </w:r>
      <w:r w:rsidR="00C83D55" w:rsidRPr="00B14C4D">
        <w:rPr>
          <w:rFonts w:asciiTheme="minorHAnsi" w:eastAsia="Times New Roman" w:hAnsiTheme="minorHAnsi" w:cstheme="minorHAnsi"/>
        </w:rPr>
        <w:t xml:space="preserve"> Procedure</w:t>
      </w:r>
      <w:r w:rsidR="00130AB9" w:rsidRPr="00B14C4D">
        <w:rPr>
          <w:rFonts w:asciiTheme="minorHAnsi" w:eastAsia="Times New Roman" w:hAnsiTheme="minorHAnsi" w:cstheme="minorHAnsi"/>
        </w:rPr>
        <w:t>)</w:t>
      </w:r>
      <w:r w:rsidR="00C83D55" w:rsidRPr="00B14C4D">
        <w:rPr>
          <w:rFonts w:asciiTheme="minorHAnsi" w:eastAsia="Times New Roman" w:hAnsiTheme="minorHAnsi" w:cstheme="minorHAnsi"/>
        </w:rPr>
        <w:t xml:space="preserve"> </w:t>
      </w:r>
      <w:r w:rsidR="00130AB9" w:rsidRPr="00B14C4D">
        <w:rPr>
          <w:rFonts w:asciiTheme="minorHAnsi" w:eastAsia="Times New Roman" w:hAnsiTheme="minorHAnsi" w:cstheme="minorHAnsi"/>
        </w:rPr>
        <w:t xml:space="preserve">template </w:t>
      </w:r>
      <w:r w:rsidR="00C83D55" w:rsidRPr="00B14C4D">
        <w:rPr>
          <w:rFonts w:asciiTheme="minorHAnsi" w:eastAsia="Times New Roman" w:hAnsiTheme="minorHAnsi" w:cstheme="minorHAnsi"/>
        </w:rPr>
        <w:t xml:space="preserve">with its context. Seamless MDD tools, such as </w:t>
      </w:r>
      <w:r w:rsidR="000E49CB" w:rsidRPr="00B14C4D">
        <w:rPr>
          <w:rFonts w:asciiTheme="minorHAnsi" w:eastAsia="Times New Roman" w:hAnsiTheme="minorHAnsi" w:cstheme="minorHAnsi"/>
        </w:rPr>
        <w:t xml:space="preserve">those developed by </w:t>
      </w:r>
      <w:r w:rsidR="00C83D55" w:rsidRPr="00B14C4D">
        <w:rPr>
          <w:rFonts w:asciiTheme="minorHAnsi" w:eastAsia="Times New Roman" w:hAnsiTheme="minorHAnsi" w:cstheme="minorHAnsi"/>
        </w:rPr>
        <w:t>FHA</w:t>
      </w:r>
      <w:r w:rsidR="00601EF0" w:rsidRPr="00B14C4D">
        <w:rPr>
          <w:rFonts w:asciiTheme="minorHAnsi" w:eastAsia="Times New Roman" w:hAnsiTheme="minorHAnsi" w:cstheme="minorHAnsi"/>
        </w:rPr>
        <w:t>, HL7</w:t>
      </w:r>
      <w:r w:rsidR="00D16B26" w:rsidRPr="00B14C4D">
        <w:rPr>
          <w:rFonts w:asciiTheme="minorHAnsi" w:eastAsia="Times New Roman" w:hAnsiTheme="minorHAnsi" w:cstheme="minorHAnsi"/>
        </w:rPr>
        <w:t>, MITRE</w:t>
      </w:r>
      <w:r w:rsidR="00601EF0" w:rsidRPr="00B14C4D">
        <w:rPr>
          <w:rFonts w:asciiTheme="minorHAnsi" w:eastAsia="Times New Roman" w:hAnsiTheme="minorHAnsi" w:cstheme="minorHAnsi"/>
        </w:rPr>
        <w:t xml:space="preserve"> </w:t>
      </w:r>
      <w:r w:rsidR="00D16B26" w:rsidRPr="00B14C4D">
        <w:rPr>
          <w:rFonts w:asciiTheme="minorHAnsi" w:eastAsia="Times New Roman" w:hAnsiTheme="minorHAnsi" w:cstheme="minorHAnsi"/>
        </w:rPr>
        <w:t>and commercial partners</w:t>
      </w:r>
      <w:r w:rsidR="000E49CB" w:rsidRPr="00B14C4D">
        <w:rPr>
          <w:rFonts w:asciiTheme="minorHAnsi" w:eastAsia="Times New Roman" w:hAnsiTheme="minorHAnsi" w:cstheme="minorHAnsi"/>
        </w:rPr>
        <w:t xml:space="preserve"> </w:t>
      </w:r>
      <w:r w:rsidR="00C83D55" w:rsidRPr="00B14C4D">
        <w:rPr>
          <w:rFonts w:asciiTheme="minorHAnsi" w:eastAsia="Times New Roman" w:hAnsiTheme="minorHAnsi" w:cstheme="minorHAnsi"/>
        </w:rPr>
        <w:t xml:space="preserve">make the methodology efficient-and-effective. </w:t>
      </w:r>
    </w:p>
    <w:p w14:paraId="4EF457A1" w14:textId="77777777" w:rsidR="000A299B" w:rsidRPr="00B14C4D" w:rsidRDefault="000A299B" w:rsidP="0095444A">
      <w:pPr>
        <w:spacing w:after="0" w:line="276" w:lineRule="auto"/>
        <w:ind w:left="720" w:hanging="720"/>
        <w:jc w:val="both"/>
        <w:rPr>
          <w:rFonts w:asciiTheme="minorHAnsi" w:eastAsia="Times New Roman" w:hAnsiTheme="minorHAnsi" w:cstheme="minorHAnsi"/>
        </w:rPr>
      </w:pPr>
    </w:p>
    <w:p w14:paraId="0ED29E19" w14:textId="2FE11DA5" w:rsidR="00C046FB" w:rsidRPr="00B14C4D" w:rsidRDefault="00C046FB" w:rsidP="0095444A">
      <w:pPr>
        <w:spacing w:after="0" w:line="276" w:lineRule="auto"/>
        <w:ind w:left="720" w:hanging="720"/>
        <w:rPr>
          <w:rFonts w:asciiTheme="minorHAnsi" w:hAnsiTheme="minorHAnsi" w:cstheme="minorHAnsi"/>
          <w:color w:val="000000"/>
        </w:rPr>
      </w:pPr>
      <w:r w:rsidRPr="00B14C4D">
        <w:rPr>
          <w:rFonts w:asciiTheme="minorHAnsi" w:eastAsia="Times New Roman" w:hAnsiTheme="minorHAnsi" w:cstheme="minorHAnsi"/>
          <w:b/>
          <w:color w:val="000000"/>
        </w:rPr>
        <w:t>Benefit</w:t>
      </w:r>
      <w:r w:rsidRPr="00B14C4D">
        <w:rPr>
          <w:rFonts w:asciiTheme="minorHAnsi" w:eastAsia="Times New Roman" w:hAnsiTheme="minorHAnsi" w:cstheme="minorHAnsi"/>
          <w:color w:val="000000"/>
        </w:rPr>
        <w:t xml:space="preserve">: </w:t>
      </w:r>
      <w:r w:rsidR="00EA782C" w:rsidRPr="00B14C4D">
        <w:rPr>
          <w:rFonts w:asciiTheme="minorHAnsi" w:eastAsia="Times New Roman" w:hAnsiTheme="minorHAnsi" w:cstheme="minorHAnsi"/>
          <w:color w:val="000000"/>
        </w:rPr>
        <w:t xml:space="preserve">Computable interoperability within Health Information Networks (HIN), Qualified HINs (QHINs) and Recognized Coordinating Entity (RCE) by standardizing pre-post coordinated terminology mappings and value sets within an FHA managed USCDI-FHIM-DCM US-realm SNOMED extension for LOINC and </w:t>
      </w:r>
      <w:proofErr w:type="spellStart"/>
      <w:r w:rsidR="00EA782C" w:rsidRPr="00B14C4D">
        <w:rPr>
          <w:rFonts w:asciiTheme="minorHAnsi" w:eastAsia="Times New Roman" w:hAnsiTheme="minorHAnsi" w:cstheme="minorHAnsi"/>
          <w:color w:val="000000"/>
        </w:rPr>
        <w:t>RxNorm</w:t>
      </w:r>
      <w:proofErr w:type="spellEnd"/>
      <w:r w:rsidR="00EA782C" w:rsidRPr="00B14C4D">
        <w:rPr>
          <w:rFonts w:asciiTheme="minorHAnsi" w:eastAsia="Times New Roman" w:hAnsiTheme="minorHAnsi" w:cstheme="minorHAnsi"/>
          <w:color w:val="000000"/>
        </w:rPr>
        <w:t xml:space="preserve"> can positively influence patient-value (safety, quality, cost), by empowering better analytics, reasoning and outcomes measurements. </w:t>
      </w:r>
    </w:p>
    <w:p w14:paraId="4107DA0E" w14:textId="77777777" w:rsidR="00CB7880" w:rsidRPr="00B14C4D" w:rsidRDefault="00CB7880" w:rsidP="0095444A">
      <w:pPr>
        <w:spacing w:after="0" w:line="276" w:lineRule="auto"/>
        <w:rPr>
          <w:rFonts w:asciiTheme="minorHAnsi" w:eastAsia="Times New Roman" w:hAnsiTheme="minorHAnsi" w:cstheme="minorHAnsi"/>
          <w:b/>
          <w:color w:val="0000CC"/>
          <w:sz w:val="28"/>
        </w:rPr>
      </w:pPr>
    </w:p>
    <w:p w14:paraId="65453508" w14:textId="77777777" w:rsidR="00CB7880" w:rsidRPr="00B14C4D" w:rsidRDefault="00CB7880" w:rsidP="0095444A">
      <w:pPr>
        <w:spacing w:after="0" w:line="276" w:lineRule="auto"/>
        <w:rPr>
          <w:rFonts w:asciiTheme="minorHAnsi" w:eastAsia="Times New Roman" w:hAnsiTheme="minorHAnsi" w:cstheme="minorHAnsi"/>
          <w:color w:val="000000"/>
        </w:rPr>
      </w:pPr>
      <w:r w:rsidRPr="00B14C4D">
        <w:rPr>
          <w:rFonts w:asciiTheme="minorHAnsi" w:eastAsia="Times New Roman" w:hAnsiTheme="minorHAnsi" w:cstheme="minorHAnsi"/>
          <w:b/>
          <w:color w:val="000000"/>
        </w:rPr>
        <w:t>Acknowledgement:</w:t>
      </w:r>
      <w:r w:rsidRPr="00B14C4D">
        <w:rPr>
          <w:rFonts w:asciiTheme="minorHAnsi" w:eastAsia="Times New Roman" w:hAnsiTheme="minorHAnsi" w:cstheme="minorHAnsi"/>
          <w:color w:val="000000"/>
        </w:rPr>
        <w:t xml:space="preserve"> This paper would not be possible without </w:t>
      </w:r>
    </w:p>
    <w:p w14:paraId="2B106DF7" w14:textId="0318708C" w:rsidR="00CB7880" w:rsidRPr="00B14C4D" w:rsidRDefault="00CB7880" w:rsidP="00ED1A5D">
      <w:pPr>
        <w:pStyle w:val="ListParagraph"/>
        <w:numPr>
          <w:ilvl w:val="0"/>
          <w:numId w:val="9"/>
        </w:numPr>
        <w:spacing w:after="0" w:line="276" w:lineRule="auto"/>
        <w:ind w:left="720"/>
        <w:rPr>
          <w:rFonts w:ascii="Arial Narrow" w:eastAsia="Times New Roman" w:hAnsi="Arial Narrow" w:cs="Calibri"/>
          <w:b/>
          <w:color w:val="000000"/>
        </w:rPr>
      </w:pPr>
      <w:r w:rsidRPr="00B14C4D">
        <w:rPr>
          <w:rFonts w:ascii="Arial Narrow" w:eastAsia="Times New Roman" w:hAnsi="Arial Narrow" w:cs="Calibri"/>
          <w:color w:val="000000"/>
          <w:u w:val="single"/>
        </w:rPr>
        <w:t>Thought leadership</w:t>
      </w:r>
      <w:r w:rsidR="00443F59" w:rsidRPr="00B14C4D">
        <w:rPr>
          <w:rFonts w:ascii="Arial Narrow" w:eastAsia="Times New Roman" w:hAnsi="Arial Narrow" w:cs="Calibri"/>
          <w:color w:val="000000"/>
        </w:rPr>
        <w:t>:</w:t>
      </w:r>
      <w:r w:rsidRPr="00B14C4D">
        <w:rPr>
          <w:rFonts w:ascii="Arial Narrow" w:eastAsia="Times New Roman" w:hAnsi="Arial Narrow" w:cs="Calibri"/>
          <w:color w:val="000000"/>
        </w:rPr>
        <w:t xml:space="preserve"> Stan Huff, Keith Campbell, Nona Hall, Mark Kramer, Walter </w:t>
      </w:r>
      <w:proofErr w:type="spellStart"/>
      <w:r w:rsidRPr="00B14C4D">
        <w:rPr>
          <w:rFonts w:ascii="Arial Narrow" w:eastAsia="Times New Roman" w:hAnsi="Arial Narrow" w:cs="Calibri"/>
          <w:color w:val="000000"/>
        </w:rPr>
        <w:t>Sujanski</w:t>
      </w:r>
      <w:proofErr w:type="spellEnd"/>
      <w:r w:rsidRPr="00B14C4D">
        <w:rPr>
          <w:rFonts w:ascii="Arial Narrow" w:eastAsia="Times New Roman" w:hAnsi="Arial Narrow" w:cs="Calibri"/>
          <w:color w:val="000000"/>
        </w:rPr>
        <w:t>, Rob McClure, Susan Matney, Jay Lyle, Claude Nanjo, Richard Esmond, Galen Mulrooney, Sean Muir, Gerard Freriks</w:t>
      </w:r>
      <w:r w:rsidR="008D3CAF" w:rsidRPr="00B14C4D">
        <w:rPr>
          <w:rFonts w:ascii="Arial Narrow" w:eastAsia="Times New Roman" w:hAnsi="Arial Narrow" w:cs="Calibri"/>
          <w:color w:val="000000"/>
        </w:rPr>
        <w:t xml:space="preserve">, </w:t>
      </w:r>
      <w:r w:rsidRPr="00B14C4D">
        <w:rPr>
          <w:rFonts w:ascii="Arial Narrow" w:eastAsia="Times New Roman" w:hAnsi="Arial Narrow" w:cs="Calibri"/>
          <w:color w:val="000000"/>
        </w:rPr>
        <w:t>HL7</w:t>
      </w:r>
      <w:r w:rsidR="00651B62" w:rsidRPr="00B14C4D">
        <w:rPr>
          <w:rFonts w:ascii="Arial Narrow" w:eastAsia="Times New Roman" w:hAnsi="Arial Narrow" w:cs="Calibri"/>
          <w:color w:val="000000"/>
        </w:rPr>
        <w:t>-</w:t>
      </w:r>
      <w:r w:rsidRPr="00B14C4D">
        <w:rPr>
          <w:rFonts w:ascii="Arial Narrow" w:eastAsia="Times New Roman" w:hAnsi="Arial Narrow" w:cs="Calibri"/>
          <w:color w:val="000000"/>
        </w:rPr>
        <w:t xml:space="preserve">HSPC participants. </w:t>
      </w:r>
    </w:p>
    <w:p w14:paraId="30577273" w14:textId="40D645AD" w:rsidR="00CB7880" w:rsidRPr="00B14C4D" w:rsidRDefault="00CB7880" w:rsidP="00ED1A5D">
      <w:pPr>
        <w:pStyle w:val="ListParagraph"/>
        <w:numPr>
          <w:ilvl w:val="0"/>
          <w:numId w:val="9"/>
        </w:numPr>
        <w:spacing w:after="0" w:line="276" w:lineRule="auto"/>
        <w:ind w:left="720"/>
        <w:rPr>
          <w:rFonts w:ascii="Arial Narrow" w:eastAsia="Times New Roman" w:hAnsi="Arial Narrow" w:cs="Calibri"/>
          <w:color w:val="000000"/>
        </w:rPr>
      </w:pPr>
      <w:r w:rsidRPr="00B14C4D">
        <w:rPr>
          <w:rFonts w:ascii="Arial Narrow" w:eastAsia="Times New Roman" w:hAnsi="Arial Narrow" w:cs="Calibri"/>
          <w:color w:val="000000"/>
          <w:u w:val="single"/>
        </w:rPr>
        <w:t>Mentoring, focus and encouragement</w:t>
      </w:r>
      <w:r w:rsidR="00443F59" w:rsidRPr="00B14C4D">
        <w:rPr>
          <w:rFonts w:ascii="Arial Narrow" w:eastAsia="Times New Roman" w:hAnsi="Arial Narrow" w:cs="Calibri"/>
          <w:color w:val="000000"/>
        </w:rPr>
        <w:t>:</w:t>
      </w:r>
      <w:r w:rsidRPr="00B14C4D">
        <w:rPr>
          <w:rFonts w:ascii="Arial Narrow" w:eastAsia="Times New Roman" w:hAnsi="Arial Narrow" w:cs="Calibri"/>
          <w:color w:val="000000"/>
        </w:rPr>
        <w:t xml:space="preserve"> Nancy Orvis, Gail Kalbfleisch</w:t>
      </w:r>
      <w:r w:rsidR="0037395D" w:rsidRPr="00B14C4D">
        <w:rPr>
          <w:rFonts w:ascii="Arial Narrow" w:eastAsia="Times New Roman" w:hAnsi="Arial Narrow" w:cs="Calibri"/>
          <w:color w:val="000000"/>
        </w:rPr>
        <w:t>,</w:t>
      </w:r>
      <w:r w:rsidR="00F1722F" w:rsidRPr="00B14C4D">
        <w:rPr>
          <w:rFonts w:ascii="Arial Narrow" w:eastAsia="Times New Roman" w:hAnsi="Arial Narrow" w:cs="Calibri"/>
          <w:color w:val="000000"/>
        </w:rPr>
        <w:t xml:space="preserve"> Bob Bishop</w:t>
      </w:r>
      <w:r w:rsidRPr="00B14C4D">
        <w:rPr>
          <w:rFonts w:ascii="Arial Narrow" w:eastAsia="Times New Roman" w:hAnsi="Arial Narrow" w:cs="Calibri"/>
          <w:color w:val="000000"/>
        </w:rPr>
        <w:t xml:space="preserve"> and Steve Wagner. </w:t>
      </w:r>
    </w:p>
    <w:p w14:paraId="25CE77D3" w14:textId="77777777" w:rsidR="00AD555F" w:rsidRPr="00B14C4D" w:rsidRDefault="00AD555F" w:rsidP="0095444A">
      <w:pPr>
        <w:spacing w:after="0"/>
        <w:ind w:left="2160"/>
        <w:jc w:val="center"/>
        <w:rPr>
          <w:b/>
        </w:rPr>
      </w:pPr>
    </w:p>
    <w:p w14:paraId="34CB55B3" w14:textId="16D514A9" w:rsidR="00D6042D" w:rsidRPr="00B14C4D" w:rsidRDefault="00AD555F" w:rsidP="00693168">
      <w:pPr>
        <w:spacing w:after="0"/>
        <w:jc w:val="center"/>
        <w:sectPr w:rsidR="00D6042D" w:rsidRPr="00B14C4D" w:rsidSect="00E36F75">
          <w:footerReference w:type="default" r:id="rId10"/>
          <w:pgSz w:w="12240" w:h="15840"/>
          <w:pgMar w:top="1440" w:right="1080" w:bottom="1440" w:left="1080" w:header="720" w:footer="720" w:gutter="0"/>
          <w:lnNumType w:countBy="1" w:restart="continuous"/>
          <w:cols w:space="720"/>
          <w:docGrid w:linePitch="360"/>
        </w:sectPr>
      </w:pPr>
      <w:r w:rsidRPr="00B14C4D">
        <w:rPr>
          <w:b/>
          <w:color w:val="0000CC"/>
        </w:rPr>
        <w:t>Call for Participation</w:t>
      </w:r>
      <w:r w:rsidRPr="00B14C4D">
        <w:t>:</w:t>
      </w:r>
      <w:r w:rsidR="005C025B" w:rsidRPr="00B14C4D">
        <w:t xml:space="preserve"> </w:t>
      </w:r>
      <w:r w:rsidRPr="00B14C4D">
        <w:t>Send questions and suggestions to stephen.hufnagel.HL7@gmail.com</w:t>
      </w:r>
      <w:r w:rsidR="00B109C2" w:rsidRPr="00B14C4D">
        <w:t xml:space="preserve"> facilitator</w:t>
      </w:r>
      <w:bookmarkEnd w:id="0"/>
      <w:r w:rsidR="00693168" w:rsidRPr="00B14C4D">
        <w:t xml:space="preserve">   </w:t>
      </w:r>
    </w:p>
    <w:p w14:paraId="74AE7242" w14:textId="2801C421" w:rsidR="003F41DA" w:rsidRPr="00B14C4D" w:rsidRDefault="00DF77C2" w:rsidP="00B419FA">
      <w:pPr>
        <w:spacing w:after="0" w:line="240" w:lineRule="auto"/>
        <w:rPr>
          <w:rFonts w:ascii="Arial Narrow" w:eastAsia="Times New Roman" w:hAnsi="Arial Narrow" w:cs="Calibri"/>
          <w:color w:val="000000"/>
        </w:rPr>
      </w:pPr>
      <w:r w:rsidRPr="00B14C4D">
        <w:rPr>
          <w:b/>
          <w:sz w:val="28"/>
        </w:rPr>
        <w:lastRenderedPageBreak/>
        <w:t>Attachment</w:t>
      </w:r>
      <w:r w:rsidR="00BA206C" w:rsidRPr="00B14C4D">
        <w:rPr>
          <w:b/>
          <w:sz w:val="28"/>
        </w:rPr>
        <w:t xml:space="preserve">: </w:t>
      </w:r>
      <w:r w:rsidR="00F55023" w:rsidRPr="00B14C4D">
        <w:rPr>
          <w:sz w:val="28"/>
        </w:rPr>
        <w:t>Extended</w:t>
      </w:r>
      <w:r w:rsidR="006C202F" w:rsidRPr="00B14C4D">
        <w:rPr>
          <w:sz w:val="28"/>
        </w:rPr>
        <w:t xml:space="preserve"> </w:t>
      </w:r>
      <w:r w:rsidR="00315195" w:rsidRPr="00B14C4D">
        <w:rPr>
          <w:sz w:val="28"/>
        </w:rPr>
        <w:t xml:space="preserve">Wounded-Warrior Scenario </w:t>
      </w:r>
      <w:r w:rsidR="006C0585" w:rsidRPr="00B14C4D">
        <w:rPr>
          <w:sz w:val="28"/>
        </w:rPr>
        <w:t>V</w:t>
      </w:r>
      <w:r w:rsidR="00BA206C" w:rsidRPr="00B14C4D">
        <w:rPr>
          <w:sz w:val="28"/>
        </w:rPr>
        <w:t>ersion</w:t>
      </w:r>
      <w:r w:rsidR="003F41DA" w:rsidRPr="00B14C4D">
        <w:rPr>
          <w:rFonts w:ascii="Arial Narrow" w:eastAsia="Times New Roman" w:hAnsi="Arial Narrow" w:cs="Calibri"/>
          <w:color w:val="000000"/>
          <w:sz w:val="28"/>
        </w:rPr>
        <w:t xml:space="preserve"> </w:t>
      </w:r>
    </w:p>
    <w:p w14:paraId="63623DC5" w14:textId="27E15C13" w:rsidR="00BA206C" w:rsidRPr="00B14C4D" w:rsidRDefault="00BA206C" w:rsidP="00B419FA">
      <w:pPr>
        <w:spacing w:after="0" w:line="240" w:lineRule="auto"/>
        <w:jc w:val="center"/>
        <w:rPr>
          <w:rFonts w:ascii="Arial Black" w:eastAsia="Times New Roman" w:hAnsi="Arial Black" w:cs="Calibri"/>
          <w:b/>
          <w:color w:val="0000CC"/>
          <w:sz w:val="28"/>
        </w:rPr>
      </w:pPr>
      <w:r w:rsidRPr="00B14C4D">
        <w:rPr>
          <w:rFonts w:ascii="Arial Black" w:eastAsia="Times New Roman" w:hAnsi="Arial Black" w:cs="Calibri"/>
          <w:b/>
          <w:color w:val="0000CC"/>
          <w:sz w:val="28"/>
        </w:rPr>
        <w:t>Healthcare IT Data-Quality Risk-M</w:t>
      </w:r>
      <w:r w:rsidR="00051321" w:rsidRPr="00B14C4D">
        <w:rPr>
          <w:rFonts w:ascii="Arial Black" w:eastAsia="Times New Roman" w:hAnsi="Arial Black" w:cs="Calibri"/>
          <w:b/>
          <w:color w:val="0000CC"/>
          <w:sz w:val="28"/>
        </w:rPr>
        <w:t>itigation</w:t>
      </w:r>
      <w:r w:rsidRPr="00B14C4D">
        <w:rPr>
          <w:rFonts w:ascii="Arial Black" w:eastAsia="Times New Roman" w:hAnsi="Arial Black" w:cs="Calibri"/>
          <w:b/>
          <w:color w:val="0000CC"/>
          <w:sz w:val="28"/>
        </w:rPr>
        <w:t xml:space="preserve"> Strategy </w:t>
      </w:r>
    </w:p>
    <w:p w14:paraId="511A54FF" w14:textId="28BD9AD1" w:rsidR="00F55023" w:rsidRPr="00B14C4D" w:rsidRDefault="00F55023" w:rsidP="00B419FA">
      <w:pPr>
        <w:spacing w:after="0" w:line="240" w:lineRule="auto"/>
        <w:jc w:val="center"/>
        <w:rPr>
          <w:rFonts w:ascii="Arial Narrow" w:eastAsia="Times New Roman" w:hAnsi="Arial Narrow" w:cs="Calibri"/>
          <w:b/>
          <w:bCs/>
          <w:color w:val="0000CC"/>
          <w:sz w:val="28"/>
        </w:rPr>
      </w:pPr>
      <w:r w:rsidRPr="00B14C4D">
        <w:rPr>
          <w:rFonts w:ascii="Arial Narrow" w:eastAsia="Times New Roman" w:hAnsi="Arial Narrow" w:cs="Calibri"/>
          <w:b/>
          <w:bCs/>
          <w:color w:val="0000CC"/>
          <w:sz w:val="28"/>
        </w:rPr>
        <w:t xml:space="preserve">“How to </w:t>
      </w:r>
      <w:r w:rsidR="00380D5C" w:rsidRPr="00B14C4D">
        <w:rPr>
          <w:rFonts w:ascii="Arial Narrow" w:eastAsia="Times New Roman" w:hAnsi="Arial Narrow" w:cs="Calibri"/>
          <w:b/>
          <w:bCs/>
          <w:color w:val="0000CC"/>
          <w:sz w:val="28"/>
        </w:rPr>
        <w:t>m</w:t>
      </w:r>
      <w:r w:rsidRPr="00B14C4D">
        <w:rPr>
          <w:rFonts w:ascii="Arial Narrow" w:eastAsia="Times New Roman" w:hAnsi="Arial Narrow" w:cs="Calibri"/>
          <w:b/>
          <w:bCs/>
          <w:color w:val="0000CC"/>
          <w:sz w:val="28"/>
        </w:rPr>
        <w:t>anage healthcare IT risk by standardizing data”</w:t>
      </w:r>
    </w:p>
    <w:p w14:paraId="4AE888B4" w14:textId="6D5BCB12" w:rsidR="00BA206C" w:rsidRPr="00B14C4D" w:rsidRDefault="00752D66" w:rsidP="00B419FA">
      <w:pPr>
        <w:spacing w:after="0" w:line="240" w:lineRule="auto"/>
        <w:jc w:val="center"/>
        <w:rPr>
          <w:rFonts w:ascii="Arial Narrow" w:eastAsia="Times New Roman" w:hAnsi="Arial Narrow" w:cs="Calibri"/>
          <w:b/>
          <w:bCs/>
          <w:color w:val="0000CC"/>
          <w:sz w:val="28"/>
        </w:rPr>
      </w:pPr>
      <w:r w:rsidRPr="00B14C4D">
        <w:rPr>
          <w:rFonts w:ascii="Arial Narrow" w:eastAsia="Times New Roman" w:hAnsi="Arial Narrow" w:cs="Calibri"/>
          <w:b/>
          <w:bCs/>
          <w:color w:val="0000CC"/>
          <w:sz w:val="28"/>
        </w:rPr>
        <w:t>Considering</w:t>
      </w:r>
      <w:r w:rsidR="00BA206C" w:rsidRPr="00B14C4D">
        <w:rPr>
          <w:rFonts w:ascii="Arial Narrow" w:eastAsia="Times New Roman" w:hAnsi="Arial Narrow" w:cs="Calibri"/>
          <w:b/>
          <w:bCs/>
          <w:color w:val="0000CC"/>
          <w:sz w:val="28"/>
        </w:rPr>
        <w:t xml:space="preserve"> 21</w:t>
      </w:r>
      <w:r w:rsidR="00BA206C" w:rsidRPr="00B14C4D">
        <w:rPr>
          <w:rFonts w:ascii="Arial Narrow" w:eastAsia="Times New Roman" w:hAnsi="Arial Narrow" w:cs="Calibri"/>
          <w:b/>
          <w:bCs/>
          <w:color w:val="0000CC"/>
          <w:sz w:val="28"/>
          <w:vertAlign w:val="superscript"/>
        </w:rPr>
        <w:t>st</w:t>
      </w:r>
      <w:r w:rsidR="00BA206C" w:rsidRPr="00B14C4D">
        <w:rPr>
          <w:rFonts w:ascii="Arial Narrow" w:eastAsia="Times New Roman" w:hAnsi="Arial Narrow" w:cs="Calibri"/>
          <w:b/>
          <w:bCs/>
          <w:color w:val="0000CC"/>
          <w:sz w:val="28"/>
        </w:rPr>
        <w:t xml:space="preserve"> Century Cures Act TEFCA and USCDI </w:t>
      </w:r>
    </w:p>
    <w:p w14:paraId="342B4636" w14:textId="0BD7363D" w:rsidR="0095626C" w:rsidRPr="00B14C4D" w:rsidRDefault="0095626C" w:rsidP="00007072">
      <w:pPr>
        <w:spacing w:after="120" w:line="240" w:lineRule="auto"/>
        <w:jc w:val="center"/>
        <w:rPr>
          <w:rFonts w:eastAsia="Times New Roman" w:cs="Calibri"/>
          <w:color w:val="0000CC"/>
          <w:sz w:val="28"/>
        </w:rPr>
      </w:pPr>
      <w:r w:rsidRPr="00B14C4D">
        <w:rPr>
          <w:rFonts w:eastAsia="Times New Roman" w:cs="Calibri"/>
          <w:b/>
          <w:color w:val="0000CC"/>
          <w:sz w:val="28"/>
        </w:rPr>
        <w:t>Executive Summary</w:t>
      </w:r>
      <w:r w:rsidRPr="00B14C4D">
        <w:rPr>
          <w:rFonts w:eastAsia="Times New Roman" w:cs="Calibri"/>
          <w:color w:val="0000CC"/>
          <w:sz w:val="28"/>
        </w:rPr>
        <w:t xml:space="preserve"> </w:t>
      </w:r>
    </w:p>
    <w:p w14:paraId="7B314B26" w14:textId="1BF80A80" w:rsidR="0095626C" w:rsidRPr="00B14C4D" w:rsidRDefault="0095626C" w:rsidP="006C0001">
      <w:pPr>
        <w:spacing w:after="0" w:line="276" w:lineRule="auto"/>
        <w:ind w:left="360"/>
        <w:jc w:val="both"/>
        <w:rPr>
          <w:rFonts w:asciiTheme="minorHAnsi" w:eastAsia="Times New Roman" w:hAnsiTheme="minorHAnsi" w:cstheme="minorHAnsi"/>
        </w:rPr>
      </w:pPr>
      <w:r w:rsidRPr="00B14C4D">
        <w:rPr>
          <w:rFonts w:asciiTheme="minorHAnsi" w:eastAsia="Times New Roman" w:hAnsiTheme="minorHAnsi" w:cstheme="minorHAnsi"/>
          <w:color w:val="0000CC"/>
        </w:rPr>
        <w:t xml:space="preserve">The MHS GENESIS Initial-Operating-Capability deployment identified the data-quality risk discussed in this paper, which is also applicable to the planned </w:t>
      </w:r>
      <w:proofErr w:type="spellStart"/>
      <w:r w:rsidRPr="00B14C4D">
        <w:rPr>
          <w:rFonts w:asciiTheme="minorHAnsi" w:eastAsia="Times New Roman" w:hAnsiTheme="minorHAnsi" w:cstheme="minorHAnsi"/>
          <w:color w:val="0000CC"/>
        </w:rPr>
        <w:t>VistA</w:t>
      </w:r>
      <w:proofErr w:type="spellEnd"/>
      <w:r w:rsidRPr="00B14C4D">
        <w:rPr>
          <w:rFonts w:asciiTheme="minorHAnsi" w:eastAsia="Times New Roman" w:hAnsiTheme="minorHAnsi" w:cstheme="minorHAnsi"/>
          <w:color w:val="0000CC"/>
        </w:rPr>
        <w:t xml:space="preserve"> Modernization deployment of Cerner Millennium EHR and Cerner </w:t>
      </w:r>
      <w:proofErr w:type="spellStart"/>
      <w:r w:rsidRPr="00B14C4D">
        <w:rPr>
          <w:rFonts w:asciiTheme="minorHAnsi" w:eastAsia="Times New Roman" w:hAnsiTheme="minorHAnsi" w:cstheme="minorHAnsi"/>
          <w:color w:val="0000CC"/>
        </w:rPr>
        <w:t>HealtheIntent</w:t>
      </w:r>
      <w:proofErr w:type="spellEnd"/>
      <w:r w:rsidRPr="00B14C4D">
        <w:rPr>
          <w:rFonts w:asciiTheme="minorHAnsi" w:eastAsia="Times New Roman" w:hAnsiTheme="minorHAnsi" w:cstheme="minorHAnsi"/>
          <w:color w:val="0000CC"/>
        </w:rPr>
        <w:t xml:space="preserve"> EDW. The </w:t>
      </w:r>
      <w:r w:rsidRPr="00B14C4D">
        <w:rPr>
          <w:rFonts w:asciiTheme="minorHAnsi" w:eastAsia="Times New Roman" w:hAnsiTheme="minorHAnsi" w:cstheme="minorHAnsi"/>
          <w:color w:val="0000CC"/>
          <w:u w:val="single"/>
        </w:rPr>
        <w:t>good news</w:t>
      </w:r>
      <w:r w:rsidRPr="00B14C4D">
        <w:rPr>
          <w:rFonts w:asciiTheme="minorHAnsi" w:eastAsia="Times New Roman" w:hAnsiTheme="minorHAnsi" w:cstheme="minorHAnsi"/>
          <w:color w:val="0000CC"/>
        </w:rPr>
        <w:t xml:space="preserve"> is that this pragmatic risk-mitigation strategy has no impact on </w:t>
      </w:r>
      <w:r w:rsidR="00627C76" w:rsidRPr="00B14C4D">
        <w:rPr>
          <w:rFonts w:asciiTheme="minorHAnsi" w:eastAsia="Times New Roman" w:hAnsiTheme="minorHAnsi" w:cstheme="minorHAnsi"/>
          <w:color w:val="0000CC"/>
        </w:rPr>
        <w:t>current-</w:t>
      </w:r>
      <w:r w:rsidRPr="00B14C4D">
        <w:rPr>
          <w:rFonts w:asciiTheme="minorHAnsi" w:eastAsia="Times New Roman" w:hAnsiTheme="minorHAnsi" w:cstheme="minorHAnsi"/>
          <w:color w:val="0000CC"/>
        </w:rPr>
        <w:t>or</w:t>
      </w:r>
      <w:r w:rsidR="00627C76" w:rsidRPr="00B14C4D">
        <w:rPr>
          <w:rFonts w:asciiTheme="minorHAnsi" w:eastAsia="Times New Roman" w:hAnsiTheme="minorHAnsi" w:cstheme="minorHAnsi"/>
          <w:color w:val="0000CC"/>
        </w:rPr>
        <w:t>-</w:t>
      </w:r>
      <w:r w:rsidRPr="00B14C4D">
        <w:rPr>
          <w:rFonts w:asciiTheme="minorHAnsi" w:eastAsia="Times New Roman" w:hAnsiTheme="minorHAnsi" w:cstheme="minorHAnsi"/>
          <w:color w:val="0000CC"/>
        </w:rPr>
        <w:t xml:space="preserve">planned MHS Millennium EHR system deployments; </w:t>
      </w:r>
      <w:r w:rsidRPr="00B14C4D">
        <w:rPr>
          <w:rFonts w:asciiTheme="minorHAnsi" w:eastAsia="Times New Roman" w:hAnsiTheme="minorHAnsi" w:cstheme="minorHAnsi"/>
          <w:color w:val="0000CC"/>
          <w:u w:val="single"/>
        </w:rPr>
        <w:t>but</w:t>
      </w:r>
      <w:r w:rsidRPr="00B14C4D">
        <w:rPr>
          <w:rFonts w:asciiTheme="minorHAnsi" w:eastAsia="Times New Roman" w:hAnsiTheme="minorHAnsi" w:cstheme="minorHAnsi"/>
          <w:color w:val="0000CC"/>
        </w:rPr>
        <w:t xml:space="preserve">, the EHR Extraction, Load and Transfer (ETL) process and EDW are at risk. </w:t>
      </w:r>
      <w:r w:rsidR="00B50BA5" w:rsidRPr="00B14C4D">
        <w:rPr>
          <w:rFonts w:asciiTheme="minorHAnsi" w:eastAsia="Times New Roman" w:hAnsiTheme="minorHAnsi" w:cstheme="minorHAnsi"/>
          <w:color w:val="0000CC"/>
        </w:rPr>
        <w:t>DoD-VA</w:t>
      </w:r>
      <w:r w:rsidRPr="00B14C4D">
        <w:rPr>
          <w:rFonts w:asciiTheme="minorHAnsi" w:eastAsia="Times New Roman" w:hAnsiTheme="minorHAnsi" w:cstheme="minorHAnsi"/>
          <w:color w:val="0000CC"/>
        </w:rPr>
        <w:t xml:space="preserve"> EHR modernizations c</w:t>
      </w:r>
      <w:r w:rsidR="00160D55" w:rsidRPr="00B14C4D">
        <w:rPr>
          <w:rFonts w:asciiTheme="minorHAnsi" w:eastAsia="Times New Roman" w:hAnsiTheme="minorHAnsi" w:cstheme="minorHAnsi"/>
          <w:color w:val="0000CC"/>
        </w:rPr>
        <w:t>an</w:t>
      </w:r>
      <w:r w:rsidRPr="00B14C4D">
        <w:rPr>
          <w:rFonts w:asciiTheme="minorHAnsi" w:eastAsia="Times New Roman" w:hAnsiTheme="minorHAnsi" w:cstheme="minorHAnsi"/>
          <w:color w:val="0000CC"/>
        </w:rPr>
        <w:t xml:space="preserve"> be a high value demonstration of the </w:t>
      </w:r>
      <w:r w:rsidR="00CD4E76" w:rsidRPr="00B14C4D">
        <w:rPr>
          <w:rFonts w:asciiTheme="minorHAnsi" w:eastAsia="Times New Roman" w:hAnsiTheme="minorHAnsi" w:cstheme="minorHAnsi"/>
          <w:color w:val="0000CC"/>
        </w:rPr>
        <w:t>recommended</w:t>
      </w:r>
      <w:r w:rsidRPr="00B14C4D">
        <w:rPr>
          <w:rFonts w:asciiTheme="minorHAnsi" w:eastAsia="Times New Roman" w:hAnsiTheme="minorHAnsi" w:cstheme="minorHAnsi"/>
          <w:color w:val="0000CC"/>
        </w:rPr>
        <w:t xml:space="preserve"> TEFCA-USCDI-FHIM-CIMI-SOLOR positive patient-value </w:t>
      </w:r>
      <w:r w:rsidR="00596D24" w:rsidRPr="00B14C4D">
        <w:rPr>
          <w:rFonts w:asciiTheme="minorHAnsi" w:eastAsia="Times New Roman" w:hAnsiTheme="minorHAnsi" w:cstheme="minorHAnsi"/>
          <w:color w:val="0000CC"/>
        </w:rPr>
        <w:t>impact</w:t>
      </w:r>
      <w:r w:rsidRPr="00B14C4D">
        <w:rPr>
          <w:rFonts w:asciiTheme="minorHAnsi" w:eastAsia="Times New Roman" w:hAnsiTheme="minorHAnsi" w:cstheme="minorHAnsi"/>
          <w:color w:val="0000CC"/>
        </w:rPr>
        <w:t xml:space="preserve"> during wounded-warrior patient-movements across the emergency-management continuum</w:t>
      </w:r>
      <w:r w:rsidR="00596D24" w:rsidRPr="00B14C4D">
        <w:rPr>
          <w:rFonts w:asciiTheme="minorHAnsi" w:eastAsia="Times New Roman" w:hAnsiTheme="minorHAnsi" w:cstheme="minorHAnsi"/>
          <w:color w:val="0000CC"/>
        </w:rPr>
        <w:t>-</w:t>
      </w:r>
      <w:r w:rsidRPr="00B14C4D">
        <w:rPr>
          <w:rFonts w:asciiTheme="minorHAnsi" w:eastAsia="Times New Roman" w:hAnsiTheme="minorHAnsi" w:cstheme="minorHAnsi"/>
          <w:color w:val="0000CC"/>
        </w:rPr>
        <w:t>of</w:t>
      </w:r>
      <w:r w:rsidR="00596D24" w:rsidRPr="00B14C4D">
        <w:rPr>
          <w:rFonts w:asciiTheme="minorHAnsi" w:eastAsia="Times New Roman" w:hAnsiTheme="minorHAnsi" w:cstheme="minorHAnsi"/>
          <w:color w:val="0000CC"/>
        </w:rPr>
        <w:t>-</w:t>
      </w:r>
      <w:r w:rsidRPr="00B14C4D">
        <w:rPr>
          <w:rFonts w:asciiTheme="minorHAnsi" w:eastAsia="Times New Roman" w:hAnsiTheme="minorHAnsi" w:cstheme="minorHAnsi"/>
          <w:color w:val="0000CC"/>
        </w:rPr>
        <w:t>care.</w:t>
      </w:r>
    </w:p>
    <w:p w14:paraId="2D1CE039" w14:textId="4EA43914" w:rsidR="0095626C" w:rsidRPr="00B14C4D" w:rsidRDefault="0095626C" w:rsidP="00596D24">
      <w:pPr>
        <w:spacing w:after="0" w:line="276" w:lineRule="auto"/>
        <w:ind w:left="360" w:firstLine="360"/>
        <w:jc w:val="both"/>
        <w:rPr>
          <w:rFonts w:asciiTheme="minorHAnsi" w:eastAsia="Times New Roman" w:hAnsiTheme="minorHAnsi" w:cstheme="minorHAnsi"/>
        </w:rPr>
      </w:pPr>
      <w:r w:rsidRPr="00B14C4D">
        <w:rPr>
          <w:rFonts w:asciiTheme="minorHAnsi" w:eastAsia="Times New Roman" w:hAnsiTheme="minorHAnsi" w:cstheme="minorHAnsi"/>
        </w:rPr>
        <w:t xml:space="preserve">Standardized </w:t>
      </w:r>
      <w:r w:rsidR="005E6046" w:rsidRPr="00B14C4D">
        <w:rPr>
          <w:rFonts w:asciiTheme="minorHAnsi" w:eastAsia="Times New Roman" w:hAnsiTheme="minorHAnsi" w:cstheme="minorHAnsi"/>
        </w:rPr>
        <w:t>US</w:t>
      </w:r>
      <w:r w:rsidR="004D672D" w:rsidRPr="00B14C4D">
        <w:rPr>
          <w:rFonts w:asciiTheme="minorHAnsi" w:eastAsia="Times New Roman" w:hAnsiTheme="minorHAnsi" w:cstheme="minorHAnsi"/>
        </w:rPr>
        <w:t xml:space="preserve">CDI-FHIM-DCMs with </w:t>
      </w:r>
      <w:r w:rsidRPr="00B14C4D">
        <w:rPr>
          <w:rFonts w:asciiTheme="minorHAnsi" w:eastAsia="Times New Roman" w:hAnsiTheme="minorHAnsi" w:cstheme="minorHAnsi"/>
        </w:rPr>
        <w:t>SNOMED CT extension including Extraction, Transformation and Load (</w:t>
      </w:r>
      <w:r w:rsidRPr="00B14C4D">
        <w:rPr>
          <w:rFonts w:asciiTheme="minorHAnsi" w:eastAsia="Times New Roman" w:hAnsiTheme="minorHAnsi" w:cstheme="minorHAnsi"/>
          <w:b/>
          <w:bCs/>
        </w:rPr>
        <w:t>ETL</w:t>
      </w:r>
      <w:r w:rsidRPr="00B14C4D">
        <w:rPr>
          <w:rFonts w:asciiTheme="minorHAnsi" w:eastAsia="Times New Roman" w:hAnsiTheme="minorHAnsi" w:cstheme="minorHAnsi"/>
        </w:rPr>
        <w:t>) process from core EHR “Bespoke” data model’s bi-directional data mapping, without loss of information, to a normalized analytic post-coordinated form maintained</w:t>
      </w:r>
      <w:r w:rsidR="00F55023" w:rsidRPr="00B14C4D">
        <w:rPr>
          <w:rFonts w:asciiTheme="minorHAnsi" w:eastAsia="Times New Roman" w:hAnsiTheme="minorHAnsi" w:cstheme="minorHAnsi"/>
        </w:rPr>
        <w:t>-</w:t>
      </w:r>
      <w:r w:rsidRPr="00B14C4D">
        <w:rPr>
          <w:rFonts w:asciiTheme="minorHAnsi" w:eastAsia="Times New Roman" w:hAnsiTheme="minorHAnsi" w:cstheme="minorHAnsi"/>
        </w:rPr>
        <w:t>and</w:t>
      </w:r>
      <w:r w:rsidR="00F55023" w:rsidRPr="00B14C4D">
        <w:rPr>
          <w:rFonts w:asciiTheme="minorHAnsi" w:eastAsia="Times New Roman" w:hAnsiTheme="minorHAnsi" w:cstheme="minorHAnsi"/>
        </w:rPr>
        <w:t>-</w:t>
      </w:r>
      <w:r w:rsidRPr="00B14C4D">
        <w:rPr>
          <w:rFonts w:asciiTheme="minorHAnsi" w:eastAsia="Times New Roman" w:hAnsiTheme="minorHAnsi" w:cstheme="minorHAnsi"/>
        </w:rPr>
        <w:t xml:space="preserve">governed independent of the operational EHR systems’ deployments </w:t>
      </w:r>
      <w:proofErr w:type="gramStart"/>
      <w:r w:rsidRPr="00B14C4D">
        <w:rPr>
          <w:rFonts w:asciiTheme="minorHAnsi" w:eastAsia="Times New Roman" w:hAnsiTheme="minorHAnsi" w:cstheme="minorHAnsi"/>
        </w:rPr>
        <w:t>is</w:t>
      </w:r>
      <w:proofErr w:type="gramEnd"/>
      <w:r w:rsidRPr="00B14C4D">
        <w:rPr>
          <w:rFonts w:asciiTheme="minorHAnsi" w:eastAsia="Times New Roman" w:hAnsiTheme="minorHAnsi" w:cstheme="minorHAnsi"/>
        </w:rPr>
        <w:t xml:space="preserve"> recommended. This ETL focused strategy also applies to legacy data and Health Information Exchange (</w:t>
      </w:r>
      <w:r w:rsidRPr="00B14C4D">
        <w:rPr>
          <w:rFonts w:asciiTheme="minorHAnsi" w:eastAsia="Times New Roman" w:hAnsiTheme="minorHAnsi" w:cstheme="minorHAnsi"/>
          <w:b/>
          <w:bCs/>
        </w:rPr>
        <w:t>HIE</w:t>
      </w:r>
      <w:r w:rsidRPr="00B14C4D">
        <w:rPr>
          <w:rFonts w:asciiTheme="minorHAnsi" w:eastAsia="Times New Roman" w:hAnsiTheme="minorHAnsi" w:cstheme="minorHAnsi"/>
        </w:rPr>
        <w:t>) data-sharing. If operationalized at a national and ideally international level, the strategy can meet the worst-case, high-value combat-casualty and disaster-management use-cases’ requirement for computable-interoperability amongst disparate partners collaborating within an ad-hoc set of heterogeneous systems, during a wounded-warrior or medically-impacted civilian patient-movement episode across an emergency-management continuum-of-care. The pragmatic dual-use strategy uses ONC-FHA-NIST-OASIS-HL7-NIEM-HSPC</w:t>
      </w:r>
      <w:r w:rsidR="000E538D" w:rsidRPr="00B14C4D">
        <w:rPr>
          <w:rFonts w:asciiTheme="minorHAnsi" w:eastAsia="Times New Roman" w:hAnsiTheme="minorHAnsi" w:cstheme="minorHAnsi"/>
        </w:rPr>
        <w:t>-MITRE</w:t>
      </w:r>
      <w:r w:rsidRPr="00B14C4D">
        <w:rPr>
          <w:rFonts w:asciiTheme="minorHAnsi" w:eastAsia="Times New Roman" w:hAnsiTheme="minorHAnsi" w:cstheme="minorHAnsi"/>
        </w:rPr>
        <w:t xml:space="preserve"> standards, policies, methodologies, technologies and model-driven-development tools for federated EDXL-FHIR-CDA-IEPD APIs, and reference implementation (guides, test-fixtures, methodologies, technologies, tools, components, software development kits) using US Core Data for Interoperability and US SNOMED extension for LOINC and </w:t>
      </w:r>
      <w:proofErr w:type="spellStart"/>
      <w:r w:rsidRPr="00B14C4D">
        <w:rPr>
          <w:rFonts w:asciiTheme="minorHAnsi" w:eastAsia="Times New Roman" w:hAnsiTheme="minorHAnsi" w:cstheme="minorHAnsi"/>
        </w:rPr>
        <w:t>RxNorm</w:t>
      </w:r>
      <w:proofErr w:type="spellEnd"/>
      <w:r w:rsidRPr="00B14C4D">
        <w:rPr>
          <w:rFonts w:asciiTheme="minorHAnsi" w:eastAsia="Times New Roman" w:hAnsiTheme="minorHAnsi" w:cstheme="minorHAnsi"/>
        </w:rPr>
        <w:t xml:space="preserve"> terminology by Federal Agencies, partners, researchers, venders and contractors.</w:t>
      </w:r>
    </w:p>
    <w:p w14:paraId="55D14EEF" w14:textId="31FA1954" w:rsidR="00BA206C" w:rsidRPr="00B14C4D" w:rsidRDefault="00002EF5" w:rsidP="0095444A">
      <w:pPr>
        <w:spacing w:after="0" w:line="276" w:lineRule="auto"/>
        <w:ind w:left="360"/>
        <w:jc w:val="center"/>
        <w:rPr>
          <w:rFonts w:asciiTheme="minorHAnsi" w:eastAsia="Times New Roman" w:hAnsiTheme="minorHAnsi" w:cstheme="minorHAnsi"/>
          <w:b/>
          <w:sz w:val="28"/>
        </w:rPr>
      </w:pPr>
      <w:r w:rsidRPr="00B14C4D">
        <w:rPr>
          <w:rFonts w:asciiTheme="minorHAnsi" w:hAnsiTheme="minorHAnsi" w:cstheme="minorHAnsi"/>
          <w:noProof/>
        </w:rPr>
        <w:drawing>
          <wp:inline distT="0" distB="0" distL="0" distR="0" wp14:anchorId="62AA788A" wp14:editId="1E2153EB">
            <wp:extent cx="4293394" cy="2724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7079" cy="2764673"/>
                    </a:xfrm>
                    <a:prstGeom prst="rect">
                      <a:avLst/>
                    </a:prstGeom>
                  </pic:spPr>
                </pic:pic>
              </a:graphicData>
            </a:graphic>
          </wp:inline>
        </w:drawing>
      </w:r>
    </w:p>
    <w:p w14:paraId="7465DBB8" w14:textId="56654511" w:rsidR="00002EF5" w:rsidRPr="00B14C4D" w:rsidRDefault="00BA206C" w:rsidP="00BE09F8">
      <w:pPr>
        <w:pStyle w:val="Caption"/>
        <w:spacing w:after="0"/>
        <w:jc w:val="center"/>
        <w:rPr>
          <w:rFonts w:asciiTheme="minorHAnsi" w:hAnsiTheme="minorHAnsi" w:cstheme="minorHAnsi"/>
          <w:b/>
          <w:color w:val="000000"/>
          <w:sz w:val="22"/>
          <w:szCs w:val="22"/>
        </w:rPr>
      </w:pPr>
      <w:r w:rsidRPr="00B14C4D">
        <w:rPr>
          <w:rFonts w:asciiTheme="minorHAnsi" w:hAnsiTheme="minorHAnsi" w:cstheme="minorHAnsi"/>
          <w:b/>
          <w:color w:val="000000"/>
          <w:sz w:val="22"/>
          <w:szCs w:val="22"/>
        </w:rPr>
        <w:t xml:space="preserve">Figure </w:t>
      </w:r>
      <w:r w:rsidRPr="00B14C4D">
        <w:rPr>
          <w:rFonts w:asciiTheme="minorHAnsi" w:hAnsiTheme="minorHAnsi" w:cstheme="minorHAnsi"/>
          <w:b/>
          <w:color w:val="000000"/>
          <w:sz w:val="22"/>
          <w:szCs w:val="22"/>
        </w:rPr>
        <w:fldChar w:fldCharType="begin"/>
      </w:r>
      <w:r w:rsidRPr="00B14C4D">
        <w:rPr>
          <w:rFonts w:asciiTheme="minorHAnsi" w:hAnsiTheme="minorHAnsi" w:cstheme="minorHAnsi"/>
          <w:b/>
          <w:color w:val="000000"/>
          <w:sz w:val="22"/>
          <w:szCs w:val="22"/>
        </w:rPr>
        <w:instrText xml:space="preserve"> SEQ Figure \* ARABIC </w:instrText>
      </w:r>
      <w:r w:rsidRPr="00B14C4D">
        <w:rPr>
          <w:rFonts w:asciiTheme="minorHAnsi" w:hAnsiTheme="minorHAnsi" w:cstheme="minorHAnsi"/>
          <w:b/>
          <w:color w:val="000000"/>
          <w:sz w:val="22"/>
          <w:szCs w:val="22"/>
        </w:rPr>
        <w:fldChar w:fldCharType="separate"/>
      </w:r>
      <w:r w:rsidR="00B14C4D" w:rsidRPr="00B14C4D">
        <w:rPr>
          <w:rFonts w:asciiTheme="minorHAnsi" w:hAnsiTheme="minorHAnsi" w:cstheme="minorHAnsi"/>
          <w:b/>
          <w:noProof/>
          <w:color w:val="000000"/>
          <w:sz w:val="22"/>
          <w:szCs w:val="22"/>
        </w:rPr>
        <w:t>3</w:t>
      </w:r>
      <w:r w:rsidRPr="00B14C4D">
        <w:rPr>
          <w:rFonts w:asciiTheme="minorHAnsi" w:hAnsiTheme="minorHAnsi" w:cstheme="minorHAnsi"/>
          <w:b/>
          <w:color w:val="000000"/>
          <w:sz w:val="22"/>
          <w:szCs w:val="22"/>
        </w:rPr>
        <w:fldChar w:fldCharType="end"/>
      </w:r>
      <w:r w:rsidRPr="00B14C4D">
        <w:rPr>
          <w:rFonts w:asciiTheme="minorHAnsi" w:hAnsiTheme="minorHAnsi" w:cstheme="minorHAnsi"/>
          <w:b/>
          <w:color w:val="000000"/>
          <w:sz w:val="22"/>
          <w:szCs w:val="22"/>
        </w:rPr>
        <w:t>: Wounded Warrior Continuum-of-Care Scenario; where, Information Moves with Patients</w:t>
      </w:r>
    </w:p>
    <w:p w14:paraId="7290E114" w14:textId="01CA7BE6" w:rsidR="00BA206C" w:rsidRPr="00B14C4D" w:rsidRDefault="002D0E07" w:rsidP="0095444A">
      <w:pPr>
        <w:spacing w:after="0"/>
        <w:jc w:val="center"/>
        <w:rPr>
          <w:rFonts w:asciiTheme="minorHAnsi" w:hAnsiTheme="minorHAnsi" w:cstheme="minorHAnsi"/>
        </w:rPr>
      </w:pPr>
      <w:r w:rsidRPr="00B14C4D">
        <w:rPr>
          <w:rFonts w:asciiTheme="minorHAnsi" w:hAnsiTheme="minorHAnsi" w:cstheme="minorHAnsi"/>
          <w:noProof/>
        </w:rPr>
        <w:lastRenderedPageBreak/>
        <w:drawing>
          <wp:inline distT="0" distB="0" distL="0" distR="0" wp14:anchorId="4DA11E22" wp14:editId="238DF8DF">
            <wp:extent cx="4849269" cy="3847795"/>
            <wp:effectExtent l="0" t="0" r="8890" b="63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9585" cy="3863915"/>
                    </a:xfrm>
                    <a:prstGeom prst="rect">
                      <a:avLst/>
                    </a:prstGeom>
                    <a:noFill/>
                    <a:ln>
                      <a:noFill/>
                    </a:ln>
                  </pic:spPr>
                </pic:pic>
              </a:graphicData>
            </a:graphic>
          </wp:inline>
        </w:drawing>
      </w:r>
    </w:p>
    <w:p w14:paraId="3B17A8EA" w14:textId="49CFC976" w:rsidR="00BA206C" w:rsidRPr="00B14C4D" w:rsidRDefault="00BA206C" w:rsidP="0095444A">
      <w:pPr>
        <w:pStyle w:val="Caption"/>
        <w:spacing w:after="0"/>
        <w:jc w:val="center"/>
        <w:rPr>
          <w:rFonts w:asciiTheme="minorHAnsi" w:hAnsiTheme="minorHAnsi" w:cstheme="minorHAnsi"/>
          <w:b/>
          <w:color w:val="000000"/>
          <w:sz w:val="22"/>
        </w:rPr>
      </w:pPr>
      <w:r w:rsidRPr="00B14C4D">
        <w:rPr>
          <w:rFonts w:asciiTheme="minorHAnsi" w:hAnsiTheme="minorHAnsi" w:cstheme="minorHAnsi"/>
          <w:b/>
          <w:color w:val="000000"/>
          <w:sz w:val="22"/>
        </w:rPr>
        <w:t xml:space="preserve">Figure </w:t>
      </w:r>
      <w:r w:rsidRPr="00B14C4D">
        <w:rPr>
          <w:rFonts w:asciiTheme="minorHAnsi" w:hAnsiTheme="minorHAnsi" w:cstheme="minorHAnsi"/>
          <w:b/>
          <w:color w:val="000000"/>
          <w:sz w:val="22"/>
        </w:rPr>
        <w:fldChar w:fldCharType="begin"/>
      </w:r>
      <w:r w:rsidRPr="00B14C4D">
        <w:rPr>
          <w:rFonts w:asciiTheme="minorHAnsi" w:hAnsiTheme="minorHAnsi" w:cstheme="minorHAnsi"/>
          <w:b/>
          <w:color w:val="000000"/>
          <w:sz w:val="22"/>
        </w:rPr>
        <w:instrText xml:space="preserve"> SEQ Figure \* ARABIC </w:instrText>
      </w:r>
      <w:r w:rsidRPr="00B14C4D">
        <w:rPr>
          <w:rFonts w:asciiTheme="minorHAnsi" w:hAnsiTheme="minorHAnsi" w:cstheme="minorHAnsi"/>
          <w:b/>
          <w:color w:val="000000"/>
          <w:sz w:val="22"/>
        </w:rPr>
        <w:fldChar w:fldCharType="separate"/>
      </w:r>
      <w:r w:rsidR="00B14C4D" w:rsidRPr="00B14C4D">
        <w:rPr>
          <w:rFonts w:asciiTheme="minorHAnsi" w:hAnsiTheme="minorHAnsi" w:cstheme="minorHAnsi"/>
          <w:b/>
          <w:noProof/>
          <w:color w:val="000000"/>
          <w:sz w:val="22"/>
        </w:rPr>
        <w:t>4</w:t>
      </w:r>
      <w:r w:rsidRPr="00B14C4D">
        <w:rPr>
          <w:rFonts w:asciiTheme="minorHAnsi" w:hAnsiTheme="minorHAnsi" w:cstheme="minorHAnsi"/>
          <w:b/>
          <w:color w:val="000000"/>
          <w:sz w:val="22"/>
        </w:rPr>
        <w:fldChar w:fldCharType="end"/>
      </w:r>
      <w:r w:rsidRPr="00B14C4D">
        <w:rPr>
          <w:rFonts w:asciiTheme="minorHAnsi" w:hAnsiTheme="minorHAnsi" w:cstheme="minorHAnsi"/>
          <w:b/>
          <w:color w:val="000000"/>
          <w:sz w:val="22"/>
        </w:rPr>
        <w:t xml:space="preserve">: </w:t>
      </w:r>
      <w:r w:rsidR="00385B5E" w:rsidRPr="00B14C4D">
        <w:rPr>
          <w:rFonts w:asciiTheme="minorHAnsi" w:hAnsiTheme="minorHAnsi" w:cstheme="minorHAnsi"/>
          <w:b/>
          <w:color w:val="000000"/>
          <w:sz w:val="22"/>
        </w:rPr>
        <w:t xml:space="preserve">Notional </w:t>
      </w:r>
      <w:r w:rsidR="00344C95" w:rsidRPr="00B14C4D">
        <w:rPr>
          <w:rFonts w:asciiTheme="minorHAnsi" w:hAnsiTheme="minorHAnsi" w:cstheme="minorHAnsi"/>
          <w:b/>
          <w:color w:val="000000"/>
          <w:sz w:val="22"/>
        </w:rPr>
        <w:t>Emergency</w:t>
      </w:r>
      <w:r w:rsidR="00002EF5" w:rsidRPr="00B14C4D">
        <w:rPr>
          <w:rFonts w:asciiTheme="minorHAnsi" w:hAnsiTheme="minorHAnsi" w:cstheme="minorHAnsi"/>
          <w:b/>
          <w:color w:val="000000"/>
          <w:sz w:val="22"/>
        </w:rPr>
        <w:t>-</w:t>
      </w:r>
      <w:r w:rsidR="00344C95" w:rsidRPr="00B14C4D">
        <w:rPr>
          <w:rFonts w:asciiTheme="minorHAnsi" w:hAnsiTheme="minorHAnsi" w:cstheme="minorHAnsi"/>
          <w:b/>
          <w:color w:val="000000"/>
          <w:sz w:val="22"/>
        </w:rPr>
        <w:t>Management</w:t>
      </w:r>
      <w:r w:rsidRPr="00B14C4D">
        <w:rPr>
          <w:rFonts w:asciiTheme="minorHAnsi" w:hAnsiTheme="minorHAnsi" w:cstheme="minorHAnsi"/>
          <w:b/>
          <w:color w:val="000000"/>
          <w:sz w:val="22"/>
        </w:rPr>
        <w:t xml:space="preserve"> Healthcare IT Use-Case</w:t>
      </w:r>
    </w:p>
    <w:p w14:paraId="15B7DB2C" w14:textId="77777777" w:rsidR="00BA206C" w:rsidRPr="00B14C4D" w:rsidRDefault="00BA206C" w:rsidP="0095444A">
      <w:pPr>
        <w:tabs>
          <w:tab w:val="left" w:pos="8255"/>
        </w:tabs>
        <w:spacing w:after="0"/>
        <w:rPr>
          <w:rFonts w:asciiTheme="minorHAnsi" w:hAnsiTheme="minorHAnsi" w:cstheme="minorHAnsi"/>
        </w:rPr>
      </w:pPr>
      <w:r w:rsidRPr="00B14C4D">
        <w:rPr>
          <w:rFonts w:asciiTheme="minorHAnsi" w:hAnsiTheme="minorHAnsi" w:cstheme="minorHAnsi"/>
        </w:rPr>
        <w:tab/>
      </w:r>
    </w:p>
    <w:p w14:paraId="495FE95F" w14:textId="4D39C44D" w:rsidR="00BA206C" w:rsidRPr="00B14C4D" w:rsidRDefault="00650BCD" w:rsidP="0095444A">
      <w:pPr>
        <w:spacing w:after="0" w:line="276" w:lineRule="auto"/>
        <w:jc w:val="center"/>
        <w:rPr>
          <w:rFonts w:asciiTheme="minorHAnsi" w:eastAsia="Times New Roman" w:hAnsiTheme="minorHAnsi" w:cstheme="minorHAnsi"/>
          <w:b/>
          <w:sz w:val="28"/>
        </w:rPr>
      </w:pPr>
      <w:r w:rsidRPr="00B14C4D">
        <w:rPr>
          <w:rFonts w:asciiTheme="minorHAnsi" w:eastAsia="Times New Roman" w:hAnsiTheme="minorHAnsi" w:cstheme="minorHAnsi"/>
          <w:b/>
          <w:noProof/>
          <w:sz w:val="28"/>
        </w:rPr>
        <w:drawing>
          <wp:inline distT="0" distB="0" distL="0" distR="0" wp14:anchorId="3C2CA2FA" wp14:editId="3E53F249">
            <wp:extent cx="4505325" cy="3705225"/>
            <wp:effectExtent l="0" t="0" r="9525" b="9525"/>
            <wp:docPr id="12" name="Picture 7">
              <a:extLst xmlns:a="http://schemas.openxmlformats.org/drawingml/2006/main">
                <a:ext uri="{FF2B5EF4-FFF2-40B4-BE49-F238E27FC236}">
                  <a16:creationId xmlns:a16="http://schemas.microsoft.com/office/drawing/2014/main" id="{1B9817DF-C174-4067-93BF-4BA41387DB2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9817DF-C174-4067-93BF-4BA41387DB28}"/>
                        </a:ext>
                      </a:extLst>
                    </pic:cNvPr>
                    <pic:cNvPicPr/>
                  </pic:nvPicPr>
                  <pic:blipFill>
                    <a:blip r:embed="rId13"/>
                    <a:stretch>
                      <a:fillRect/>
                    </a:stretch>
                  </pic:blipFill>
                  <pic:spPr>
                    <a:xfrm>
                      <a:off x="0" y="0"/>
                      <a:ext cx="4507673" cy="3707156"/>
                    </a:xfrm>
                    <a:prstGeom prst="rect">
                      <a:avLst/>
                    </a:prstGeom>
                  </pic:spPr>
                </pic:pic>
              </a:graphicData>
            </a:graphic>
          </wp:inline>
        </w:drawing>
      </w:r>
    </w:p>
    <w:p w14:paraId="7F88B8CD" w14:textId="1B82B383" w:rsidR="00BA206C" w:rsidRPr="00B14C4D" w:rsidRDefault="00BA206C" w:rsidP="0095444A">
      <w:pPr>
        <w:pStyle w:val="Caption"/>
        <w:spacing w:after="0"/>
        <w:jc w:val="center"/>
        <w:rPr>
          <w:rFonts w:asciiTheme="minorHAnsi" w:hAnsiTheme="minorHAnsi" w:cstheme="minorHAnsi"/>
          <w:i w:val="0"/>
          <w:color w:val="000000"/>
          <w:sz w:val="24"/>
        </w:rPr>
      </w:pPr>
      <w:r w:rsidRPr="00B14C4D">
        <w:rPr>
          <w:rFonts w:asciiTheme="minorHAnsi" w:hAnsiTheme="minorHAnsi" w:cstheme="minorHAnsi"/>
          <w:b/>
          <w:color w:val="000000"/>
          <w:sz w:val="24"/>
        </w:rPr>
        <w:t xml:space="preserve">Figure </w:t>
      </w:r>
      <w:r w:rsidRPr="00B14C4D">
        <w:rPr>
          <w:rFonts w:asciiTheme="minorHAnsi" w:hAnsiTheme="minorHAnsi" w:cstheme="minorHAnsi"/>
          <w:b/>
          <w:color w:val="000000"/>
          <w:sz w:val="24"/>
        </w:rPr>
        <w:fldChar w:fldCharType="begin"/>
      </w:r>
      <w:r w:rsidRPr="00B14C4D">
        <w:rPr>
          <w:rFonts w:asciiTheme="minorHAnsi" w:hAnsiTheme="minorHAnsi" w:cstheme="minorHAnsi"/>
          <w:b/>
          <w:color w:val="000000"/>
          <w:sz w:val="24"/>
        </w:rPr>
        <w:instrText xml:space="preserve"> SEQ Figure \* ARABIC </w:instrText>
      </w:r>
      <w:r w:rsidRPr="00B14C4D">
        <w:rPr>
          <w:rFonts w:asciiTheme="minorHAnsi" w:hAnsiTheme="minorHAnsi" w:cstheme="minorHAnsi"/>
          <w:b/>
          <w:color w:val="000000"/>
          <w:sz w:val="24"/>
        </w:rPr>
        <w:fldChar w:fldCharType="separate"/>
      </w:r>
      <w:r w:rsidR="00B14C4D" w:rsidRPr="00B14C4D">
        <w:rPr>
          <w:rFonts w:asciiTheme="minorHAnsi" w:hAnsiTheme="minorHAnsi" w:cstheme="minorHAnsi"/>
          <w:b/>
          <w:noProof/>
          <w:color w:val="000000"/>
          <w:sz w:val="24"/>
        </w:rPr>
        <w:t>5</w:t>
      </w:r>
      <w:r w:rsidRPr="00B14C4D">
        <w:rPr>
          <w:rFonts w:asciiTheme="minorHAnsi" w:hAnsiTheme="minorHAnsi" w:cstheme="minorHAnsi"/>
          <w:b/>
          <w:color w:val="000000"/>
          <w:sz w:val="24"/>
        </w:rPr>
        <w:fldChar w:fldCharType="end"/>
      </w:r>
      <w:r w:rsidRPr="00B14C4D">
        <w:rPr>
          <w:rFonts w:asciiTheme="minorHAnsi" w:hAnsiTheme="minorHAnsi" w:cstheme="minorHAnsi"/>
          <w:b/>
          <w:color w:val="000000"/>
          <w:sz w:val="24"/>
        </w:rPr>
        <w:t>: Health IT Value Cycle</w:t>
      </w:r>
      <w:r w:rsidR="002C06C2" w:rsidRPr="00B14C4D">
        <w:rPr>
          <w:rFonts w:asciiTheme="minorHAnsi" w:hAnsiTheme="minorHAnsi" w:cstheme="minorHAnsi"/>
          <w:b/>
          <w:color w:val="000000"/>
          <w:sz w:val="24"/>
        </w:rPr>
        <w:t xml:space="preserve">: </w:t>
      </w:r>
      <w:r w:rsidR="002C06C2" w:rsidRPr="00B14C4D">
        <w:rPr>
          <w:rFonts w:asciiTheme="minorHAnsi" w:hAnsiTheme="minorHAnsi" w:cstheme="minorHAnsi"/>
          <w:bCs/>
          <w:i w:val="0"/>
          <w:color w:val="000000"/>
          <w:sz w:val="24"/>
        </w:rPr>
        <w:t>Data Quality is the Lynchpin to Patient Value (safety, quality, cost).</w:t>
      </w:r>
    </w:p>
    <w:p w14:paraId="6C105539" w14:textId="77777777" w:rsidR="00344C95" w:rsidRPr="00B14C4D" w:rsidRDefault="00344C95" w:rsidP="0095444A">
      <w:pPr>
        <w:spacing w:after="0"/>
        <w:rPr>
          <w:rFonts w:asciiTheme="minorHAnsi" w:hAnsiTheme="minorHAnsi" w:cstheme="minorHAnsi"/>
        </w:rPr>
      </w:pPr>
    </w:p>
    <w:p w14:paraId="295D2B74" w14:textId="77777777" w:rsidR="007D18FD" w:rsidRPr="00B14C4D" w:rsidRDefault="007D18FD" w:rsidP="00726BD4">
      <w:pPr>
        <w:spacing w:after="0" w:line="276" w:lineRule="auto"/>
        <w:ind w:left="720" w:hanging="720"/>
        <w:jc w:val="center"/>
        <w:rPr>
          <w:rFonts w:asciiTheme="minorHAnsi" w:eastAsia="Times New Roman" w:hAnsiTheme="minorHAnsi" w:cstheme="minorHAnsi"/>
          <w:u w:val="single"/>
        </w:rPr>
      </w:pPr>
      <w:r w:rsidRPr="00B14C4D">
        <w:rPr>
          <w:rFonts w:asciiTheme="minorHAnsi" w:hAnsiTheme="minorHAnsi" w:cstheme="minorHAnsi"/>
          <w:noProof/>
        </w:rPr>
        <w:drawing>
          <wp:inline distT="0" distB="0" distL="0" distR="0" wp14:anchorId="4A095E87" wp14:editId="647C3CFA">
            <wp:extent cx="6853555" cy="276733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3555" cy="2767330"/>
                    </a:xfrm>
                    <a:prstGeom prst="rect">
                      <a:avLst/>
                    </a:prstGeom>
                    <a:noFill/>
                    <a:ln>
                      <a:noFill/>
                    </a:ln>
                  </pic:spPr>
                </pic:pic>
              </a:graphicData>
            </a:graphic>
          </wp:inline>
        </w:drawing>
      </w:r>
    </w:p>
    <w:p w14:paraId="7658DC53" w14:textId="0AAAE743" w:rsidR="007D18FD" w:rsidRPr="00B14C4D" w:rsidRDefault="007D18FD" w:rsidP="0095444A">
      <w:pPr>
        <w:pStyle w:val="Caption"/>
        <w:spacing w:after="0"/>
        <w:jc w:val="center"/>
        <w:rPr>
          <w:rFonts w:asciiTheme="minorHAnsi" w:eastAsia="Times New Roman" w:hAnsiTheme="minorHAnsi" w:cstheme="minorHAnsi"/>
          <w:b/>
          <w:color w:val="0000CC"/>
          <w:sz w:val="22"/>
          <w:u w:val="single"/>
        </w:rPr>
      </w:pPr>
      <w:r w:rsidRPr="00B14C4D">
        <w:rPr>
          <w:rFonts w:asciiTheme="minorHAnsi" w:hAnsiTheme="minorHAnsi" w:cstheme="minorHAnsi"/>
          <w:b/>
          <w:color w:val="000000"/>
          <w:sz w:val="22"/>
        </w:rPr>
        <w:t xml:space="preserve">Figure </w:t>
      </w:r>
      <w:r w:rsidRPr="00B14C4D">
        <w:rPr>
          <w:rFonts w:asciiTheme="minorHAnsi" w:hAnsiTheme="minorHAnsi" w:cstheme="minorHAnsi"/>
          <w:b/>
          <w:color w:val="000000"/>
          <w:sz w:val="22"/>
        </w:rPr>
        <w:fldChar w:fldCharType="begin"/>
      </w:r>
      <w:r w:rsidRPr="00B14C4D">
        <w:rPr>
          <w:rFonts w:asciiTheme="minorHAnsi" w:hAnsiTheme="minorHAnsi" w:cstheme="minorHAnsi"/>
          <w:b/>
          <w:color w:val="000000"/>
          <w:sz w:val="22"/>
        </w:rPr>
        <w:instrText xml:space="preserve"> SEQ Figure \* ARABIC </w:instrText>
      </w:r>
      <w:r w:rsidRPr="00B14C4D">
        <w:rPr>
          <w:rFonts w:asciiTheme="minorHAnsi" w:hAnsiTheme="minorHAnsi" w:cstheme="minorHAnsi"/>
          <w:b/>
          <w:color w:val="000000"/>
          <w:sz w:val="22"/>
        </w:rPr>
        <w:fldChar w:fldCharType="separate"/>
      </w:r>
      <w:r w:rsidR="00B14C4D" w:rsidRPr="00B14C4D">
        <w:rPr>
          <w:rFonts w:asciiTheme="minorHAnsi" w:hAnsiTheme="minorHAnsi" w:cstheme="minorHAnsi"/>
          <w:b/>
          <w:noProof/>
          <w:color w:val="000000"/>
          <w:sz w:val="22"/>
        </w:rPr>
        <w:t>6</w:t>
      </w:r>
      <w:r w:rsidRPr="00B14C4D">
        <w:rPr>
          <w:rFonts w:asciiTheme="minorHAnsi" w:hAnsiTheme="minorHAnsi" w:cstheme="minorHAnsi"/>
          <w:b/>
          <w:color w:val="000000"/>
          <w:sz w:val="22"/>
        </w:rPr>
        <w:fldChar w:fldCharType="end"/>
      </w:r>
      <w:r w:rsidRPr="00B14C4D">
        <w:rPr>
          <w:rFonts w:asciiTheme="minorHAnsi" w:hAnsiTheme="minorHAnsi" w:cstheme="minorHAnsi"/>
          <w:b/>
          <w:color w:val="000000"/>
          <w:sz w:val="22"/>
        </w:rPr>
        <w:t>: Issue</w:t>
      </w:r>
      <w:r w:rsidR="00265406" w:rsidRPr="00B14C4D">
        <w:rPr>
          <w:rFonts w:asciiTheme="minorHAnsi" w:hAnsiTheme="minorHAnsi" w:cstheme="minorHAnsi"/>
          <w:b/>
          <w:color w:val="000000"/>
          <w:sz w:val="22"/>
        </w:rPr>
        <w:t>: Data Integrity</w:t>
      </w:r>
      <w:r w:rsidR="008D3247" w:rsidRPr="00B14C4D">
        <w:rPr>
          <w:rFonts w:asciiTheme="minorHAnsi" w:hAnsiTheme="minorHAnsi" w:cstheme="minorHAnsi"/>
          <w:b/>
          <w:color w:val="000000"/>
          <w:sz w:val="22"/>
        </w:rPr>
        <w:t xml:space="preserve"> within</w:t>
      </w:r>
      <w:r w:rsidR="000D2C08" w:rsidRPr="00B14C4D">
        <w:rPr>
          <w:rFonts w:asciiTheme="minorHAnsi" w:hAnsiTheme="minorHAnsi" w:cstheme="minorHAnsi"/>
          <w:b/>
          <w:color w:val="000000"/>
          <w:sz w:val="22"/>
        </w:rPr>
        <w:t>-</w:t>
      </w:r>
      <w:r w:rsidR="008D3247" w:rsidRPr="00B14C4D">
        <w:rPr>
          <w:rFonts w:asciiTheme="minorHAnsi" w:hAnsiTheme="minorHAnsi" w:cstheme="minorHAnsi"/>
          <w:b/>
          <w:color w:val="000000"/>
          <w:sz w:val="22"/>
        </w:rPr>
        <w:t>and</w:t>
      </w:r>
      <w:r w:rsidR="000D2C08" w:rsidRPr="00B14C4D">
        <w:rPr>
          <w:rFonts w:asciiTheme="minorHAnsi" w:hAnsiTheme="minorHAnsi" w:cstheme="minorHAnsi"/>
          <w:b/>
          <w:color w:val="000000"/>
          <w:sz w:val="22"/>
        </w:rPr>
        <w:t>-</w:t>
      </w:r>
      <w:r w:rsidR="008D3247" w:rsidRPr="00B14C4D">
        <w:rPr>
          <w:rFonts w:asciiTheme="minorHAnsi" w:hAnsiTheme="minorHAnsi" w:cstheme="minorHAnsi"/>
          <w:b/>
          <w:color w:val="000000"/>
          <w:sz w:val="22"/>
        </w:rPr>
        <w:t xml:space="preserve">across </w:t>
      </w:r>
      <w:r w:rsidR="000D2C08" w:rsidRPr="00B14C4D">
        <w:rPr>
          <w:rFonts w:asciiTheme="minorHAnsi" w:hAnsiTheme="minorHAnsi" w:cstheme="minorHAnsi"/>
          <w:b/>
          <w:color w:val="000000"/>
          <w:sz w:val="22"/>
        </w:rPr>
        <w:t xml:space="preserve">Communities of </w:t>
      </w:r>
      <w:r w:rsidR="00385B5E" w:rsidRPr="00B14C4D">
        <w:rPr>
          <w:rFonts w:asciiTheme="minorHAnsi" w:hAnsiTheme="minorHAnsi" w:cstheme="minorHAnsi"/>
          <w:b/>
          <w:color w:val="000000"/>
          <w:sz w:val="22"/>
        </w:rPr>
        <w:t>I</w:t>
      </w:r>
      <w:r w:rsidR="000D2C08" w:rsidRPr="00B14C4D">
        <w:rPr>
          <w:rFonts w:asciiTheme="minorHAnsi" w:hAnsiTheme="minorHAnsi" w:cstheme="minorHAnsi"/>
          <w:b/>
          <w:color w:val="000000"/>
          <w:sz w:val="22"/>
        </w:rPr>
        <w:t>nterest</w:t>
      </w:r>
      <w:r w:rsidRPr="00B14C4D">
        <w:rPr>
          <w:rFonts w:asciiTheme="minorHAnsi" w:hAnsiTheme="minorHAnsi" w:cstheme="minorHAnsi"/>
          <w:b/>
          <w:color w:val="000000"/>
          <w:sz w:val="22"/>
        </w:rPr>
        <w:t xml:space="preserve"> </w:t>
      </w:r>
    </w:p>
    <w:p w14:paraId="45BF78A3" w14:textId="77777777" w:rsidR="00BA206C" w:rsidRPr="00B14C4D" w:rsidRDefault="00BA206C" w:rsidP="0095444A">
      <w:pPr>
        <w:spacing w:after="0" w:line="276" w:lineRule="auto"/>
        <w:jc w:val="both"/>
        <w:rPr>
          <w:rFonts w:asciiTheme="minorHAnsi" w:eastAsia="Times New Roman" w:hAnsiTheme="minorHAnsi" w:cstheme="minorHAnsi"/>
        </w:rPr>
      </w:pPr>
    </w:p>
    <w:p w14:paraId="5D83D024" w14:textId="55F8DE54" w:rsidR="00BA206C" w:rsidRPr="00B14C4D" w:rsidRDefault="00875D1B" w:rsidP="0095444A">
      <w:pPr>
        <w:spacing w:after="0" w:line="276" w:lineRule="auto"/>
        <w:jc w:val="center"/>
        <w:rPr>
          <w:rFonts w:asciiTheme="minorHAnsi" w:eastAsia="Times New Roman" w:hAnsiTheme="minorHAnsi" w:cstheme="minorHAnsi"/>
        </w:rPr>
      </w:pPr>
      <w:r w:rsidRPr="00B14C4D">
        <w:rPr>
          <w:rFonts w:asciiTheme="minorHAnsi" w:hAnsiTheme="minorHAnsi" w:cstheme="minorHAnsi"/>
          <w:noProof/>
        </w:rPr>
        <w:drawing>
          <wp:inline distT="0" distB="0" distL="0" distR="0" wp14:anchorId="47762A83" wp14:editId="729D7A53">
            <wp:extent cx="6400800" cy="3792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792855"/>
                    </a:xfrm>
                    <a:prstGeom prst="rect">
                      <a:avLst/>
                    </a:prstGeom>
                  </pic:spPr>
                </pic:pic>
              </a:graphicData>
            </a:graphic>
          </wp:inline>
        </w:drawing>
      </w:r>
    </w:p>
    <w:p w14:paraId="24D4E77F" w14:textId="2B07E665" w:rsidR="00BA206C" w:rsidRPr="00B14C4D" w:rsidRDefault="00BA206C" w:rsidP="0095444A">
      <w:pPr>
        <w:pStyle w:val="Caption"/>
        <w:spacing w:after="0"/>
        <w:jc w:val="center"/>
        <w:rPr>
          <w:rFonts w:asciiTheme="minorHAnsi" w:eastAsia="Times New Roman" w:hAnsiTheme="minorHAnsi" w:cstheme="minorHAnsi"/>
          <w:b/>
          <w:color w:val="0000CC"/>
          <w:sz w:val="22"/>
        </w:rPr>
      </w:pPr>
      <w:r w:rsidRPr="00B14C4D">
        <w:rPr>
          <w:rFonts w:asciiTheme="minorHAnsi" w:hAnsiTheme="minorHAnsi" w:cstheme="minorHAnsi"/>
          <w:b/>
          <w:color w:val="000000"/>
          <w:sz w:val="22"/>
        </w:rPr>
        <w:t xml:space="preserve">Figure </w:t>
      </w:r>
      <w:r w:rsidRPr="00B14C4D">
        <w:rPr>
          <w:rFonts w:asciiTheme="minorHAnsi" w:hAnsiTheme="minorHAnsi" w:cstheme="minorHAnsi"/>
          <w:b/>
          <w:color w:val="000000"/>
          <w:sz w:val="22"/>
        </w:rPr>
        <w:fldChar w:fldCharType="begin"/>
      </w:r>
      <w:r w:rsidRPr="00B14C4D">
        <w:rPr>
          <w:rFonts w:asciiTheme="minorHAnsi" w:hAnsiTheme="minorHAnsi" w:cstheme="minorHAnsi"/>
          <w:b/>
          <w:color w:val="000000"/>
          <w:sz w:val="22"/>
        </w:rPr>
        <w:instrText xml:space="preserve"> SEQ Figure \* ARABIC </w:instrText>
      </w:r>
      <w:r w:rsidRPr="00B14C4D">
        <w:rPr>
          <w:rFonts w:asciiTheme="minorHAnsi" w:hAnsiTheme="minorHAnsi" w:cstheme="minorHAnsi"/>
          <w:b/>
          <w:color w:val="000000"/>
          <w:sz w:val="22"/>
        </w:rPr>
        <w:fldChar w:fldCharType="separate"/>
      </w:r>
      <w:r w:rsidR="00B14C4D" w:rsidRPr="00B14C4D">
        <w:rPr>
          <w:rFonts w:asciiTheme="minorHAnsi" w:hAnsiTheme="minorHAnsi" w:cstheme="minorHAnsi"/>
          <w:b/>
          <w:noProof/>
          <w:color w:val="000000"/>
          <w:sz w:val="22"/>
        </w:rPr>
        <w:t>7</w:t>
      </w:r>
      <w:r w:rsidRPr="00B14C4D">
        <w:rPr>
          <w:rFonts w:asciiTheme="minorHAnsi" w:hAnsiTheme="minorHAnsi" w:cstheme="minorHAnsi"/>
          <w:b/>
          <w:color w:val="000000"/>
          <w:sz w:val="22"/>
        </w:rPr>
        <w:fldChar w:fldCharType="end"/>
      </w:r>
      <w:r w:rsidRPr="00B14C4D">
        <w:rPr>
          <w:rFonts w:asciiTheme="minorHAnsi" w:hAnsiTheme="minorHAnsi" w:cstheme="minorHAnsi"/>
          <w:b/>
          <w:color w:val="000000"/>
          <w:sz w:val="22"/>
        </w:rPr>
        <w:t>: 21</w:t>
      </w:r>
      <w:r w:rsidRPr="00B14C4D">
        <w:rPr>
          <w:rFonts w:asciiTheme="minorHAnsi" w:hAnsiTheme="minorHAnsi" w:cstheme="minorHAnsi"/>
          <w:b/>
          <w:color w:val="000000"/>
          <w:sz w:val="22"/>
          <w:vertAlign w:val="superscript"/>
        </w:rPr>
        <w:t>st</w:t>
      </w:r>
      <w:r w:rsidRPr="00B14C4D">
        <w:rPr>
          <w:rFonts w:asciiTheme="minorHAnsi" w:hAnsiTheme="minorHAnsi" w:cstheme="minorHAnsi"/>
          <w:b/>
          <w:color w:val="000000"/>
          <w:sz w:val="22"/>
        </w:rPr>
        <w:t xml:space="preserve"> Century Cures Act Data-Quality Risk-Mitigation Landscape</w:t>
      </w:r>
    </w:p>
    <w:p w14:paraId="16C1B4A0" w14:textId="078FFE41" w:rsidR="00BA206C" w:rsidRPr="00B14C4D" w:rsidRDefault="00BA206C" w:rsidP="0095444A">
      <w:pPr>
        <w:spacing w:after="0" w:line="276" w:lineRule="auto"/>
        <w:jc w:val="both"/>
        <w:rPr>
          <w:rFonts w:asciiTheme="minorHAnsi" w:eastAsia="Times New Roman" w:hAnsiTheme="minorHAnsi" w:cstheme="minorHAnsi"/>
        </w:rPr>
      </w:pPr>
    </w:p>
    <w:p w14:paraId="306D762C" w14:textId="77777777" w:rsidR="00D20644" w:rsidRPr="00B14C4D" w:rsidRDefault="00D20644" w:rsidP="0095444A">
      <w:pPr>
        <w:spacing w:after="0" w:line="276" w:lineRule="auto"/>
        <w:ind w:left="720" w:hanging="720"/>
        <w:jc w:val="both"/>
        <w:rPr>
          <w:rFonts w:asciiTheme="minorHAnsi" w:hAnsiTheme="minorHAnsi" w:cstheme="minorHAnsi"/>
        </w:rPr>
      </w:pPr>
      <w:r w:rsidRPr="00B14C4D">
        <w:rPr>
          <w:rFonts w:asciiTheme="minorHAnsi" w:eastAsia="Times New Roman" w:hAnsiTheme="minorHAnsi" w:cstheme="minorHAnsi"/>
          <w:b/>
        </w:rPr>
        <w:t>Benefit</w:t>
      </w:r>
      <w:r w:rsidRPr="00B14C4D">
        <w:rPr>
          <w:rFonts w:asciiTheme="minorHAnsi" w:hAnsiTheme="minorHAnsi" w:cstheme="minorHAnsi"/>
        </w:rPr>
        <w:t>: Computable interoperability within Health Information Networks (</w:t>
      </w:r>
      <w:r w:rsidRPr="00B14C4D">
        <w:rPr>
          <w:rFonts w:asciiTheme="minorHAnsi" w:hAnsiTheme="minorHAnsi" w:cstheme="minorHAnsi"/>
          <w:b/>
          <w:bCs/>
        </w:rPr>
        <w:t>HIN</w:t>
      </w:r>
      <w:r w:rsidRPr="00B14C4D">
        <w:rPr>
          <w:rFonts w:asciiTheme="minorHAnsi" w:hAnsiTheme="minorHAnsi" w:cstheme="minorHAnsi"/>
        </w:rPr>
        <w:t>) partners and among Qualified QHINs. This can positively influence the Recognized Coordinating Entity (</w:t>
      </w:r>
      <w:r w:rsidRPr="00B14C4D">
        <w:rPr>
          <w:rFonts w:asciiTheme="minorHAnsi" w:hAnsiTheme="minorHAnsi" w:cstheme="minorHAnsi"/>
          <w:b/>
        </w:rPr>
        <w:t>RCE</w:t>
      </w:r>
      <w:r w:rsidRPr="00B14C4D">
        <w:rPr>
          <w:rFonts w:asciiTheme="minorHAnsi" w:hAnsiTheme="minorHAnsi" w:cstheme="minorHAnsi"/>
        </w:rPr>
        <w:t xml:space="preserve">) and QHINs by sharing the </w:t>
      </w:r>
      <w:r w:rsidRPr="00B14C4D">
        <w:rPr>
          <w:rFonts w:asciiTheme="minorHAnsi" w:hAnsiTheme="minorHAnsi" w:cstheme="minorHAnsi"/>
        </w:rPr>
        <w:lastRenderedPageBreak/>
        <w:t xml:space="preserve">ETL pre-post coordinated USCDI mappings and value sets within an HHS: FHA managed US Core Data for Interoperability and US realm SNOMED extension for LOINC and </w:t>
      </w:r>
      <w:proofErr w:type="spellStart"/>
      <w:r w:rsidRPr="00B14C4D">
        <w:rPr>
          <w:rFonts w:asciiTheme="minorHAnsi" w:hAnsiTheme="minorHAnsi" w:cstheme="minorHAnsi"/>
        </w:rPr>
        <w:t>RxNorm</w:t>
      </w:r>
      <w:proofErr w:type="spellEnd"/>
      <w:r w:rsidRPr="00B14C4D">
        <w:rPr>
          <w:rFonts w:asciiTheme="minorHAnsi" w:hAnsiTheme="minorHAnsi" w:cstheme="minorHAnsi"/>
        </w:rPr>
        <w:t xml:space="preserve">. </w:t>
      </w:r>
    </w:p>
    <w:p w14:paraId="725B4F39" w14:textId="77777777" w:rsidR="00D20644" w:rsidRPr="00B14C4D" w:rsidRDefault="00D20644" w:rsidP="00ED1A5D">
      <w:pPr>
        <w:pStyle w:val="ListParagraph"/>
        <w:numPr>
          <w:ilvl w:val="0"/>
          <w:numId w:val="14"/>
        </w:numPr>
        <w:spacing w:after="0" w:line="276" w:lineRule="auto"/>
        <w:jc w:val="both"/>
        <w:rPr>
          <w:rFonts w:asciiTheme="minorHAnsi" w:hAnsiTheme="minorHAnsi" w:cstheme="minorHAnsi"/>
        </w:rPr>
      </w:pPr>
      <w:r w:rsidRPr="00B14C4D">
        <w:rPr>
          <w:rFonts w:asciiTheme="minorHAnsi" w:hAnsiTheme="minorHAnsi" w:cstheme="minorHAnsi"/>
        </w:rPr>
        <w:t xml:space="preserve">ONC TEFCA and NIST CSF provide a landscape; where, health IT encoding-layer's normalization with fully-qualified USCDI-FHIM-CIMI logical design-specification structural-models resulting in clear, complete, concise, correct and consistent operational EDXL, FHIR, C-CDA, NIEM APIs and components. </w:t>
      </w:r>
    </w:p>
    <w:p w14:paraId="33FB245C" w14:textId="77777777" w:rsidR="00D20644" w:rsidRPr="00B14C4D" w:rsidRDefault="00D20644" w:rsidP="00ED1A5D">
      <w:pPr>
        <w:pStyle w:val="ListParagraph"/>
        <w:numPr>
          <w:ilvl w:val="0"/>
          <w:numId w:val="14"/>
        </w:numPr>
        <w:spacing w:after="0" w:line="276" w:lineRule="auto"/>
        <w:jc w:val="both"/>
        <w:rPr>
          <w:rFonts w:asciiTheme="minorHAnsi" w:hAnsiTheme="minorHAnsi" w:cstheme="minorHAnsi"/>
        </w:rPr>
      </w:pPr>
      <w:r w:rsidRPr="00B14C4D">
        <w:rPr>
          <w:rFonts w:asciiTheme="minorHAnsi" w:hAnsiTheme="minorHAnsi" w:cstheme="minorHAnsi"/>
        </w:rPr>
        <w:t xml:space="preserve">SOLOR models-of-meaning empower data-sharing empowering population-analytics and decision-support reasoning, which can positively impact patient safety and quality of care while reducing costs. </w:t>
      </w:r>
    </w:p>
    <w:p w14:paraId="3A19C075" w14:textId="77777777" w:rsidR="00D20644" w:rsidRPr="00B14C4D" w:rsidRDefault="00D20644" w:rsidP="0095444A">
      <w:pPr>
        <w:spacing w:after="0" w:line="276" w:lineRule="auto"/>
        <w:jc w:val="both"/>
        <w:rPr>
          <w:rFonts w:eastAsia="Times New Roman" w:cs="Calibri"/>
        </w:rPr>
      </w:pPr>
    </w:p>
    <w:p w14:paraId="203B2E86" w14:textId="77777777" w:rsidR="00BA206C" w:rsidRPr="00B14C4D" w:rsidRDefault="00BA206C" w:rsidP="0095444A">
      <w:pPr>
        <w:spacing w:after="0" w:line="276" w:lineRule="auto"/>
        <w:ind w:left="720" w:hanging="720"/>
        <w:jc w:val="both"/>
        <w:rPr>
          <w:rFonts w:cs="Calibri"/>
        </w:rPr>
      </w:pPr>
      <w:r w:rsidRPr="00B14C4D">
        <w:rPr>
          <w:rFonts w:ascii="Arial Narrow" w:eastAsia="Times New Roman" w:hAnsi="Arial Narrow" w:cs="Calibri"/>
          <w:b/>
          <w:color w:val="0000CC"/>
          <w:sz w:val="28"/>
        </w:rPr>
        <w:t>Introduction</w:t>
      </w:r>
      <w:r w:rsidRPr="00B14C4D">
        <w:rPr>
          <w:rFonts w:eastAsia="Times New Roman" w:cs="Calibri"/>
        </w:rPr>
        <w:t>: Our goal is to help people live the healthiest lives possible. Our technical objective is continuously-improving learning health systems. The 50-year data-quality lesson learned, and conundrum is, clinicians prefer pre-coordinated data-entry terminology while analysts prefer post-coordinated normalized controlled terminology forms. Inconsistent pre-post coordinated data mapping is an inherent data quality risk. Mapping is complicated by different granularities and ontologies across and within standards. EHR data-entry Electronic Healthcare Record (</w:t>
      </w:r>
      <w:r w:rsidRPr="00B14C4D">
        <w:rPr>
          <w:rFonts w:eastAsia="Times New Roman" w:cs="Calibri"/>
          <w:b/>
        </w:rPr>
        <w:t>EHR</w:t>
      </w:r>
      <w:r w:rsidRPr="00B14C4D">
        <w:rPr>
          <w:rFonts w:eastAsia="Times New Roman" w:cs="Calibri"/>
        </w:rPr>
        <w:t>) and analytic/reasoning Enterprise Data Warehouse (</w:t>
      </w:r>
      <w:r w:rsidRPr="00B14C4D">
        <w:rPr>
          <w:rFonts w:eastAsia="Times New Roman" w:cs="Calibri"/>
          <w:b/>
        </w:rPr>
        <w:t>EDW</w:t>
      </w:r>
      <w:r w:rsidRPr="00B14C4D">
        <w:rPr>
          <w:rFonts w:eastAsia="Times New Roman" w:cs="Calibri"/>
        </w:rPr>
        <w:t>) and HIE exchanges are subject to this data-quality conundrum. T</w:t>
      </w:r>
      <w:r w:rsidRPr="00B14C4D">
        <w:rPr>
          <w:rFonts w:cs="Calibri"/>
        </w:rPr>
        <w:t xml:space="preserve">he data quality conundrum and recommended risk mitigation strategy is universally applicable, regardless of the vendor. </w:t>
      </w:r>
    </w:p>
    <w:p w14:paraId="1974A0B3" w14:textId="77777777" w:rsidR="00BA206C" w:rsidRPr="00B14C4D" w:rsidRDefault="00BA206C" w:rsidP="0095444A">
      <w:pPr>
        <w:spacing w:after="0" w:line="276" w:lineRule="auto"/>
        <w:jc w:val="both"/>
        <w:rPr>
          <w:rFonts w:eastAsia="Times New Roman" w:cs="Calibri"/>
        </w:rPr>
      </w:pPr>
    </w:p>
    <w:p w14:paraId="2A45BA96" w14:textId="77777777" w:rsidR="00BA206C" w:rsidRPr="00B14C4D" w:rsidRDefault="00BA206C" w:rsidP="0095444A">
      <w:pPr>
        <w:spacing w:after="0" w:line="276" w:lineRule="auto"/>
        <w:ind w:left="720" w:hanging="720"/>
        <w:jc w:val="both"/>
        <w:rPr>
          <w:rFonts w:eastAsia="Times New Roman" w:cs="Calibri"/>
        </w:rPr>
      </w:pPr>
      <w:r w:rsidRPr="00B14C4D">
        <w:rPr>
          <w:rFonts w:eastAsia="Times New Roman" w:cs="Calibri"/>
          <w:u w:val="single"/>
        </w:rPr>
        <w:t>The data-quality risk-mitigation strategy includes</w:t>
      </w:r>
      <w:r w:rsidRPr="00B14C4D">
        <w:rPr>
          <w:rFonts w:eastAsia="Times New Roman" w:cs="Calibri"/>
        </w:rPr>
        <w:t xml:space="preserve"> the uptake of modern best practices manifested in US Core Data Interoperability (USCDI) terminology, HL7 clinical statements aka detailed clinical models (DCMs) models and SNOMED CT observation models and expressions for semantic meaning and context to specify pre-post coordination bi-directional ETL mapping, without loss of information. This approach is being standardized at HL7 and operationalized at organizations, such as Healthcare Services Platform Consortium (</w:t>
      </w:r>
      <w:r w:rsidRPr="00B14C4D">
        <w:rPr>
          <w:rFonts w:eastAsia="Times New Roman" w:cs="Calibri"/>
          <w:b/>
        </w:rPr>
        <w:t>HSPC</w:t>
      </w:r>
      <w:r w:rsidRPr="00B14C4D">
        <w:rPr>
          <w:rFonts w:eastAsia="Times New Roman" w:cs="Calibri"/>
        </w:rPr>
        <w:t xml:space="preserve">) and can improve data-sharing computable-interoperability, outcome-measures, population-analytics, and point-of-care semantic-reasoning. </w:t>
      </w:r>
    </w:p>
    <w:p w14:paraId="5013D1E0"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t>TECFCA starts</w:t>
      </w:r>
      <w:r w:rsidRPr="00B14C4D">
        <w:rPr>
          <w:rFonts w:eastAsia="Times New Roman" w:cs="Calibri"/>
        </w:rPr>
        <w:t xml:space="preserve"> with a trusted exchange framework for policies and practices and for a common agreement for the exchange between HINs, with four important outcomes: 1) providers can access health information about their patients, regardless of where the patient received care; 2) patients can access their health information electronically without any special effort; 3) providers and payer organizations can receive necessary and appropriate information on a group of individuals without having to access one record at a time to analyze population health trends, outcomes, and costs; identify at-risk populations; and track progress on quality improvement initiatives; and 4) the health IT community has open and accessible application programming interfaces (APIs) to encourage entrepreneurial, user-focused innovation to make health information more accessible and to improve electronic health record (EHR) usability.</w:t>
      </w:r>
    </w:p>
    <w:p w14:paraId="23675FDC"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t>USCDI requires</w:t>
      </w:r>
      <w:r w:rsidRPr="00B14C4D">
        <w:rPr>
          <w:rFonts w:eastAsia="Times New Roman" w:cs="Calibri"/>
        </w:rPr>
        <w:t xml:space="preserve"> government, industry and academia collectively work towards defining the data that needs to be exchangeable, prioritizing the development of technical standards and implementation guidance to support the exchange of such data, and, ultimately, implementing those capabilities in health IT at the point of care.</w:t>
      </w:r>
    </w:p>
    <w:p w14:paraId="4FD53A76"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t>FHIM builds standard structures using consistent terminology</w:t>
      </w:r>
      <w:r w:rsidRPr="00B14C4D">
        <w:rPr>
          <w:rFonts w:eastAsia="Times New Roman" w:cs="Calibri"/>
        </w:rPr>
        <w:t xml:space="preserve"> using standard code/value set(s), Unit(s) of Measure by aligning with HL7 clinical statement structures, </w:t>
      </w:r>
    </w:p>
    <w:p w14:paraId="42309BE8"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t xml:space="preserve">SOLOR’s </w:t>
      </w:r>
      <w:r w:rsidRPr="00B14C4D">
        <w:rPr>
          <w:rFonts w:eastAsia="Times New Roman" w:cs="Calibri"/>
        </w:rPr>
        <w:t xml:space="preserve">SNOMED CT observation model, expressions and translators support local databases, CDA, FHIR, HL7 V.2, etc. with computable semantic content. </w:t>
      </w:r>
    </w:p>
    <w:p w14:paraId="5DD9E15B"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lastRenderedPageBreak/>
        <w:t>At the operational level</w:t>
      </w:r>
      <w:r w:rsidRPr="00B14C4D">
        <w:rPr>
          <w:rFonts w:eastAsia="Times New Roman" w:cs="Calibri"/>
        </w:rPr>
        <w:t>, this recommendation requires EHR clinician data-entry files and tables be fully-qualified as post-coordinated SNOMED concepts; where fully-qualified means the EHR files and tables maintain associated clinical-context-specific pre-post coordination mappings to support EHR extraction, transformation and load (</w:t>
      </w:r>
      <w:r w:rsidRPr="00B14C4D">
        <w:rPr>
          <w:rFonts w:eastAsia="Times New Roman" w:cs="Calibri"/>
          <w:b/>
        </w:rPr>
        <w:t>ETL</w:t>
      </w:r>
      <w:r w:rsidRPr="00B14C4D">
        <w:rPr>
          <w:rFonts w:eastAsia="Times New Roman" w:cs="Calibri"/>
        </w:rPr>
        <w:t xml:space="preserve">) to EDW., e.g., workflow-provenance (who, what, when, where, why, how), Clinical related event/action, condition, circumstance, diagnosis, indicators of performance, quality, outcome, and potentially include administrative/operational allocation, deployment, resource utilization, costs, productivity, work load might be needed for intended usage. </w:t>
      </w:r>
    </w:p>
    <w:p w14:paraId="0AA7443E" w14:textId="77777777" w:rsidR="00BA206C" w:rsidRPr="00B14C4D" w:rsidRDefault="00BA206C" w:rsidP="00ED1A5D">
      <w:pPr>
        <w:pStyle w:val="ListParagraph"/>
        <w:numPr>
          <w:ilvl w:val="0"/>
          <w:numId w:val="8"/>
        </w:numPr>
        <w:spacing w:after="0" w:line="276" w:lineRule="auto"/>
        <w:jc w:val="both"/>
        <w:rPr>
          <w:rFonts w:eastAsia="Times New Roman" w:cs="Calibri"/>
        </w:rPr>
      </w:pPr>
      <w:r w:rsidRPr="00B14C4D">
        <w:rPr>
          <w:rFonts w:eastAsia="Times New Roman" w:cs="Calibri"/>
          <w:u w:val="single"/>
        </w:rPr>
        <w:t>Enterprise data stewardship curation and governance</w:t>
      </w:r>
      <w:r w:rsidRPr="00B14C4D">
        <w:rPr>
          <w:rFonts w:eastAsia="Times New Roman" w:cs="Calibri"/>
        </w:rPr>
        <w:t xml:space="preserve"> processes, such as MHS GENESIS and </w:t>
      </w:r>
      <w:proofErr w:type="spellStart"/>
      <w:r w:rsidRPr="00B14C4D">
        <w:rPr>
          <w:rFonts w:eastAsia="Times New Roman" w:cs="Calibri"/>
        </w:rPr>
        <w:t>VistA</w:t>
      </w:r>
      <w:proofErr w:type="spellEnd"/>
      <w:r w:rsidRPr="00B14C4D">
        <w:rPr>
          <w:rFonts w:eastAsia="Times New Roman" w:cs="Calibri"/>
        </w:rPr>
        <w:t xml:space="preserve"> Modernization, be expanded to oversee the file-table ETL context-specific ETL mapping table configurations, for all data entry terms, value and code sets and numeric or Boolean entries, e.g., smoking status = yes/no.</w:t>
      </w:r>
    </w:p>
    <w:p w14:paraId="4DF1AC61" w14:textId="77777777" w:rsidR="00BA206C" w:rsidRPr="00B14C4D" w:rsidRDefault="00BA206C" w:rsidP="0095444A">
      <w:pPr>
        <w:spacing w:after="0" w:line="276" w:lineRule="auto"/>
        <w:jc w:val="both"/>
        <w:rPr>
          <w:rFonts w:cs="Calibri"/>
        </w:rPr>
      </w:pPr>
    </w:p>
    <w:p w14:paraId="4B6EE55F" w14:textId="720F5BC2" w:rsidR="00BA206C" w:rsidRPr="00B14C4D" w:rsidRDefault="00BA206C" w:rsidP="0095444A">
      <w:pPr>
        <w:spacing w:after="0" w:line="276" w:lineRule="auto"/>
        <w:ind w:left="720" w:hanging="720"/>
        <w:jc w:val="both"/>
        <w:rPr>
          <w:rFonts w:eastAsia="Times New Roman" w:cs="Calibri"/>
        </w:rPr>
      </w:pPr>
      <w:r w:rsidRPr="00B14C4D">
        <w:rPr>
          <w:rFonts w:eastAsia="Times New Roman" w:cs="Calibri"/>
        </w:rPr>
        <w:t>Model</w:t>
      </w:r>
      <w:r w:rsidR="00383CA7" w:rsidRPr="00B14C4D">
        <w:rPr>
          <w:rFonts w:eastAsia="Times New Roman" w:cs="Calibri"/>
        </w:rPr>
        <w:t>-</w:t>
      </w:r>
      <w:r w:rsidRPr="00B14C4D">
        <w:rPr>
          <w:rFonts w:eastAsia="Times New Roman" w:cs="Calibri"/>
        </w:rPr>
        <w:t>based clinical-structures are being standardized at HL7</w:t>
      </w:r>
      <w:r w:rsidR="001A25B6" w:rsidRPr="00B14C4D">
        <w:rPr>
          <w:rFonts w:eastAsia="Times New Roman" w:cs="Calibri"/>
        </w:rPr>
        <w:t xml:space="preserve"> </w:t>
      </w:r>
      <w:r w:rsidR="0048448D" w:rsidRPr="00B14C4D">
        <w:rPr>
          <w:rFonts w:eastAsia="Times New Roman" w:cs="Calibri"/>
        </w:rPr>
        <w:t>CIMI</w:t>
      </w:r>
      <w:r w:rsidRPr="00B14C4D">
        <w:rPr>
          <w:rFonts w:eastAsia="Times New Roman" w:cs="Calibri"/>
        </w:rPr>
        <w:t>. CIMI design-time models are being operationalized by Healthcare Services Platform Consortium (</w:t>
      </w:r>
      <w:r w:rsidRPr="00B14C4D">
        <w:rPr>
          <w:rFonts w:eastAsia="Times New Roman" w:cs="Calibri"/>
          <w:b/>
        </w:rPr>
        <w:t>HSPC</w:t>
      </w:r>
      <w:r w:rsidRPr="00B14C4D">
        <w:rPr>
          <w:rFonts w:eastAsia="Times New Roman" w:cs="Calibri"/>
        </w:rPr>
        <w:t xml:space="preserve">) SOLOR terminology models-of-meaning </w:t>
      </w:r>
      <w:r w:rsidRPr="00B14C4D">
        <w:rPr>
          <w:rFonts w:cs="Calibri"/>
        </w:rPr>
        <w:t>encoding layer supporting run-time ETL for implementation components supporting data-sharing, population-based analytics and clinical decision-support reasoners</w:t>
      </w:r>
      <w:r w:rsidRPr="00B14C4D">
        <w:rPr>
          <w:rFonts w:eastAsia="Times New Roman" w:cs="Calibri"/>
        </w:rPr>
        <w:t xml:space="preserve">. </w:t>
      </w:r>
    </w:p>
    <w:p w14:paraId="78624912" w14:textId="77777777" w:rsidR="00BA206C" w:rsidRPr="00B14C4D" w:rsidRDefault="00BA206C" w:rsidP="00ED1A5D">
      <w:pPr>
        <w:pStyle w:val="ListParagraph"/>
        <w:numPr>
          <w:ilvl w:val="0"/>
          <w:numId w:val="11"/>
        </w:numPr>
        <w:spacing w:after="0" w:line="276" w:lineRule="auto"/>
        <w:jc w:val="both"/>
        <w:rPr>
          <w:rFonts w:cs="Calibri"/>
        </w:rPr>
      </w:pPr>
      <w:r w:rsidRPr="00B14C4D">
        <w:rPr>
          <w:rFonts w:cs="Calibri"/>
        </w:rPr>
        <w:t>USCDI with HL7 CIMI Detailed Clinical Models (</w:t>
      </w:r>
      <w:r w:rsidRPr="00B14C4D">
        <w:rPr>
          <w:rFonts w:cs="Calibri"/>
          <w:b/>
        </w:rPr>
        <w:t>DCM</w:t>
      </w:r>
      <w:r w:rsidRPr="00B14C4D">
        <w:rPr>
          <w:rFonts w:cs="Calibri"/>
        </w:rPr>
        <w:t>s), FHA FHIM domain models and HSPC SOLOR run-time controlled terminology and value sets can positively impact computable interoperability; where, USCDI, CIMI models and SOLOR terminology live at different levels of the software development "stack". USCDI-FHIM-CIMI support logical specifications. The pre-coordination/post-coordination question applies to CIMI detailed clinical model (</w:t>
      </w:r>
      <w:r w:rsidRPr="00B14C4D">
        <w:rPr>
          <w:rFonts w:cs="Calibri"/>
          <w:b/>
        </w:rPr>
        <w:t>DCM</w:t>
      </w:r>
      <w:r w:rsidRPr="00B14C4D">
        <w:rPr>
          <w:rFonts w:cs="Calibri"/>
        </w:rPr>
        <w:t xml:space="preserve">, also known as a clinical statement) and subsequent FHIR, CDA implementation templates and SOLOR run-time terminology value set servers. </w:t>
      </w:r>
    </w:p>
    <w:p w14:paraId="6D9A3664" w14:textId="77777777" w:rsidR="00BA206C" w:rsidRPr="00B14C4D" w:rsidRDefault="00BA206C" w:rsidP="00722192">
      <w:pPr>
        <w:pStyle w:val="ListParagraph"/>
        <w:numPr>
          <w:ilvl w:val="1"/>
          <w:numId w:val="28"/>
        </w:numPr>
        <w:spacing w:after="0" w:line="276" w:lineRule="auto"/>
        <w:rPr>
          <w:rFonts w:cs="Calibri"/>
        </w:rPr>
      </w:pPr>
      <w:r w:rsidRPr="00B14C4D">
        <w:rPr>
          <w:rFonts w:cs="Calibri"/>
          <w:u w:val="single"/>
        </w:rPr>
        <w:t>CIMI supports</w:t>
      </w:r>
      <w:r w:rsidRPr="00B14C4D">
        <w:rPr>
          <w:rFonts w:cs="Calibri"/>
        </w:rPr>
        <w:t xml:space="preserve"> equivalent design-time clinical statement specifications, which have 1:1 </w:t>
      </w:r>
      <w:proofErr w:type="spellStart"/>
      <w:r w:rsidRPr="00B14C4D">
        <w:rPr>
          <w:rFonts w:cs="Calibri"/>
        </w:rPr>
        <w:t>iso</w:t>
      </w:r>
      <w:proofErr w:type="spellEnd"/>
      <w:r w:rsidRPr="00B14C4D">
        <w:rPr>
          <w:rFonts w:cs="Calibri"/>
        </w:rPr>
        <w:t>-semantic* pre/post coordinated forms to reduce variability across OASIS EDXL, HL7 FHIR, CDA and V2 product families and implementations.</w:t>
      </w:r>
    </w:p>
    <w:p w14:paraId="50258819" w14:textId="77777777" w:rsidR="00BA206C" w:rsidRPr="00B14C4D" w:rsidRDefault="00BA206C" w:rsidP="00722192">
      <w:pPr>
        <w:pStyle w:val="ListParagraph"/>
        <w:numPr>
          <w:ilvl w:val="1"/>
          <w:numId w:val="28"/>
        </w:numPr>
        <w:spacing w:after="0" w:line="276" w:lineRule="auto"/>
        <w:rPr>
          <w:rFonts w:cs="Calibri"/>
        </w:rPr>
      </w:pPr>
      <w:r w:rsidRPr="00B14C4D">
        <w:rPr>
          <w:rFonts w:cs="Calibri"/>
        </w:rPr>
        <w:t xml:space="preserve">Imagine that one CIMI DCM for blood pressure is highly pre-coordinated, and another is highly post-coordination. Transforming between these </w:t>
      </w:r>
      <w:proofErr w:type="spellStart"/>
      <w:r w:rsidRPr="00B14C4D">
        <w:rPr>
          <w:rFonts w:cs="Calibri"/>
        </w:rPr>
        <w:t>iso</w:t>
      </w:r>
      <w:proofErr w:type="spellEnd"/>
      <w:r w:rsidRPr="00B14C4D">
        <w:rPr>
          <w:rFonts w:cs="Calibri"/>
        </w:rPr>
        <w:t>-semantic models is necessary and achievable requirement, within reasonable constraints. </w:t>
      </w:r>
    </w:p>
    <w:p w14:paraId="4AE304F8" w14:textId="77777777" w:rsidR="00BA206C" w:rsidRPr="00B14C4D" w:rsidRDefault="00BA206C" w:rsidP="00722192">
      <w:pPr>
        <w:pStyle w:val="ListParagraph"/>
        <w:numPr>
          <w:ilvl w:val="1"/>
          <w:numId w:val="28"/>
        </w:numPr>
        <w:spacing w:after="0" w:line="276" w:lineRule="auto"/>
        <w:rPr>
          <w:rFonts w:cs="Calibri"/>
        </w:rPr>
      </w:pPr>
      <w:r w:rsidRPr="00B14C4D">
        <w:rPr>
          <w:rFonts w:cs="Calibri"/>
        </w:rPr>
        <w:t>Accurate implementations require:</w:t>
      </w:r>
    </w:p>
    <w:p w14:paraId="0242686D" w14:textId="77777777" w:rsidR="00BA206C" w:rsidRPr="00B14C4D" w:rsidRDefault="00BA206C" w:rsidP="005662FC">
      <w:pPr>
        <w:pStyle w:val="ListParagraph"/>
        <w:numPr>
          <w:ilvl w:val="2"/>
          <w:numId w:val="29"/>
        </w:numPr>
        <w:spacing w:after="0" w:line="276" w:lineRule="auto"/>
        <w:rPr>
          <w:rFonts w:cs="Calibri"/>
        </w:rPr>
      </w:pPr>
      <w:r w:rsidRPr="00B14C4D">
        <w:rPr>
          <w:rFonts w:cs="Calibri"/>
        </w:rPr>
        <w:t xml:space="preserve">Normalized 1:1 pre/post coordinated mapping to ensure accurate analytics, reasoning and patient safety. </w:t>
      </w:r>
    </w:p>
    <w:p w14:paraId="48ACD844" w14:textId="77777777" w:rsidR="00BA206C" w:rsidRPr="00B14C4D" w:rsidRDefault="00BA206C" w:rsidP="005662FC">
      <w:pPr>
        <w:pStyle w:val="ListParagraph"/>
        <w:numPr>
          <w:ilvl w:val="2"/>
          <w:numId w:val="29"/>
        </w:numPr>
        <w:spacing w:after="0" w:line="276" w:lineRule="auto"/>
        <w:rPr>
          <w:rFonts w:cs="Calibri"/>
        </w:rPr>
      </w:pPr>
      <w:r w:rsidRPr="00B14C4D">
        <w:rPr>
          <w:rFonts w:cs="Calibri"/>
        </w:rPr>
        <w:t>Consistent use of terminology within the CIMI models enables essential 1:1 pre/post coordinated mappings. </w:t>
      </w:r>
    </w:p>
    <w:p w14:paraId="29F18B2A" w14:textId="459DD0F4" w:rsidR="00BA206C" w:rsidRPr="00B14C4D" w:rsidRDefault="00BA206C" w:rsidP="00ED1A5D">
      <w:pPr>
        <w:pStyle w:val="ListParagraph"/>
        <w:numPr>
          <w:ilvl w:val="0"/>
          <w:numId w:val="11"/>
        </w:numPr>
        <w:spacing w:after="0" w:line="276" w:lineRule="auto"/>
        <w:rPr>
          <w:rFonts w:cs="Calibri"/>
        </w:rPr>
      </w:pPr>
      <w:r w:rsidRPr="00B14C4D">
        <w:rPr>
          <w:rFonts w:cs="Calibri"/>
          <w:u w:val="single"/>
        </w:rPr>
        <w:t>HSPC/VA SOLOR encoding layer supports</w:t>
      </w:r>
      <w:r w:rsidRPr="00B14C4D">
        <w:rPr>
          <w:rFonts w:cs="Calibri"/>
        </w:rPr>
        <w:t xml:space="preserve"> run-time implementations. To best implement SOLOR (call this the encoding layer) in EHR modernizations, the pre-coordination/post-coordination question really does not apply. We simply want to make sure that any content in a "bespoke* EHR system" is exported, and added to a SOLOR extension as an equivalent concept (not broader or narrower), with an appropriate post-coordinated logical definition. So, all the pre-coordinated primitives, and all the post-coordinated parts that are not already equivalently represented in standards, need to be added to the extensions to those standards. This ensures 1:1 pre/post coordination mappings. Now, we can consistently share clinical concepts amongst ourselves, our care partners, and with the organizations responsible for the standards; where, these clear, complete, concise, correct and consistent clinical statements are suitable for safe analytics and reasoning. </w:t>
      </w:r>
    </w:p>
    <w:p w14:paraId="3274884D" w14:textId="77777777" w:rsidR="00BA206C" w:rsidRPr="00B14C4D" w:rsidRDefault="00BA206C" w:rsidP="0095444A">
      <w:pPr>
        <w:spacing w:after="0" w:line="276" w:lineRule="auto"/>
        <w:rPr>
          <w:rFonts w:cs="Calibri"/>
          <w:b/>
        </w:rPr>
      </w:pPr>
    </w:p>
    <w:p w14:paraId="3B9DB4BC" w14:textId="77777777" w:rsidR="00BA206C" w:rsidRPr="00B14C4D" w:rsidRDefault="00BA206C" w:rsidP="0095444A">
      <w:pPr>
        <w:keepNext/>
        <w:spacing w:after="0" w:line="276" w:lineRule="auto"/>
        <w:rPr>
          <w:rFonts w:cs="Calibri"/>
          <w:b/>
        </w:rPr>
      </w:pPr>
      <w:r w:rsidRPr="00B14C4D">
        <w:rPr>
          <w:rFonts w:cs="Calibri"/>
          <w:b/>
        </w:rPr>
        <w:t>Notes</w:t>
      </w:r>
    </w:p>
    <w:p w14:paraId="2C2B6411" w14:textId="77777777" w:rsidR="00BA206C" w:rsidRPr="00B14C4D" w:rsidRDefault="00BA206C" w:rsidP="00ED1A5D">
      <w:pPr>
        <w:pStyle w:val="ListParagraph"/>
        <w:numPr>
          <w:ilvl w:val="0"/>
          <w:numId w:val="7"/>
        </w:numPr>
        <w:spacing w:after="0" w:line="276" w:lineRule="auto"/>
        <w:rPr>
          <w:rFonts w:cs="Calibri"/>
        </w:rPr>
      </w:pPr>
      <w:r w:rsidRPr="00B14C4D">
        <w:rPr>
          <w:rFonts w:cs="Calibri"/>
        </w:rPr>
        <w:t>“</w:t>
      </w:r>
      <w:r w:rsidRPr="00B14C4D">
        <w:rPr>
          <w:rFonts w:cs="Calibri"/>
          <w:i/>
          <w:u w:val="single"/>
        </w:rPr>
        <w:t>Bespoke</w:t>
      </w:r>
      <w:r w:rsidRPr="00B14C4D">
        <w:rPr>
          <w:rFonts w:cs="Calibri"/>
        </w:rPr>
        <w:t xml:space="preserve">” is an adjective for anything commissioned to a </w:t>
      </w:r>
      <w:proofErr w:type="gramStart"/>
      <w:r w:rsidRPr="00B14C4D">
        <w:rPr>
          <w:rFonts w:cs="Calibri"/>
        </w:rPr>
        <w:t>particular need</w:t>
      </w:r>
      <w:proofErr w:type="gramEnd"/>
      <w:r w:rsidRPr="00B14C4D">
        <w:rPr>
          <w:rFonts w:cs="Calibri"/>
        </w:rPr>
        <w:t xml:space="preserve">. Bespoke EHR terminology meets their clinician customer needs; where, an EHR data model/dictionary is optimized for clinician entry and associated billing. </w:t>
      </w:r>
    </w:p>
    <w:p w14:paraId="17AABCDD" w14:textId="095860B8" w:rsidR="00BA206C" w:rsidRPr="00B14C4D" w:rsidRDefault="00BA206C" w:rsidP="00ED1A5D">
      <w:pPr>
        <w:pStyle w:val="ListParagraph"/>
        <w:numPr>
          <w:ilvl w:val="0"/>
          <w:numId w:val="7"/>
        </w:numPr>
        <w:spacing w:after="0" w:line="276" w:lineRule="auto"/>
        <w:rPr>
          <w:rFonts w:cs="Calibri"/>
        </w:rPr>
      </w:pPr>
      <w:r w:rsidRPr="00B14C4D">
        <w:rPr>
          <w:rFonts w:cs="Calibri"/>
          <w:i/>
        </w:rPr>
        <w:t>“</w:t>
      </w:r>
      <w:proofErr w:type="spellStart"/>
      <w:r w:rsidRPr="00B14C4D">
        <w:rPr>
          <w:rFonts w:cs="Calibri"/>
          <w:i/>
          <w:u w:val="single"/>
        </w:rPr>
        <w:t>Iso</w:t>
      </w:r>
      <w:proofErr w:type="spellEnd"/>
      <w:r w:rsidRPr="00B14C4D">
        <w:rPr>
          <w:rFonts w:cs="Calibri"/>
          <w:i/>
          <w:u w:val="single"/>
        </w:rPr>
        <w:t>-semantic models</w:t>
      </w:r>
      <w:r w:rsidRPr="00B14C4D">
        <w:rPr>
          <w:rFonts w:cs="Calibri"/>
        </w:rPr>
        <w:t xml:space="preserve">” imply that pre/post coordinated representations have bi-directional, without loss of information, pre-defined representation. In our case, defined as a SOLOR extension and has round-trip-able pre/post coordinated forms. </w:t>
      </w:r>
    </w:p>
    <w:p w14:paraId="1E832CD7" w14:textId="09B59073" w:rsidR="00F51606" w:rsidRPr="00B14C4D" w:rsidRDefault="00F51606" w:rsidP="00ED1A5D">
      <w:pPr>
        <w:numPr>
          <w:ilvl w:val="0"/>
          <w:numId w:val="7"/>
        </w:numPr>
        <w:spacing w:after="0" w:line="276" w:lineRule="auto"/>
        <w:rPr>
          <w:rFonts w:ascii="Arial Narrow" w:eastAsia="Times New Roman" w:hAnsi="Arial Narrow" w:cs="Calibri"/>
          <w:color w:val="000000"/>
        </w:rPr>
      </w:pPr>
      <w:r w:rsidRPr="00B14C4D">
        <w:rPr>
          <w:rFonts w:ascii="Arial Narrow" w:eastAsia="Times New Roman" w:hAnsi="Arial Narrow" w:cs="Calibri"/>
          <w:color w:val="000000"/>
        </w:rPr>
        <w:t xml:space="preserve">The storyboard and paper are intended to be re-titled, re-templated, re-authored and re-purposed for specific target audiences. Each policy-standard-technology-tool perspective potentially requires use-case and scenario refinements and re-scoping to specific needs and audience discussions, presentations and white papers. </w:t>
      </w:r>
    </w:p>
    <w:p w14:paraId="0C1C3837" w14:textId="77777777" w:rsidR="00BA206C" w:rsidRPr="00B14C4D" w:rsidRDefault="00BA206C" w:rsidP="0095444A">
      <w:pPr>
        <w:spacing w:after="0" w:line="276" w:lineRule="auto"/>
        <w:ind w:left="720"/>
        <w:jc w:val="both"/>
        <w:rPr>
          <w:rFonts w:cs="Calibri"/>
        </w:rPr>
      </w:pPr>
    </w:p>
    <w:p w14:paraId="31A545DC" w14:textId="7CF91FBB" w:rsidR="00BA206C" w:rsidRPr="00B14C4D" w:rsidRDefault="00BA206C" w:rsidP="0095444A">
      <w:pPr>
        <w:spacing w:after="0" w:line="276" w:lineRule="auto"/>
        <w:ind w:left="821" w:hanging="720"/>
        <w:jc w:val="both"/>
        <w:rPr>
          <w:rFonts w:asciiTheme="minorHAnsi" w:eastAsia="Times New Roman" w:hAnsiTheme="minorHAnsi" w:cstheme="minorHAnsi"/>
        </w:rPr>
      </w:pPr>
      <w:r w:rsidRPr="00B14C4D">
        <w:rPr>
          <w:rFonts w:asciiTheme="minorHAnsi" w:eastAsia="Times New Roman" w:hAnsiTheme="minorHAnsi" w:cstheme="minorHAnsi"/>
          <w:b/>
          <w:color w:val="0000CC"/>
          <w:sz w:val="28"/>
        </w:rPr>
        <w:t>Background</w:t>
      </w:r>
      <w:r w:rsidRPr="00B14C4D">
        <w:rPr>
          <w:rFonts w:asciiTheme="minorHAnsi" w:eastAsia="Times New Roman" w:hAnsiTheme="minorHAnsi" w:cstheme="minorHAnsi"/>
        </w:rPr>
        <w:t xml:space="preserve">: A repeated </w:t>
      </w:r>
      <w:r w:rsidRPr="00B14C4D">
        <w:rPr>
          <w:rFonts w:asciiTheme="minorHAnsi" w:eastAsia="Times New Roman" w:hAnsiTheme="minorHAnsi" w:cstheme="minorHAnsi"/>
          <w:u w:val="single"/>
        </w:rPr>
        <w:t>lesson learned</w:t>
      </w:r>
      <w:r w:rsidRPr="00B14C4D">
        <w:rPr>
          <w:rFonts w:asciiTheme="minorHAnsi" w:eastAsia="Times New Roman" w:hAnsiTheme="minorHAnsi" w:cstheme="minorHAnsi"/>
        </w:rPr>
        <w:t xml:space="preserve"> is, clinicians prefer pre-coordinated terms; while, analysts prefer post-coordinated terms. Pre/post-coordinated term mapping is complicated by differences of controlled Vocabulary (</w:t>
      </w:r>
      <w:r w:rsidRPr="00B14C4D">
        <w:rPr>
          <w:rFonts w:asciiTheme="minorHAnsi" w:eastAsia="Times New Roman" w:hAnsiTheme="minorHAnsi" w:cstheme="minorHAnsi"/>
          <w:b/>
        </w:rPr>
        <w:t>CV</w:t>
      </w:r>
      <w:r w:rsidRPr="00B14C4D">
        <w:rPr>
          <w:rFonts w:asciiTheme="minorHAnsi" w:eastAsia="Times New Roman" w:hAnsiTheme="minorHAnsi" w:cstheme="minorHAnsi"/>
        </w:rPr>
        <w:t xml:space="preserve">) term or code granularities across overlapping standards, e.g., SNOMED, LOINC, </w:t>
      </w:r>
      <w:proofErr w:type="spellStart"/>
      <w:r w:rsidRPr="00B14C4D">
        <w:rPr>
          <w:rFonts w:asciiTheme="minorHAnsi" w:eastAsia="Times New Roman" w:hAnsiTheme="minorHAnsi" w:cstheme="minorHAnsi"/>
        </w:rPr>
        <w:t>RxNorm</w:t>
      </w:r>
      <w:proofErr w:type="spellEnd"/>
      <w:r w:rsidRPr="00B14C4D">
        <w:rPr>
          <w:rFonts w:asciiTheme="minorHAnsi" w:eastAsia="Times New Roman" w:hAnsiTheme="minorHAnsi" w:cstheme="minorHAnsi"/>
        </w:rPr>
        <w:t xml:space="preserve">, ICD, CPT, etc. This mapping conundrum results in a potential patient safety, quality of care and cost data-quality risk. Once understood, this is a statement of the obvious; where, EHR modernization initiatives should avoid repeating the mistakes of the past. </w:t>
      </w:r>
    </w:p>
    <w:p w14:paraId="2C75E563" w14:textId="77777777" w:rsidR="00BA206C" w:rsidRPr="00B14C4D" w:rsidRDefault="00BA206C" w:rsidP="0095444A">
      <w:pPr>
        <w:spacing w:after="0" w:line="276" w:lineRule="auto"/>
        <w:ind w:left="720"/>
        <w:rPr>
          <w:rFonts w:asciiTheme="minorHAnsi" w:eastAsia="Times New Roman" w:hAnsiTheme="minorHAnsi" w:cstheme="minorHAnsi"/>
        </w:rPr>
      </w:pPr>
    </w:p>
    <w:p w14:paraId="41EDBFFC" w14:textId="77777777" w:rsidR="00BA206C" w:rsidRPr="00B14C4D" w:rsidRDefault="00BA206C" w:rsidP="0095444A">
      <w:pPr>
        <w:spacing w:after="0" w:line="276" w:lineRule="auto"/>
        <w:ind w:left="98"/>
        <w:rPr>
          <w:rFonts w:asciiTheme="minorHAnsi" w:eastAsia="Times New Roman" w:hAnsiTheme="minorHAnsi" w:cstheme="minorHAnsi"/>
        </w:rPr>
      </w:pPr>
      <w:r w:rsidRPr="00B14C4D">
        <w:rPr>
          <w:rFonts w:asciiTheme="minorHAnsi" w:eastAsia="Times New Roman" w:hAnsiTheme="minorHAnsi" w:cstheme="minorHAnsi"/>
          <w:u w:val="single"/>
        </w:rPr>
        <w:t>Current situation is</w:t>
      </w:r>
      <w:r w:rsidRPr="00B14C4D">
        <w:rPr>
          <w:rFonts w:asciiTheme="minorHAnsi" w:eastAsia="Times New Roman" w:hAnsiTheme="minorHAnsi" w:cstheme="minorHAnsi"/>
        </w:rPr>
        <w:t xml:space="preserve">, </w:t>
      </w:r>
    </w:p>
    <w:p w14:paraId="58EB0927" w14:textId="77777777" w:rsidR="00BA206C" w:rsidRPr="00B14C4D" w:rsidRDefault="00BA206C" w:rsidP="0095444A">
      <w:pPr>
        <w:numPr>
          <w:ilvl w:val="0"/>
          <w:numId w:val="1"/>
        </w:numPr>
        <w:tabs>
          <w:tab w:val="clear" w:pos="720"/>
          <w:tab w:val="num" w:pos="818"/>
        </w:tabs>
        <w:spacing w:after="0" w:line="276" w:lineRule="auto"/>
        <w:ind w:left="638"/>
        <w:textAlignment w:val="center"/>
        <w:rPr>
          <w:rFonts w:asciiTheme="minorHAnsi" w:eastAsia="Times New Roman" w:hAnsiTheme="minorHAnsi" w:cstheme="minorHAnsi"/>
        </w:rPr>
      </w:pPr>
      <w:r w:rsidRPr="00B14C4D">
        <w:rPr>
          <w:rFonts w:asciiTheme="minorHAnsi" w:eastAsia="Times New Roman" w:hAnsiTheme="minorHAnsi" w:cstheme="minorHAnsi"/>
        </w:rPr>
        <w:t xml:space="preserve">An EHR data model is appropriately optimized for pre-coordinated clinicians’ data entry and billing codes; while, </w:t>
      </w:r>
    </w:p>
    <w:p w14:paraId="4BCAF881" w14:textId="77777777" w:rsidR="00BA206C" w:rsidRPr="00B14C4D" w:rsidRDefault="00BA206C" w:rsidP="0095444A">
      <w:pPr>
        <w:numPr>
          <w:ilvl w:val="0"/>
          <w:numId w:val="1"/>
        </w:numPr>
        <w:tabs>
          <w:tab w:val="clear" w:pos="720"/>
          <w:tab w:val="num" w:pos="818"/>
        </w:tabs>
        <w:spacing w:after="0" w:line="276" w:lineRule="auto"/>
        <w:ind w:left="638"/>
        <w:textAlignment w:val="center"/>
        <w:rPr>
          <w:rFonts w:asciiTheme="minorHAnsi" w:eastAsia="Times New Roman" w:hAnsiTheme="minorHAnsi" w:cstheme="minorHAnsi"/>
        </w:rPr>
      </w:pPr>
      <w:r w:rsidRPr="00B14C4D">
        <w:rPr>
          <w:rFonts w:asciiTheme="minorHAnsi" w:eastAsia="Times New Roman" w:hAnsiTheme="minorHAnsi" w:cstheme="minorHAnsi"/>
        </w:rPr>
        <w:t xml:space="preserve">An EDW is appropriately optimized for population-based analytics, e.g., knowledge based reasoning and clinical decision support systems. </w:t>
      </w:r>
    </w:p>
    <w:p w14:paraId="44AC56D0" w14:textId="77777777" w:rsidR="00BA206C" w:rsidRPr="00B14C4D" w:rsidRDefault="00BA206C" w:rsidP="0095444A">
      <w:pPr>
        <w:numPr>
          <w:ilvl w:val="0"/>
          <w:numId w:val="1"/>
        </w:numPr>
        <w:tabs>
          <w:tab w:val="clear" w:pos="720"/>
          <w:tab w:val="num" w:pos="818"/>
        </w:tabs>
        <w:spacing w:after="0" w:line="276" w:lineRule="auto"/>
        <w:ind w:left="638"/>
        <w:textAlignment w:val="center"/>
        <w:rPr>
          <w:rFonts w:asciiTheme="minorHAnsi" w:eastAsia="Times New Roman" w:hAnsiTheme="minorHAnsi" w:cstheme="minorHAnsi"/>
        </w:rPr>
      </w:pPr>
      <w:r w:rsidRPr="00B14C4D">
        <w:rPr>
          <w:rFonts w:asciiTheme="minorHAnsi" w:eastAsia="Times New Roman" w:hAnsiTheme="minorHAnsi" w:cstheme="minorHAnsi"/>
        </w:rPr>
        <w:t xml:space="preserve">Viewers and notifications are appropriately optimized to efficiently assist clinicians with pertinent point-of-care knowledge, advice and patient-safety alerts. </w:t>
      </w:r>
    </w:p>
    <w:p w14:paraId="228B3D42" w14:textId="77777777" w:rsidR="00BA206C" w:rsidRPr="00B14C4D" w:rsidRDefault="00BA206C" w:rsidP="0095444A">
      <w:pPr>
        <w:numPr>
          <w:ilvl w:val="0"/>
          <w:numId w:val="1"/>
        </w:numPr>
        <w:tabs>
          <w:tab w:val="clear" w:pos="720"/>
          <w:tab w:val="num" w:pos="818"/>
        </w:tabs>
        <w:spacing w:after="0" w:line="276" w:lineRule="auto"/>
        <w:ind w:left="638"/>
        <w:textAlignment w:val="center"/>
        <w:rPr>
          <w:rFonts w:asciiTheme="minorHAnsi" w:eastAsia="Times New Roman" w:hAnsiTheme="minorHAnsi" w:cstheme="minorHAnsi"/>
        </w:rPr>
      </w:pPr>
      <w:r w:rsidRPr="00B14C4D">
        <w:rPr>
          <w:rFonts w:asciiTheme="minorHAnsi" w:eastAsia="Times New Roman" w:hAnsiTheme="minorHAnsi" w:cstheme="minorHAnsi"/>
        </w:rPr>
        <w:t xml:space="preserve">The mapping conundrum is: </w:t>
      </w:r>
    </w:p>
    <w:p w14:paraId="52B9E2B2" w14:textId="77777777" w:rsidR="00BA206C" w:rsidRPr="00B14C4D" w:rsidRDefault="00BA206C" w:rsidP="0091367D">
      <w:pPr>
        <w:pStyle w:val="Default"/>
        <w:numPr>
          <w:ilvl w:val="1"/>
          <w:numId w:val="2"/>
        </w:numPr>
        <w:tabs>
          <w:tab w:val="clear" w:pos="1440"/>
        </w:tabs>
        <w:spacing w:line="276" w:lineRule="auto"/>
        <w:ind w:left="900" w:hanging="270"/>
        <w:rPr>
          <w:rFonts w:asciiTheme="minorHAnsi" w:hAnsiTheme="minorHAnsi" w:cstheme="minorHAnsi"/>
          <w:sz w:val="22"/>
          <w:szCs w:val="22"/>
        </w:rPr>
      </w:pPr>
      <w:r w:rsidRPr="00B14C4D">
        <w:rPr>
          <w:rFonts w:asciiTheme="minorHAnsi" w:hAnsiTheme="minorHAnsi" w:cstheme="minorHAnsi"/>
          <w:sz w:val="22"/>
          <w:szCs w:val="22"/>
        </w:rPr>
        <w:t xml:space="preserve">An EHR system must have consistent extraction-transfer-and-load (ETL) between the pre-coordinated clinical entry form and enterprise data warehouse post-coordinated normalized analytical form. </w:t>
      </w:r>
    </w:p>
    <w:p w14:paraId="403A98B6" w14:textId="77777777" w:rsidR="00BA206C" w:rsidRPr="00B14C4D" w:rsidRDefault="00BA206C" w:rsidP="0091367D">
      <w:pPr>
        <w:pStyle w:val="Default"/>
        <w:numPr>
          <w:ilvl w:val="1"/>
          <w:numId w:val="2"/>
        </w:numPr>
        <w:tabs>
          <w:tab w:val="clear" w:pos="1440"/>
        </w:tabs>
        <w:spacing w:line="276" w:lineRule="auto"/>
        <w:ind w:left="900" w:hanging="270"/>
        <w:rPr>
          <w:rFonts w:asciiTheme="minorHAnsi" w:hAnsiTheme="minorHAnsi" w:cstheme="minorHAnsi"/>
          <w:sz w:val="22"/>
          <w:szCs w:val="22"/>
        </w:rPr>
      </w:pPr>
      <w:r w:rsidRPr="00B14C4D">
        <w:rPr>
          <w:rFonts w:asciiTheme="minorHAnsi" w:hAnsiTheme="minorHAnsi" w:cstheme="minorHAnsi"/>
          <w:sz w:val="22"/>
          <w:szCs w:val="22"/>
        </w:rPr>
        <w:t xml:space="preserve">Moreover, the mapping must be 1:1 “round trip-able, without loss of information” between pre/post coordinated forms to support data-entry, information-analytics, knowledge-based reasoning, clinical decision support and viewing. We use standard terminologies; where, this problem is complicated by inconsistent ontologies-and-granularity across terminologies, e.g., SNOMED, LOINC, </w:t>
      </w:r>
      <w:proofErr w:type="spellStart"/>
      <w:r w:rsidRPr="00B14C4D">
        <w:rPr>
          <w:rFonts w:asciiTheme="minorHAnsi" w:hAnsiTheme="minorHAnsi" w:cstheme="minorHAnsi"/>
          <w:sz w:val="22"/>
          <w:szCs w:val="22"/>
        </w:rPr>
        <w:t>RxNorm</w:t>
      </w:r>
      <w:proofErr w:type="spellEnd"/>
      <w:r w:rsidRPr="00B14C4D">
        <w:rPr>
          <w:rFonts w:asciiTheme="minorHAnsi" w:hAnsiTheme="minorHAnsi" w:cstheme="minorHAnsi"/>
          <w:sz w:val="22"/>
          <w:szCs w:val="22"/>
        </w:rPr>
        <w:t xml:space="preserve">, ICD-10, CPT </w:t>
      </w:r>
    </w:p>
    <w:p w14:paraId="230153FD" w14:textId="77777777" w:rsidR="00BA206C" w:rsidRPr="00B14C4D" w:rsidRDefault="00BA206C" w:rsidP="0095444A">
      <w:pPr>
        <w:spacing w:after="0" w:line="276" w:lineRule="auto"/>
        <w:ind w:left="994" w:hanging="720"/>
        <w:jc w:val="both"/>
        <w:textAlignment w:val="center"/>
        <w:rPr>
          <w:rFonts w:asciiTheme="minorHAnsi" w:eastAsia="Times New Roman" w:hAnsiTheme="minorHAnsi" w:cstheme="minorHAnsi"/>
          <w:u w:val="single"/>
        </w:rPr>
      </w:pPr>
    </w:p>
    <w:p w14:paraId="04FFCA89" w14:textId="77777777" w:rsidR="00BA206C" w:rsidRPr="00B14C4D" w:rsidRDefault="00BA206C" w:rsidP="0095444A">
      <w:pPr>
        <w:spacing w:after="0" w:line="276" w:lineRule="auto"/>
        <w:ind w:left="994" w:hanging="720"/>
        <w:jc w:val="both"/>
        <w:textAlignment w:val="center"/>
        <w:rPr>
          <w:rFonts w:asciiTheme="minorHAnsi" w:eastAsia="Times New Roman" w:hAnsiTheme="minorHAnsi" w:cstheme="minorHAnsi"/>
        </w:rPr>
      </w:pPr>
      <w:r w:rsidRPr="00B14C4D">
        <w:rPr>
          <w:rFonts w:asciiTheme="minorHAnsi" w:eastAsia="Times New Roman" w:hAnsiTheme="minorHAnsi" w:cstheme="minorHAnsi"/>
          <w:u w:val="single"/>
        </w:rPr>
        <w:t>An example granularity issue is</w:t>
      </w:r>
      <w:r w:rsidRPr="00B14C4D">
        <w:rPr>
          <w:rFonts w:asciiTheme="minorHAnsi" w:eastAsia="Times New Roman" w:hAnsiTheme="minorHAnsi" w:cstheme="minorHAnsi"/>
        </w:rPr>
        <w:t xml:space="preserve">, patients have been confirmed to have allergies to mollusks, crustaceans, and certain varieties of fish. “Seafood” is an attempt to generalize one or more of these concepts, but the term seafood is ambiguously used across controlled vocabularies resulting in a non-actionable term, when presented in in a viewer or as an alert. </w:t>
      </w:r>
    </w:p>
    <w:p w14:paraId="64099108" w14:textId="77777777" w:rsidR="00BA206C" w:rsidRPr="00B14C4D" w:rsidRDefault="00BA206C" w:rsidP="00ED1A5D">
      <w:pPr>
        <w:pStyle w:val="Default"/>
        <w:numPr>
          <w:ilvl w:val="1"/>
          <w:numId w:val="2"/>
        </w:numPr>
        <w:tabs>
          <w:tab w:val="clear" w:pos="1440"/>
        </w:tabs>
        <w:spacing w:line="276" w:lineRule="auto"/>
        <w:ind w:left="1538"/>
        <w:rPr>
          <w:rFonts w:asciiTheme="minorHAnsi" w:hAnsiTheme="minorHAnsi" w:cstheme="minorHAnsi"/>
          <w:sz w:val="22"/>
          <w:szCs w:val="22"/>
        </w:rPr>
      </w:pPr>
      <w:r w:rsidRPr="00B14C4D">
        <w:rPr>
          <w:rFonts w:asciiTheme="minorHAnsi" w:hAnsiTheme="minorHAnsi" w:cstheme="minorHAnsi"/>
          <w:sz w:val="22"/>
          <w:szCs w:val="22"/>
        </w:rPr>
        <w:t xml:space="preserve">Discussion: The term seafood would exclude snails, which are mollusks, or may be taken to exclude freshwater fish. Its use should be avoided. However, the data show an overwhelming use </w:t>
      </w:r>
      <w:r w:rsidRPr="00B14C4D">
        <w:rPr>
          <w:rFonts w:asciiTheme="minorHAnsi" w:hAnsiTheme="minorHAnsi" w:cstheme="minorHAnsi"/>
          <w:sz w:val="22"/>
          <w:szCs w:val="22"/>
        </w:rPr>
        <w:lastRenderedPageBreak/>
        <w:t xml:space="preserve">of this term. In addition, “shellfish” should be disambiguated as either mollusks, crustaceans, or both. </w:t>
      </w:r>
    </w:p>
    <w:p w14:paraId="5E0DC0A3" w14:textId="77777777" w:rsidR="00BA206C" w:rsidRPr="00B14C4D" w:rsidRDefault="00BA206C" w:rsidP="0095444A">
      <w:pPr>
        <w:pStyle w:val="Default"/>
        <w:spacing w:line="276" w:lineRule="auto"/>
        <w:ind w:left="1538"/>
        <w:rPr>
          <w:rFonts w:asciiTheme="minorHAnsi" w:hAnsiTheme="minorHAnsi" w:cstheme="minorHAnsi"/>
          <w:sz w:val="22"/>
          <w:szCs w:val="22"/>
        </w:rPr>
      </w:pPr>
      <w:r w:rsidRPr="00B14C4D">
        <w:rPr>
          <w:rFonts w:asciiTheme="minorHAnsi" w:hAnsiTheme="minorHAnsi" w:cstheme="minorHAnsi"/>
          <w:sz w:val="22"/>
          <w:szCs w:val="22"/>
        </w:rPr>
        <w:t xml:space="preserve">Informatics SMEs categorize terms (aka ontologies) and define principles, which can be clinically valid and actionable &gt;80% of the time. When terms are not clinically actionable and cannot be used to guide decisions unambiguously; e.g., “mold” (environmental respiratory issue, or a specific sensitivity?), “antibiotics” (in the unlikely event all sub-sets of antibiotics are contraindicated, they should be contraindicated explicitly), “tape” (unclear whether there is an adhesive substance sensitivity or a skin integrity concern). </w:t>
      </w:r>
    </w:p>
    <w:p w14:paraId="50A41A29" w14:textId="77777777" w:rsidR="00BA206C" w:rsidRPr="00B14C4D" w:rsidRDefault="00BA206C" w:rsidP="00ED1A5D">
      <w:pPr>
        <w:pStyle w:val="Default"/>
        <w:numPr>
          <w:ilvl w:val="1"/>
          <w:numId w:val="2"/>
        </w:numPr>
        <w:tabs>
          <w:tab w:val="clear" w:pos="1440"/>
        </w:tabs>
        <w:spacing w:line="276" w:lineRule="auto"/>
        <w:ind w:left="1538"/>
        <w:rPr>
          <w:rFonts w:asciiTheme="minorHAnsi" w:hAnsiTheme="minorHAnsi" w:cstheme="minorHAnsi"/>
          <w:sz w:val="22"/>
          <w:szCs w:val="22"/>
        </w:rPr>
      </w:pPr>
      <w:r w:rsidRPr="00B14C4D">
        <w:rPr>
          <w:rFonts w:asciiTheme="minorHAnsi" w:hAnsiTheme="minorHAnsi" w:cstheme="minorHAnsi"/>
          <w:sz w:val="22"/>
          <w:szCs w:val="22"/>
        </w:rPr>
        <w:t xml:space="preserve">Recommendation: In this seafood example, </w:t>
      </w:r>
    </w:p>
    <w:p w14:paraId="428C74C8" w14:textId="77777777" w:rsidR="00BA206C" w:rsidRPr="00B14C4D" w:rsidRDefault="00BA206C" w:rsidP="00ED1A5D">
      <w:pPr>
        <w:pStyle w:val="Default"/>
        <w:numPr>
          <w:ilvl w:val="2"/>
          <w:numId w:val="3"/>
        </w:numPr>
        <w:tabs>
          <w:tab w:val="clear" w:pos="2160"/>
        </w:tabs>
        <w:spacing w:line="276" w:lineRule="auto"/>
        <w:ind w:left="2258"/>
        <w:rPr>
          <w:rFonts w:asciiTheme="minorHAnsi" w:hAnsiTheme="minorHAnsi" w:cstheme="minorHAnsi"/>
          <w:sz w:val="22"/>
          <w:szCs w:val="22"/>
        </w:rPr>
      </w:pPr>
      <w:r w:rsidRPr="00B14C4D">
        <w:rPr>
          <w:rFonts w:asciiTheme="minorHAnsi" w:hAnsiTheme="minorHAnsi" w:cstheme="minorHAnsi"/>
          <w:sz w:val="22"/>
          <w:szCs w:val="22"/>
        </w:rPr>
        <w:t xml:space="preserve">Do not use the term seafood. Rather, consistently use specific terms or codes for fish, mollusks or crustaceans. </w:t>
      </w:r>
    </w:p>
    <w:p w14:paraId="2168E6FD" w14:textId="77777777" w:rsidR="00BA206C" w:rsidRPr="00B14C4D" w:rsidRDefault="00BA206C" w:rsidP="00ED1A5D">
      <w:pPr>
        <w:pStyle w:val="Default"/>
        <w:numPr>
          <w:ilvl w:val="2"/>
          <w:numId w:val="3"/>
        </w:numPr>
        <w:tabs>
          <w:tab w:val="clear" w:pos="2160"/>
        </w:tabs>
        <w:spacing w:line="276" w:lineRule="auto"/>
        <w:ind w:left="2258"/>
        <w:rPr>
          <w:rFonts w:asciiTheme="minorHAnsi" w:hAnsiTheme="minorHAnsi" w:cstheme="minorHAnsi"/>
          <w:sz w:val="22"/>
          <w:szCs w:val="22"/>
        </w:rPr>
      </w:pPr>
      <w:r w:rsidRPr="00B14C4D">
        <w:rPr>
          <w:rFonts w:asciiTheme="minorHAnsi" w:hAnsiTheme="minorHAnsi" w:cstheme="minorHAnsi"/>
          <w:sz w:val="22"/>
          <w:szCs w:val="22"/>
        </w:rPr>
        <w:t xml:space="preserve">Do not use the term shellfish. Rather, consistently use specific terms or codes for mollusks or crustaceans. </w:t>
      </w:r>
    </w:p>
    <w:p w14:paraId="50723294" w14:textId="77777777" w:rsidR="00BA206C" w:rsidRPr="00B14C4D" w:rsidRDefault="00BA206C" w:rsidP="0095444A">
      <w:pPr>
        <w:spacing w:after="0" w:line="276" w:lineRule="auto"/>
        <w:ind w:left="720"/>
        <w:rPr>
          <w:rFonts w:asciiTheme="minorHAnsi" w:eastAsia="Times New Roman" w:hAnsiTheme="minorHAnsi" w:cstheme="minorHAnsi"/>
        </w:rPr>
      </w:pPr>
      <w:r w:rsidRPr="00B14C4D">
        <w:rPr>
          <w:rFonts w:asciiTheme="minorHAnsi" w:eastAsia="Times New Roman" w:hAnsiTheme="minorHAnsi" w:cstheme="minorHAnsi"/>
        </w:rPr>
        <w:t> </w:t>
      </w:r>
    </w:p>
    <w:p w14:paraId="480B3A39" w14:textId="7DFCFEA8" w:rsidR="00BA206C" w:rsidRPr="00B14C4D" w:rsidRDefault="00BA206C" w:rsidP="0095444A">
      <w:pPr>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u w:val="single"/>
        </w:rPr>
        <w:t>A potential data-quality way forward</w:t>
      </w:r>
      <w:r w:rsidRPr="00B14C4D">
        <w:rPr>
          <w:rFonts w:asciiTheme="minorHAnsi" w:eastAsia="Times New Roman" w:hAnsiTheme="minorHAnsi" w:cstheme="minorHAnsi"/>
        </w:rPr>
        <w:t xml:space="preserve"> is to </w:t>
      </w:r>
      <w:r w:rsidR="00BE5EBB" w:rsidRPr="00B14C4D">
        <w:rPr>
          <w:rFonts w:asciiTheme="minorHAnsi" w:eastAsia="Times New Roman" w:hAnsiTheme="minorHAnsi" w:cstheme="minorHAnsi"/>
        </w:rPr>
        <w:t>harmonize</w:t>
      </w:r>
      <w:r w:rsidRPr="00B14C4D">
        <w:rPr>
          <w:rFonts w:asciiTheme="minorHAnsi" w:eastAsia="Times New Roman" w:hAnsiTheme="minorHAnsi" w:cstheme="minorHAnsi"/>
        </w:rPr>
        <w:t xml:space="preserve"> the methodologies and technologies of the HL7 IIM&amp;T project led by </w:t>
      </w:r>
      <w:r w:rsidRPr="00B14C4D">
        <w:rPr>
          <w:rFonts w:asciiTheme="minorHAnsi" w:eastAsia="Times New Roman" w:hAnsiTheme="minorHAnsi" w:cstheme="minorHAnsi"/>
          <w:u w:val="single"/>
        </w:rPr>
        <w:t>Dr. Stan Huff</w:t>
      </w:r>
      <w:r w:rsidRPr="00B14C4D">
        <w:rPr>
          <w:rFonts w:asciiTheme="minorHAnsi" w:eastAsia="Times New Roman" w:hAnsiTheme="minorHAnsi" w:cstheme="minorHAnsi"/>
        </w:rPr>
        <w:t xml:space="preserve"> of Intermountain Health, the HSPC SOLOR project led by </w:t>
      </w:r>
      <w:r w:rsidRPr="00B14C4D">
        <w:rPr>
          <w:rFonts w:asciiTheme="minorHAnsi" w:eastAsia="Times New Roman" w:hAnsiTheme="minorHAnsi" w:cstheme="minorHAnsi"/>
          <w:u w:val="single"/>
        </w:rPr>
        <w:t>Dr. Keith Campbell</w:t>
      </w:r>
      <w:r w:rsidRPr="00B14C4D">
        <w:rPr>
          <w:rFonts w:asciiTheme="minorHAnsi" w:eastAsia="Times New Roman" w:hAnsiTheme="minorHAnsi" w:cstheme="minorHAnsi"/>
        </w:rPr>
        <w:t xml:space="preserve"> of the VA, the FHIM project led by </w:t>
      </w:r>
      <w:r w:rsidRPr="00B14C4D">
        <w:rPr>
          <w:rFonts w:asciiTheme="minorHAnsi" w:eastAsia="Times New Roman" w:hAnsiTheme="minorHAnsi" w:cstheme="minorHAnsi"/>
          <w:u w:val="single"/>
        </w:rPr>
        <w:t>Steve Wagner</w:t>
      </w:r>
      <w:r w:rsidRPr="00B14C4D">
        <w:rPr>
          <w:rFonts w:asciiTheme="minorHAnsi" w:eastAsia="Times New Roman" w:hAnsiTheme="minorHAnsi" w:cstheme="minorHAnsi"/>
        </w:rPr>
        <w:t xml:space="preserve"> of HHS-FHA</w:t>
      </w:r>
      <w:r w:rsidR="00504D4E" w:rsidRPr="00B14C4D">
        <w:rPr>
          <w:rFonts w:asciiTheme="minorHAnsi" w:eastAsia="Times New Roman" w:hAnsiTheme="minorHAnsi" w:cstheme="minorHAnsi"/>
        </w:rPr>
        <w:t>, using</w:t>
      </w:r>
      <w:r w:rsidRPr="00B14C4D">
        <w:rPr>
          <w:rFonts w:asciiTheme="minorHAnsi" w:eastAsia="Times New Roman" w:hAnsiTheme="minorHAnsi" w:cstheme="minorHAnsi"/>
        </w:rPr>
        <w:t xml:space="preserve"> </w:t>
      </w:r>
      <w:r w:rsidR="00BC4AE8" w:rsidRPr="00B14C4D">
        <w:rPr>
          <w:rFonts w:asciiTheme="minorHAnsi" w:eastAsia="Times New Roman" w:hAnsiTheme="minorHAnsi" w:cstheme="minorHAnsi"/>
        </w:rPr>
        <w:t>harmoni</w:t>
      </w:r>
      <w:r w:rsidR="00113FEC" w:rsidRPr="00B14C4D">
        <w:rPr>
          <w:rFonts w:asciiTheme="minorHAnsi" w:eastAsia="Times New Roman" w:hAnsiTheme="minorHAnsi" w:cstheme="minorHAnsi"/>
        </w:rPr>
        <w:t xml:space="preserve">zed </w:t>
      </w:r>
      <w:r w:rsidR="00504D4E" w:rsidRPr="00B14C4D">
        <w:rPr>
          <w:rFonts w:asciiTheme="minorHAnsi" w:eastAsia="Times New Roman" w:hAnsiTheme="minorHAnsi" w:cstheme="minorHAnsi"/>
        </w:rPr>
        <w:t>HL7</w:t>
      </w:r>
      <w:r w:rsidR="00BE5EBB" w:rsidRPr="00B14C4D">
        <w:rPr>
          <w:rFonts w:asciiTheme="minorHAnsi" w:eastAsia="Times New Roman" w:hAnsiTheme="minorHAnsi" w:cstheme="minorHAnsi"/>
        </w:rPr>
        <w:t>,</w:t>
      </w:r>
      <w:r w:rsidR="00504D4E" w:rsidRPr="00B14C4D">
        <w:rPr>
          <w:rFonts w:asciiTheme="minorHAnsi" w:eastAsia="Times New Roman" w:hAnsiTheme="minorHAnsi" w:cstheme="minorHAnsi"/>
        </w:rPr>
        <w:t xml:space="preserve"> </w:t>
      </w:r>
      <w:r w:rsidRPr="00B14C4D">
        <w:rPr>
          <w:rFonts w:asciiTheme="minorHAnsi" w:eastAsia="Times New Roman" w:hAnsiTheme="minorHAnsi" w:cstheme="minorHAnsi"/>
        </w:rPr>
        <w:t xml:space="preserve">FHA, VA, MITRE, </w:t>
      </w:r>
      <w:proofErr w:type="spellStart"/>
      <w:r w:rsidRPr="00B14C4D">
        <w:rPr>
          <w:rFonts w:asciiTheme="minorHAnsi" w:eastAsia="Times New Roman" w:hAnsiTheme="minorHAnsi" w:cstheme="minorHAnsi"/>
        </w:rPr>
        <w:t>Penrad</w:t>
      </w:r>
      <w:proofErr w:type="spellEnd"/>
      <w:r w:rsidRPr="00B14C4D">
        <w:rPr>
          <w:rFonts w:asciiTheme="minorHAnsi" w:eastAsia="Times New Roman" w:hAnsiTheme="minorHAnsi" w:cstheme="minorHAnsi"/>
        </w:rPr>
        <w:t xml:space="preserve"> and Cognitive </w:t>
      </w:r>
      <w:r w:rsidR="00504D4E" w:rsidRPr="00B14C4D">
        <w:rPr>
          <w:rFonts w:asciiTheme="minorHAnsi" w:eastAsia="Times New Roman" w:hAnsiTheme="minorHAnsi" w:cstheme="minorHAnsi"/>
        </w:rPr>
        <w:t xml:space="preserve">developed open-source </w:t>
      </w:r>
      <w:r w:rsidRPr="00B14C4D">
        <w:rPr>
          <w:rFonts w:asciiTheme="minorHAnsi" w:eastAsia="Times New Roman" w:hAnsiTheme="minorHAnsi" w:cstheme="minorHAnsi"/>
        </w:rPr>
        <w:t xml:space="preserve">tooling. These projects are separating structure and semantic concerns making complex risks more manageable. The pre/post coordination mapping conundrum is addressed by a use-case specific methodology, constraining </w:t>
      </w:r>
      <w:r w:rsidR="00113FEC" w:rsidRPr="00B14C4D">
        <w:rPr>
          <w:rFonts w:asciiTheme="minorHAnsi" w:eastAsia="Times New Roman" w:hAnsiTheme="minorHAnsi" w:cstheme="minorHAnsi"/>
        </w:rPr>
        <w:t>USCDI-</w:t>
      </w:r>
      <w:r w:rsidRPr="00B14C4D">
        <w:rPr>
          <w:rFonts w:asciiTheme="minorHAnsi" w:eastAsia="Times New Roman" w:hAnsiTheme="minorHAnsi" w:cstheme="minorHAnsi"/>
        </w:rPr>
        <w:t>FHIM domain models into CIMI Detailed Clinical Models (</w:t>
      </w:r>
      <w:r w:rsidRPr="00B14C4D">
        <w:rPr>
          <w:rFonts w:asciiTheme="minorHAnsi" w:eastAsia="Times New Roman" w:hAnsiTheme="minorHAnsi" w:cstheme="minorHAnsi"/>
          <w:b/>
        </w:rPr>
        <w:t>DCM</w:t>
      </w:r>
      <w:r w:rsidRPr="00B14C4D">
        <w:rPr>
          <w:rFonts w:asciiTheme="minorHAnsi" w:eastAsia="Times New Roman" w:hAnsiTheme="minorHAnsi" w:cstheme="minorHAnsi"/>
        </w:rPr>
        <w:t>s) harmonized across-and-within SOLOR controlled vocabularies (CVs) and code sets; where, a DCM associates a SOLOR model-of-meaning using the SNOMED observation model, which then associates a DCM Finding</w:t>
      </w:r>
      <w:r w:rsidR="00113FEC" w:rsidRPr="00B14C4D">
        <w:rPr>
          <w:rFonts w:asciiTheme="minorHAnsi" w:eastAsia="Times New Roman" w:hAnsiTheme="minorHAnsi" w:cstheme="minorHAnsi"/>
        </w:rPr>
        <w:t xml:space="preserve"> (</w:t>
      </w:r>
      <w:r w:rsidR="00D77B2A" w:rsidRPr="00B14C4D">
        <w:rPr>
          <w:rFonts w:asciiTheme="minorHAnsi" w:eastAsia="Times New Roman" w:hAnsiTheme="minorHAnsi" w:cstheme="minorHAnsi"/>
        </w:rPr>
        <w:t>observation</w:t>
      </w:r>
      <w:r w:rsidRPr="00B14C4D">
        <w:rPr>
          <w:rFonts w:asciiTheme="minorHAnsi" w:eastAsia="Times New Roman" w:hAnsiTheme="minorHAnsi" w:cstheme="minorHAnsi"/>
        </w:rPr>
        <w:t xml:space="preserve">, </w:t>
      </w:r>
      <w:r w:rsidR="00D77B2A" w:rsidRPr="00B14C4D">
        <w:rPr>
          <w:rFonts w:asciiTheme="minorHAnsi" w:eastAsia="Times New Roman" w:hAnsiTheme="minorHAnsi" w:cstheme="minorHAnsi"/>
        </w:rPr>
        <w:t>o</w:t>
      </w:r>
      <w:r w:rsidRPr="00B14C4D">
        <w:rPr>
          <w:rFonts w:asciiTheme="minorHAnsi" w:eastAsia="Times New Roman" w:hAnsiTheme="minorHAnsi" w:cstheme="minorHAnsi"/>
        </w:rPr>
        <w:t xml:space="preserve">rder, </w:t>
      </w:r>
      <w:r w:rsidR="00D77B2A" w:rsidRPr="00B14C4D">
        <w:rPr>
          <w:rFonts w:asciiTheme="minorHAnsi" w:eastAsia="Times New Roman" w:hAnsiTheme="minorHAnsi" w:cstheme="minorHAnsi"/>
        </w:rPr>
        <w:t>p</w:t>
      </w:r>
      <w:r w:rsidRPr="00B14C4D">
        <w:rPr>
          <w:rFonts w:asciiTheme="minorHAnsi" w:eastAsia="Times New Roman" w:hAnsiTheme="minorHAnsi" w:cstheme="minorHAnsi"/>
        </w:rPr>
        <w:t>rocedure, etc.</w:t>
      </w:r>
      <w:r w:rsidR="00D77B2A" w:rsidRPr="00B14C4D">
        <w:rPr>
          <w:rFonts w:asciiTheme="minorHAnsi" w:eastAsia="Times New Roman" w:hAnsiTheme="minorHAnsi" w:cstheme="minorHAnsi"/>
        </w:rPr>
        <w:t>)</w:t>
      </w:r>
      <w:r w:rsidRPr="00B14C4D">
        <w:rPr>
          <w:rFonts w:asciiTheme="minorHAnsi" w:eastAsia="Times New Roman" w:hAnsiTheme="minorHAnsi" w:cstheme="minorHAnsi"/>
        </w:rPr>
        <w:t xml:space="preserve"> with its context</w:t>
      </w:r>
      <w:r w:rsidR="00044DDE" w:rsidRPr="00B14C4D">
        <w:rPr>
          <w:rFonts w:asciiTheme="minorHAnsi" w:eastAsia="Times New Roman" w:hAnsiTheme="minorHAnsi" w:cstheme="minorHAnsi"/>
        </w:rPr>
        <w:t xml:space="preserve"> and </w:t>
      </w:r>
      <w:proofErr w:type="spellStart"/>
      <w:r w:rsidR="00044DDE" w:rsidRPr="00B14C4D">
        <w:rPr>
          <w:rFonts w:asciiTheme="minorHAnsi" w:eastAsia="Times New Roman" w:hAnsiTheme="minorHAnsi" w:cstheme="minorHAnsi"/>
        </w:rPr>
        <w:t>provinance</w:t>
      </w:r>
      <w:proofErr w:type="spellEnd"/>
      <w:r w:rsidRPr="00B14C4D">
        <w:rPr>
          <w:rFonts w:asciiTheme="minorHAnsi" w:eastAsia="Times New Roman" w:hAnsiTheme="minorHAnsi" w:cstheme="minorHAnsi"/>
        </w:rPr>
        <w:t>. Seamless Model-driven Development (</w:t>
      </w:r>
      <w:r w:rsidRPr="00B14C4D">
        <w:rPr>
          <w:rFonts w:asciiTheme="minorHAnsi" w:eastAsia="Times New Roman" w:hAnsiTheme="minorHAnsi" w:cstheme="minorHAnsi"/>
          <w:b/>
        </w:rPr>
        <w:t>MDD</w:t>
      </w:r>
      <w:r w:rsidRPr="00B14C4D">
        <w:rPr>
          <w:rFonts w:asciiTheme="minorHAnsi" w:eastAsia="Times New Roman" w:hAnsiTheme="minorHAnsi" w:cstheme="minorHAnsi"/>
        </w:rPr>
        <w:t xml:space="preserve">) tools make the methodology efficient-and-effective. </w:t>
      </w:r>
    </w:p>
    <w:p w14:paraId="71C56A1B" w14:textId="77777777" w:rsidR="00BA206C" w:rsidRPr="00B14C4D" w:rsidRDefault="00BA206C" w:rsidP="0095444A">
      <w:pPr>
        <w:spacing w:after="0" w:line="276" w:lineRule="auto"/>
        <w:ind w:left="1440" w:hanging="720"/>
        <w:rPr>
          <w:rFonts w:asciiTheme="minorHAnsi" w:eastAsia="Times New Roman" w:hAnsiTheme="minorHAnsi" w:cstheme="minorHAnsi"/>
          <w:u w:val="single"/>
        </w:rPr>
      </w:pPr>
    </w:p>
    <w:p w14:paraId="3D848000" w14:textId="77777777" w:rsidR="00BA206C" w:rsidRPr="00B14C4D" w:rsidRDefault="00BA206C" w:rsidP="0095444A">
      <w:pPr>
        <w:spacing w:after="0" w:line="276" w:lineRule="auto"/>
        <w:ind w:left="720" w:hanging="720"/>
        <w:rPr>
          <w:rFonts w:asciiTheme="minorHAnsi" w:eastAsia="Times New Roman" w:hAnsiTheme="minorHAnsi" w:cstheme="minorHAnsi"/>
        </w:rPr>
      </w:pPr>
      <w:r w:rsidRPr="00B14C4D">
        <w:rPr>
          <w:rFonts w:asciiTheme="minorHAnsi" w:eastAsia="Times New Roman" w:hAnsiTheme="minorHAnsi" w:cstheme="minorHAnsi"/>
          <w:u w:val="single"/>
        </w:rPr>
        <w:t>Dr. Keith Campbell’s SOLOR Team</w:t>
      </w:r>
      <w:r w:rsidRPr="00B14C4D">
        <w:rPr>
          <w:rFonts w:asciiTheme="minorHAnsi" w:eastAsia="Times New Roman" w:hAnsiTheme="minorHAnsi" w:cstheme="minorHAnsi"/>
        </w:rPr>
        <w:t>, at the VA and HSPC, is harmonizing across controlled vocabularies (CVs) and code sets. SOLOR does not force a pre-coordinated/post-coordinated choice… SOLOR assumes that both pre-coordinated &amp; post-coordinated strategies will continue to be used as chosen by the implementer. The basic SOLOR requirement is that regardless of choosing pre-or-post coordination, you put any concepts (including concepts intended for pieces of a post-coordinated expression) that are not part of the standard into an extension that you can share. </w:t>
      </w:r>
    </w:p>
    <w:p w14:paraId="1F2F52F3"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a clinical observation/statement/note or lab/pharmacy/discharge/procedure order should each have a DCM for the Finding type and associated context expressions containing the provenance (who, what, when, where, how) for associated events, e.g., order writing, filling, refilling, renewal, cessation.</w:t>
      </w:r>
    </w:p>
    <w:p w14:paraId="758DEAAC"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observation/order/procedure/problem DCMs contain SOLOR codes </w:t>
      </w:r>
    </w:p>
    <w:p w14:paraId="6070C3BD"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Each observation/order/procedure/problem codes value can have many associated SNOMED context-expressions, aka SNOMED expressions of meta-data, e.g., anatomical location, laterality and attributes as well as basic event provenance. </w:t>
      </w:r>
    </w:p>
    <w:p w14:paraId="61122238"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SOLOR uses </w:t>
      </w:r>
      <w:proofErr w:type="spellStart"/>
      <w:r w:rsidRPr="00B14C4D">
        <w:rPr>
          <w:rFonts w:asciiTheme="minorHAnsi" w:hAnsiTheme="minorHAnsi" w:cstheme="minorHAnsi"/>
          <w:sz w:val="22"/>
          <w:szCs w:val="22"/>
        </w:rPr>
        <w:t>Ontoserver</w:t>
      </w:r>
      <w:proofErr w:type="spellEnd"/>
      <w:r w:rsidRPr="00B14C4D">
        <w:rPr>
          <w:rFonts w:asciiTheme="minorHAnsi" w:hAnsiTheme="minorHAnsi" w:cstheme="minorHAnsi"/>
          <w:sz w:val="22"/>
          <w:szCs w:val="22"/>
        </w:rPr>
        <w:t>, which supports classification… VSAC et al, do no such thing. </w:t>
      </w:r>
    </w:p>
    <w:p w14:paraId="0FB7A227" w14:textId="77777777" w:rsidR="00BA206C" w:rsidRPr="00B14C4D" w:rsidRDefault="00BA206C" w:rsidP="00ED1A5D">
      <w:pPr>
        <w:pStyle w:val="Default"/>
        <w:numPr>
          <w:ilvl w:val="1"/>
          <w:numId w:val="4"/>
        </w:numPr>
        <w:tabs>
          <w:tab w:val="clear" w:pos="2160"/>
          <w:tab w:val="num" w:pos="1440"/>
        </w:tabs>
        <w:spacing w:line="276" w:lineRule="auto"/>
        <w:ind w:left="1440"/>
        <w:rPr>
          <w:rFonts w:asciiTheme="minorHAnsi" w:hAnsiTheme="minorHAnsi" w:cstheme="minorHAnsi"/>
          <w:sz w:val="22"/>
          <w:szCs w:val="22"/>
        </w:rPr>
      </w:pPr>
      <w:r w:rsidRPr="00B14C4D">
        <w:rPr>
          <w:rFonts w:asciiTheme="minorHAnsi" w:hAnsiTheme="minorHAnsi" w:cstheme="minorHAnsi"/>
          <w:sz w:val="22"/>
          <w:szCs w:val="22"/>
        </w:rPr>
        <w:t>The ability to classify as part of an ETL process that determines the equivalence of pre-coordinated and post-coordinated content is a missing part of the semantic puzzle. </w:t>
      </w:r>
      <w:proofErr w:type="spellStart"/>
      <w:r w:rsidRPr="00B14C4D">
        <w:rPr>
          <w:rFonts w:asciiTheme="minorHAnsi" w:hAnsiTheme="minorHAnsi" w:cstheme="minorHAnsi"/>
          <w:sz w:val="22"/>
          <w:szCs w:val="22"/>
        </w:rPr>
        <w:t>Ontoserver</w:t>
      </w:r>
      <w:proofErr w:type="spellEnd"/>
      <w:r w:rsidRPr="00B14C4D">
        <w:rPr>
          <w:rFonts w:asciiTheme="minorHAnsi" w:hAnsiTheme="minorHAnsi" w:cstheme="minorHAnsi"/>
          <w:sz w:val="22"/>
          <w:szCs w:val="22"/>
        </w:rPr>
        <w:t>, and other classifiers, can fill that niche. </w:t>
      </w:r>
    </w:p>
    <w:p w14:paraId="12D4638C" w14:textId="77777777" w:rsidR="00BA206C" w:rsidRPr="00B14C4D" w:rsidRDefault="00BA206C" w:rsidP="00ED1A5D">
      <w:pPr>
        <w:pStyle w:val="Default"/>
        <w:numPr>
          <w:ilvl w:val="1"/>
          <w:numId w:val="4"/>
        </w:numPr>
        <w:tabs>
          <w:tab w:val="clear" w:pos="2160"/>
          <w:tab w:val="num" w:pos="1440"/>
        </w:tabs>
        <w:spacing w:line="276" w:lineRule="auto"/>
        <w:ind w:left="1440"/>
        <w:rPr>
          <w:rFonts w:asciiTheme="minorHAnsi" w:hAnsiTheme="minorHAnsi" w:cstheme="minorHAnsi"/>
          <w:sz w:val="22"/>
          <w:szCs w:val="22"/>
        </w:rPr>
      </w:pPr>
      <w:r w:rsidRPr="00B14C4D">
        <w:rPr>
          <w:rFonts w:asciiTheme="minorHAnsi" w:hAnsiTheme="minorHAnsi" w:cstheme="minorHAnsi"/>
          <w:sz w:val="22"/>
          <w:szCs w:val="22"/>
        </w:rPr>
        <w:lastRenderedPageBreak/>
        <w:t xml:space="preserve">Moving from one classified form to another (as Michael Lawley presented on a recent SOLOR observers call), takes us a significant distance toward </w:t>
      </w:r>
      <w:proofErr w:type="spellStart"/>
      <w:r w:rsidRPr="00B14C4D">
        <w:rPr>
          <w:rFonts w:asciiTheme="minorHAnsi" w:hAnsiTheme="minorHAnsi" w:cstheme="minorHAnsi"/>
          <w:sz w:val="22"/>
          <w:szCs w:val="22"/>
        </w:rPr>
        <w:t>iso</w:t>
      </w:r>
      <w:proofErr w:type="spellEnd"/>
      <w:r w:rsidRPr="00B14C4D">
        <w:rPr>
          <w:rFonts w:asciiTheme="minorHAnsi" w:hAnsiTheme="minorHAnsi" w:cstheme="minorHAnsi"/>
          <w:sz w:val="22"/>
          <w:szCs w:val="22"/>
        </w:rPr>
        <w:t xml:space="preserve">-semantic models. </w:t>
      </w:r>
    </w:p>
    <w:p w14:paraId="78FBC03B" w14:textId="77777777" w:rsidR="00BA206C" w:rsidRPr="00B14C4D" w:rsidRDefault="00BA206C" w:rsidP="00ED1A5D">
      <w:pPr>
        <w:pStyle w:val="Default"/>
        <w:numPr>
          <w:ilvl w:val="1"/>
          <w:numId w:val="4"/>
        </w:numPr>
        <w:tabs>
          <w:tab w:val="clear" w:pos="2160"/>
          <w:tab w:val="num" w:pos="1440"/>
        </w:tabs>
        <w:spacing w:line="276" w:lineRule="auto"/>
        <w:ind w:left="1440"/>
        <w:rPr>
          <w:rFonts w:asciiTheme="minorHAnsi" w:hAnsiTheme="minorHAnsi" w:cstheme="minorHAnsi"/>
          <w:sz w:val="22"/>
          <w:szCs w:val="22"/>
        </w:rPr>
      </w:pPr>
      <w:r w:rsidRPr="00B14C4D">
        <w:rPr>
          <w:rFonts w:asciiTheme="minorHAnsi" w:hAnsiTheme="minorHAnsi" w:cstheme="minorHAnsi"/>
          <w:sz w:val="22"/>
          <w:szCs w:val="22"/>
        </w:rPr>
        <w:t xml:space="preserve">Post-coordinated content is typically closer to long normal form, pre-coordinated content is typically short-normal form. And things in the middle can be identified as equivalent. This solves some, but not all, of the pre/post coordination and </w:t>
      </w:r>
      <w:proofErr w:type="spellStart"/>
      <w:r w:rsidRPr="00B14C4D">
        <w:rPr>
          <w:rFonts w:asciiTheme="minorHAnsi" w:hAnsiTheme="minorHAnsi" w:cstheme="minorHAnsi"/>
          <w:sz w:val="22"/>
          <w:szCs w:val="22"/>
        </w:rPr>
        <w:t>iso</w:t>
      </w:r>
      <w:proofErr w:type="spellEnd"/>
      <w:r w:rsidRPr="00B14C4D">
        <w:rPr>
          <w:rFonts w:asciiTheme="minorHAnsi" w:hAnsiTheme="minorHAnsi" w:cstheme="minorHAnsi"/>
          <w:sz w:val="22"/>
          <w:szCs w:val="22"/>
        </w:rPr>
        <w:t>-semantic challenges. </w:t>
      </w:r>
    </w:p>
    <w:p w14:paraId="6D0A977C" w14:textId="77777777" w:rsidR="00BA206C" w:rsidRPr="00B14C4D" w:rsidRDefault="00BA206C" w:rsidP="00ED1A5D">
      <w:pPr>
        <w:pStyle w:val="Default"/>
        <w:numPr>
          <w:ilvl w:val="1"/>
          <w:numId w:val="4"/>
        </w:numPr>
        <w:tabs>
          <w:tab w:val="clear" w:pos="2160"/>
          <w:tab w:val="num" w:pos="1440"/>
        </w:tabs>
        <w:spacing w:line="276" w:lineRule="auto"/>
        <w:ind w:left="1440"/>
        <w:rPr>
          <w:rFonts w:asciiTheme="minorHAnsi" w:hAnsiTheme="minorHAnsi" w:cstheme="minorHAnsi"/>
          <w:sz w:val="22"/>
          <w:szCs w:val="22"/>
        </w:rPr>
      </w:pPr>
      <w:r w:rsidRPr="00B14C4D">
        <w:rPr>
          <w:rFonts w:asciiTheme="minorHAnsi" w:hAnsiTheme="minorHAnsi" w:cstheme="minorHAnsi"/>
          <w:sz w:val="22"/>
          <w:szCs w:val="22"/>
          <w:u w:val="single"/>
        </w:rPr>
        <w:t>As an example</w:t>
      </w:r>
      <w:r w:rsidRPr="00B14C4D">
        <w:rPr>
          <w:rFonts w:asciiTheme="minorHAnsi" w:hAnsiTheme="minorHAnsi" w:cstheme="minorHAnsi"/>
          <w:sz w:val="22"/>
          <w:szCs w:val="22"/>
        </w:rPr>
        <w:t xml:space="preserve">, a clinical statement/note CDA/FHIR structure model will have a DCM for a Finding plus SOLOR context-metadata (SNOMED descriptive-logic expression) for anatomical location, laterality, attributes, etc., e.g., a patient has a skin ulcer at a body location, with associated Braden scale scores and nutrition parameters, which can be used by clinical reasoner/decision-support tools to determine treatment and predict prognosis, e.g., viewers and clinical-alerts. </w:t>
      </w:r>
    </w:p>
    <w:p w14:paraId="4A625A38" w14:textId="77777777" w:rsidR="00BA206C" w:rsidRPr="00B14C4D" w:rsidRDefault="00BA206C" w:rsidP="0095444A">
      <w:pPr>
        <w:spacing w:after="0" w:line="276" w:lineRule="auto"/>
        <w:ind w:left="720" w:hanging="720"/>
        <w:rPr>
          <w:rFonts w:asciiTheme="minorHAnsi" w:eastAsia="Times New Roman" w:hAnsiTheme="minorHAnsi" w:cstheme="minorHAnsi"/>
          <w:u w:val="single"/>
        </w:rPr>
      </w:pPr>
    </w:p>
    <w:p w14:paraId="3A2BFF05" w14:textId="77777777" w:rsidR="00BA206C" w:rsidRPr="00B14C4D" w:rsidRDefault="00BA206C" w:rsidP="0095444A">
      <w:pPr>
        <w:spacing w:after="0" w:line="276" w:lineRule="auto"/>
        <w:ind w:left="720" w:hanging="720"/>
        <w:rPr>
          <w:rFonts w:asciiTheme="minorHAnsi" w:hAnsiTheme="minorHAnsi" w:cstheme="minorHAnsi"/>
          <w:color w:val="1F497D"/>
        </w:rPr>
      </w:pPr>
      <w:r w:rsidRPr="00B14C4D">
        <w:rPr>
          <w:rFonts w:asciiTheme="minorHAnsi" w:eastAsia="Times New Roman" w:hAnsiTheme="minorHAnsi" w:cstheme="minorHAnsi"/>
          <w:u w:val="single"/>
        </w:rPr>
        <w:t>Dr. Stan Huff’s CIMI team</w:t>
      </w:r>
      <w:r w:rsidRPr="00B14C4D">
        <w:rPr>
          <w:rFonts w:asciiTheme="minorHAnsi" w:eastAsia="Times New Roman" w:hAnsiTheme="minorHAnsi" w:cstheme="minorHAnsi"/>
        </w:rPr>
        <w:t xml:space="preserve">, at HL7 and Intermountain Healthcare, is harmonizing CLIM (SOLOR, FHIM, CIMI DCM, CQF). Pre-coordination is not a semantic interoperability deal breaker in EHR. EHR pre-coordinated terms can be transformed to post-coordinated analytic form and into FHIR profiles, C-CDA docs, EDWs etc. So, that’s one thing we need to ask for – the ability to populate FHIR and C-CDA using standard terminologies and structures from their precoordinated format. </w:t>
      </w:r>
    </w:p>
    <w:p w14:paraId="44E33324"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CLIM is CIMI’s common logical information model</w:t>
      </w:r>
    </w:p>
    <w:p w14:paraId="5B2DBB20"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SOLOR is HSPC’s SNOMED extension with harmonized LOINC and </w:t>
      </w:r>
      <w:proofErr w:type="spellStart"/>
      <w:r w:rsidRPr="00B14C4D">
        <w:rPr>
          <w:rFonts w:asciiTheme="minorHAnsi" w:hAnsiTheme="minorHAnsi" w:cstheme="minorHAnsi"/>
          <w:sz w:val="22"/>
          <w:szCs w:val="22"/>
        </w:rPr>
        <w:t>RxNorm</w:t>
      </w:r>
      <w:proofErr w:type="spellEnd"/>
      <w:r w:rsidRPr="00B14C4D">
        <w:rPr>
          <w:rFonts w:asciiTheme="minorHAnsi" w:hAnsiTheme="minorHAnsi" w:cstheme="minorHAnsi"/>
          <w:sz w:val="22"/>
          <w:szCs w:val="22"/>
        </w:rPr>
        <w:t xml:space="preserve"> </w:t>
      </w:r>
    </w:p>
    <w:p w14:paraId="0470ACAB"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FHIM is HHS-FHA’s Federal Health Information Model</w:t>
      </w:r>
    </w:p>
    <w:p w14:paraId="719CE121"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CIMI is HL7’s Clinical Information Model Initiative </w:t>
      </w:r>
    </w:p>
    <w:p w14:paraId="2A7593FE"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CQF is ONC’s Clinical Quality Framework</w:t>
      </w:r>
    </w:p>
    <w:p w14:paraId="7BBB4B6A"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HSPC is Healthcare is Healthcare Services Platform Consortium</w:t>
      </w:r>
    </w:p>
    <w:p w14:paraId="5B492109"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Context and Provenance are synonyms defining a Finding’s context, e.g., who, what, where, when and how. </w:t>
      </w:r>
    </w:p>
    <w:p w14:paraId="1F85361B" w14:textId="77777777" w:rsidR="00BA206C" w:rsidRPr="00B14C4D" w:rsidRDefault="00BA206C" w:rsidP="0095444A">
      <w:pPr>
        <w:spacing w:after="0" w:line="276" w:lineRule="auto"/>
        <w:ind w:left="1440" w:hanging="720"/>
        <w:textAlignment w:val="center"/>
        <w:rPr>
          <w:rFonts w:asciiTheme="minorHAnsi" w:eastAsia="Times New Roman" w:hAnsiTheme="minorHAnsi" w:cstheme="minorHAnsi"/>
          <w:u w:val="single"/>
        </w:rPr>
      </w:pPr>
    </w:p>
    <w:p w14:paraId="5479697F" w14:textId="77777777" w:rsidR="00BA206C" w:rsidRPr="00B14C4D" w:rsidRDefault="00BA206C" w:rsidP="0095444A">
      <w:pPr>
        <w:tabs>
          <w:tab w:val="num" w:pos="1440"/>
        </w:tabs>
        <w:spacing w:after="0" w:line="276" w:lineRule="auto"/>
        <w:ind w:left="1080" w:hanging="720"/>
        <w:textAlignment w:val="center"/>
        <w:rPr>
          <w:rFonts w:asciiTheme="minorHAnsi" w:eastAsia="Times New Roman" w:hAnsiTheme="minorHAnsi" w:cstheme="minorHAnsi"/>
        </w:rPr>
      </w:pPr>
      <w:r w:rsidRPr="00B14C4D">
        <w:rPr>
          <w:rFonts w:asciiTheme="minorHAnsi" w:eastAsia="Times New Roman" w:hAnsiTheme="minorHAnsi" w:cstheme="minorHAnsi"/>
          <w:u w:val="single"/>
        </w:rPr>
        <w:t>Steve Wagner’s FHIM Team</w:t>
      </w:r>
      <w:r w:rsidRPr="00B14C4D">
        <w:rPr>
          <w:rFonts w:asciiTheme="minorHAnsi" w:eastAsia="Times New Roman" w:hAnsiTheme="minorHAnsi" w:cstheme="minorHAnsi"/>
        </w:rPr>
        <w:t xml:space="preserve">, at FHA and HL7, is working with SMEs specifying domain structural and terminology models, which can be constrained into CIMI DCMs which use SOLOR. </w:t>
      </w:r>
    </w:p>
    <w:p w14:paraId="50D1161C" w14:textId="77777777" w:rsidR="00BA206C" w:rsidRPr="00B14C4D" w:rsidRDefault="00BA206C" w:rsidP="0068286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The FHIM team is repurposing FHIM to harmonizing with</w:t>
      </w:r>
    </w:p>
    <w:p w14:paraId="004A1C5F" w14:textId="77777777" w:rsidR="00BA206C" w:rsidRPr="00B14C4D" w:rsidRDefault="00BA206C" w:rsidP="0068286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CIMI’s reference architecture, also known as the CIMI basic meta model (BMM) </w:t>
      </w:r>
    </w:p>
    <w:p w14:paraId="362F2714" w14:textId="77777777" w:rsidR="00BA206C" w:rsidRPr="00B14C4D" w:rsidRDefault="00BA206C" w:rsidP="0068286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SOLOR’s harmonized controlled vocabularies and code sets. </w:t>
      </w:r>
    </w:p>
    <w:p w14:paraId="49FAF771" w14:textId="77777777" w:rsidR="00BA206C" w:rsidRPr="00B14C4D" w:rsidRDefault="00BA206C" w:rsidP="0068286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The Semantic Interoperability Guide Generator (SIGG), which employs Model Driven Architecture (MDA), an extensible, scalable software system; where, agency information exchange and healthcare standards information exchange are reused within the SIGG models.</w:t>
      </w:r>
    </w:p>
    <w:p w14:paraId="3BF395B9" w14:textId="77777777" w:rsidR="00BA206C" w:rsidRPr="00B14C4D" w:rsidRDefault="00BA206C" w:rsidP="0068286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FHIM could be used as a common repository for publishing USCDI elements and SIGG could be used for publishing implementable models that support FHIR structure definitions, CCDA templates, NIEM IEPDs, et alia.</w:t>
      </w:r>
    </w:p>
    <w:p w14:paraId="0AC3B4B9" w14:textId="77777777" w:rsidR="00BA206C" w:rsidRPr="00B14C4D" w:rsidRDefault="00BA206C" w:rsidP="0095444A">
      <w:pPr>
        <w:tabs>
          <w:tab w:val="num" w:pos="1440"/>
        </w:tabs>
        <w:spacing w:after="0" w:line="276" w:lineRule="auto"/>
        <w:ind w:left="1800" w:hanging="720"/>
        <w:textAlignment w:val="center"/>
        <w:rPr>
          <w:rFonts w:asciiTheme="minorHAnsi" w:eastAsia="Times New Roman" w:hAnsiTheme="minorHAnsi" w:cstheme="minorHAnsi"/>
          <w:u w:val="single"/>
        </w:rPr>
      </w:pPr>
    </w:p>
    <w:p w14:paraId="10F8E0DF" w14:textId="77777777" w:rsidR="00BA206C" w:rsidRPr="00B14C4D" w:rsidRDefault="00BA206C" w:rsidP="0095444A">
      <w:pPr>
        <w:tabs>
          <w:tab w:val="num" w:pos="1440"/>
        </w:tabs>
        <w:spacing w:after="0" w:line="276" w:lineRule="auto"/>
        <w:ind w:left="720" w:hanging="720"/>
        <w:textAlignment w:val="center"/>
        <w:rPr>
          <w:rFonts w:asciiTheme="minorHAnsi" w:eastAsia="Times New Roman" w:hAnsiTheme="minorHAnsi" w:cstheme="minorHAnsi"/>
        </w:rPr>
      </w:pPr>
      <w:r w:rsidRPr="00B14C4D">
        <w:rPr>
          <w:rFonts w:asciiTheme="minorHAnsi" w:eastAsia="Times New Roman" w:hAnsiTheme="minorHAnsi" w:cstheme="minorHAnsi"/>
          <w:u w:val="single"/>
        </w:rPr>
        <w:t xml:space="preserve">FHA, VA, MITRE, Cognitive and </w:t>
      </w:r>
      <w:proofErr w:type="spellStart"/>
      <w:r w:rsidRPr="00B14C4D">
        <w:rPr>
          <w:rFonts w:asciiTheme="minorHAnsi" w:eastAsia="Times New Roman" w:hAnsiTheme="minorHAnsi" w:cstheme="minorHAnsi"/>
          <w:u w:val="single"/>
        </w:rPr>
        <w:t>Penrad</w:t>
      </w:r>
      <w:proofErr w:type="spellEnd"/>
      <w:r w:rsidRPr="00B14C4D">
        <w:rPr>
          <w:rFonts w:asciiTheme="minorHAnsi" w:eastAsia="Times New Roman" w:hAnsiTheme="minorHAnsi" w:cstheme="minorHAnsi"/>
          <w:u w:val="single"/>
        </w:rPr>
        <w:t xml:space="preserve"> tool teams,</w:t>
      </w:r>
      <w:r w:rsidRPr="00B14C4D">
        <w:rPr>
          <w:rFonts w:asciiTheme="minorHAnsi" w:eastAsia="Times New Roman" w:hAnsiTheme="minorHAnsi" w:cstheme="minorHAnsi"/>
        </w:rPr>
        <w:t xml:space="preserve"> working with implementation SMEs, HL7 and HSPC have developed a tool stack to start from requirements and generate FHIR, C-CDA templates and NIEM IEPD and test fixtures, profiles and extensions. </w:t>
      </w:r>
    </w:p>
    <w:p w14:paraId="36D77F50"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t xml:space="preserve">enabled through open source technology, the SHR is designed by, and for, its users to support communication across homes and healthcare systems. </w:t>
      </w:r>
    </w:p>
    <w:p w14:paraId="043BF1AA" w14:textId="77777777" w:rsidR="00BA206C" w:rsidRPr="00B14C4D" w:rsidRDefault="00BA206C" w:rsidP="00ED1A5D">
      <w:pPr>
        <w:pStyle w:val="Default"/>
        <w:numPr>
          <w:ilvl w:val="0"/>
          <w:numId w:val="4"/>
        </w:numPr>
        <w:tabs>
          <w:tab w:val="clear" w:pos="1440"/>
          <w:tab w:val="num" w:pos="720"/>
        </w:tabs>
        <w:spacing w:line="276" w:lineRule="auto"/>
        <w:ind w:left="720"/>
        <w:rPr>
          <w:rFonts w:asciiTheme="minorHAnsi" w:hAnsiTheme="minorHAnsi" w:cstheme="minorHAnsi"/>
          <w:sz w:val="22"/>
          <w:szCs w:val="22"/>
        </w:rPr>
      </w:pPr>
      <w:r w:rsidRPr="00B14C4D">
        <w:rPr>
          <w:rFonts w:asciiTheme="minorHAnsi" w:hAnsiTheme="minorHAnsi" w:cstheme="minorHAnsi"/>
          <w:sz w:val="22"/>
          <w:szCs w:val="22"/>
        </w:rPr>
        <w:lastRenderedPageBreak/>
        <w:t xml:space="preserve">enables organizations, and the American public, to realize the benefits of improved care communication and coordination, reductions in medical error, less waste, fraud, and abuse, enhanced information sharing, and the decreased costs that accompany a large-scale patient-centric focus. </w:t>
      </w:r>
    </w:p>
    <w:p w14:paraId="0AB2B2D2" w14:textId="77777777" w:rsidR="00BA206C" w:rsidRPr="00B14C4D" w:rsidRDefault="00BA206C" w:rsidP="0095444A">
      <w:pPr>
        <w:spacing w:after="0"/>
        <w:rPr>
          <w:rFonts w:asciiTheme="minorHAnsi" w:eastAsia="Times New Roman" w:hAnsiTheme="minorHAnsi" w:cstheme="minorHAnsi"/>
          <w:u w:val="single"/>
        </w:rPr>
      </w:pPr>
    </w:p>
    <w:p w14:paraId="0482CE47" w14:textId="77777777" w:rsidR="00BA206C" w:rsidRPr="00B14C4D" w:rsidRDefault="00BA206C" w:rsidP="0095444A">
      <w:pPr>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u w:val="single"/>
        </w:rPr>
        <w:t>The data-quality risk mitigation methodology</w:t>
      </w:r>
      <w:r w:rsidRPr="00B14C4D">
        <w:rPr>
          <w:rFonts w:asciiTheme="minorHAnsi" w:eastAsia="Times New Roman" w:hAnsiTheme="minorHAnsi" w:cstheme="minorHAnsi"/>
        </w:rPr>
        <w:t xml:space="preserve"> uses the USCDI-FHIM-HL7-HSPC-MITRE technologies and tools. These projects separate structure and semantic concerns making complex risks more manageable. The pre/post coordination mapping conundrum is addressed by a use-case specific constrained FHIM domain models into CIMI Detailed Clinical Models (</w:t>
      </w:r>
      <w:r w:rsidRPr="00B14C4D">
        <w:rPr>
          <w:rFonts w:asciiTheme="minorHAnsi" w:eastAsia="Times New Roman" w:hAnsiTheme="minorHAnsi" w:cstheme="minorHAnsi"/>
          <w:b/>
        </w:rPr>
        <w:t>DCM</w:t>
      </w:r>
      <w:r w:rsidRPr="00B14C4D">
        <w:rPr>
          <w:rFonts w:asciiTheme="minorHAnsi" w:eastAsia="Times New Roman" w:hAnsiTheme="minorHAnsi" w:cstheme="minorHAnsi"/>
        </w:rPr>
        <w:t>s) harmonized across-and-within SOLOR controlled vocabularies (CVs) and code sets; where, a DCM associates a SOLOR model-of-meaning using the SNOMED observation model, which then associates a DCM Finding, Order, Procedure, etc. with its context. Seamless Model-driven Development (</w:t>
      </w:r>
      <w:r w:rsidRPr="00B14C4D">
        <w:rPr>
          <w:rFonts w:asciiTheme="minorHAnsi" w:eastAsia="Times New Roman" w:hAnsiTheme="minorHAnsi" w:cstheme="minorHAnsi"/>
          <w:b/>
        </w:rPr>
        <w:t>MDD</w:t>
      </w:r>
      <w:r w:rsidRPr="00B14C4D">
        <w:rPr>
          <w:rFonts w:asciiTheme="minorHAnsi" w:eastAsia="Times New Roman" w:hAnsiTheme="minorHAnsi" w:cstheme="minorHAnsi"/>
        </w:rPr>
        <w:t xml:space="preserve">) tools, such as FHA SIGG and MITRE SHR make the methodology efficient-and-effective. </w:t>
      </w:r>
    </w:p>
    <w:p w14:paraId="29301ECF" w14:textId="77777777" w:rsidR="00BA206C" w:rsidRPr="00B14C4D" w:rsidRDefault="00BA206C" w:rsidP="0095444A">
      <w:pPr>
        <w:spacing w:after="0" w:line="276" w:lineRule="auto"/>
        <w:ind w:left="1152" w:hanging="1152"/>
        <w:rPr>
          <w:rFonts w:asciiTheme="minorHAnsi" w:hAnsiTheme="minorHAnsi" w:cstheme="minorHAnsi"/>
          <w:b/>
          <w:sz w:val="28"/>
        </w:rPr>
      </w:pPr>
    </w:p>
    <w:p w14:paraId="361ABAB3" w14:textId="3A5BB662" w:rsidR="00BA206C" w:rsidRPr="00B14C4D" w:rsidRDefault="002D0E07" w:rsidP="00AB5780">
      <w:pPr>
        <w:spacing w:after="0" w:line="276" w:lineRule="auto"/>
        <w:ind w:left="720" w:hanging="720"/>
        <w:rPr>
          <w:rFonts w:asciiTheme="minorHAnsi" w:hAnsiTheme="minorHAnsi" w:cstheme="minorHAnsi"/>
        </w:rPr>
      </w:pPr>
      <w:r w:rsidRPr="00B14C4D">
        <w:rPr>
          <w:rFonts w:asciiTheme="minorHAnsi" w:hAnsiTheme="minorHAnsi" w:cstheme="minorHAnsi"/>
          <w:noProof/>
        </w:rPr>
        <w:drawing>
          <wp:inline distT="0" distB="0" distL="0" distR="0" wp14:anchorId="401B84A6" wp14:editId="3700F249">
            <wp:extent cx="6853555" cy="281495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3555" cy="2814955"/>
                    </a:xfrm>
                    <a:prstGeom prst="rect">
                      <a:avLst/>
                    </a:prstGeom>
                    <a:noFill/>
                    <a:ln>
                      <a:noFill/>
                    </a:ln>
                  </pic:spPr>
                </pic:pic>
              </a:graphicData>
            </a:graphic>
          </wp:inline>
        </w:drawing>
      </w:r>
    </w:p>
    <w:p w14:paraId="3A793427" w14:textId="07202CF1" w:rsidR="00BA206C" w:rsidRPr="00B14C4D" w:rsidRDefault="00BA206C" w:rsidP="0095444A">
      <w:pPr>
        <w:pStyle w:val="Caption"/>
        <w:spacing w:after="0"/>
        <w:jc w:val="center"/>
        <w:rPr>
          <w:rFonts w:asciiTheme="minorHAnsi" w:eastAsia="Times New Roman" w:hAnsiTheme="minorHAnsi" w:cstheme="minorHAnsi"/>
          <w:b/>
          <w:color w:val="000000"/>
          <w:sz w:val="22"/>
          <w:u w:val="single"/>
        </w:rPr>
      </w:pPr>
      <w:r w:rsidRPr="00B14C4D">
        <w:rPr>
          <w:rFonts w:asciiTheme="minorHAnsi" w:hAnsiTheme="minorHAnsi" w:cstheme="minorHAnsi"/>
          <w:b/>
          <w:color w:val="000000"/>
          <w:sz w:val="22"/>
        </w:rPr>
        <w:t xml:space="preserve">Figure </w:t>
      </w:r>
      <w:r w:rsidRPr="00B14C4D">
        <w:rPr>
          <w:rFonts w:asciiTheme="minorHAnsi" w:hAnsiTheme="minorHAnsi" w:cstheme="minorHAnsi"/>
          <w:b/>
          <w:color w:val="000000"/>
          <w:sz w:val="22"/>
        </w:rPr>
        <w:fldChar w:fldCharType="begin"/>
      </w:r>
      <w:r w:rsidRPr="00B14C4D">
        <w:rPr>
          <w:rFonts w:asciiTheme="minorHAnsi" w:hAnsiTheme="minorHAnsi" w:cstheme="minorHAnsi"/>
          <w:b/>
          <w:color w:val="000000"/>
          <w:sz w:val="22"/>
        </w:rPr>
        <w:instrText xml:space="preserve"> SEQ Figure \* ARABIC </w:instrText>
      </w:r>
      <w:r w:rsidRPr="00B14C4D">
        <w:rPr>
          <w:rFonts w:asciiTheme="minorHAnsi" w:hAnsiTheme="minorHAnsi" w:cstheme="minorHAnsi"/>
          <w:b/>
          <w:color w:val="000000"/>
          <w:sz w:val="22"/>
        </w:rPr>
        <w:fldChar w:fldCharType="separate"/>
      </w:r>
      <w:r w:rsidR="00B14C4D" w:rsidRPr="00B14C4D">
        <w:rPr>
          <w:rFonts w:asciiTheme="minorHAnsi" w:hAnsiTheme="minorHAnsi" w:cstheme="minorHAnsi"/>
          <w:b/>
          <w:noProof/>
          <w:color w:val="000000"/>
          <w:sz w:val="22"/>
        </w:rPr>
        <w:t>8</w:t>
      </w:r>
      <w:r w:rsidRPr="00B14C4D">
        <w:rPr>
          <w:rFonts w:asciiTheme="minorHAnsi" w:hAnsiTheme="minorHAnsi" w:cstheme="minorHAnsi"/>
          <w:b/>
          <w:color w:val="000000"/>
          <w:sz w:val="22"/>
        </w:rPr>
        <w:fldChar w:fldCharType="end"/>
      </w:r>
      <w:r w:rsidRPr="00B14C4D">
        <w:rPr>
          <w:rFonts w:asciiTheme="minorHAnsi" w:hAnsiTheme="minorHAnsi" w:cstheme="minorHAnsi"/>
          <w:b/>
          <w:color w:val="000000"/>
          <w:sz w:val="22"/>
        </w:rPr>
        <w:t xml:space="preserve">: HL7-CIMI Data-Quality Risk Mitigation Methodology. </w:t>
      </w:r>
    </w:p>
    <w:p w14:paraId="4E61DFB2" w14:textId="77777777" w:rsidR="00095196" w:rsidRPr="00B14C4D" w:rsidRDefault="00095196" w:rsidP="0095444A">
      <w:pPr>
        <w:spacing w:after="0" w:line="276" w:lineRule="auto"/>
        <w:ind w:left="720" w:hanging="720"/>
        <w:jc w:val="both"/>
        <w:rPr>
          <w:rFonts w:asciiTheme="minorHAnsi" w:eastAsia="Times New Roman" w:hAnsiTheme="minorHAnsi" w:cstheme="minorHAnsi"/>
        </w:rPr>
      </w:pPr>
    </w:p>
    <w:p w14:paraId="56D28ED0" w14:textId="3299B92E" w:rsidR="00BA206C" w:rsidRPr="00B14C4D" w:rsidRDefault="00BA206C" w:rsidP="0095444A">
      <w:pPr>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rPr>
        <w:t xml:space="preserve">ONC TEFCA and NIST CSF provide a trusted smart healthcare environment; where, Health care organizations extend their focus to customer-centered relationship to more effectively serve, communicate with, and maintain patient value (safety, care, cost). A successful transition to value-based care requires that market players and consumers move beyond transaction-based treatment to the holistic health of populations; from treatment to prevention/wellness; and from individual to population health. Health care providers can also look at deploying innovative care delivery models based on data and analytics. Ever-evolving policies, processes, and capabilities and the given magnitude and complexity impacting the healthcare landscape, smart health care is not going to come easy and benefits from agile model-driven development. health IT encoding-layer's normalization with fully-qualified USCDI-FHIM-CIMI logical design-specification structural-models resulting in clear, complete, concise, correct and consistent operational EDXL, FHIR, C-CDA, IEPD APIs and components. SOLOR models-of-meaning empower data-sharing empowering </w:t>
      </w:r>
      <w:r w:rsidRPr="00B14C4D">
        <w:rPr>
          <w:rFonts w:asciiTheme="minorHAnsi" w:eastAsia="Times New Roman" w:hAnsiTheme="minorHAnsi" w:cstheme="minorHAnsi"/>
        </w:rPr>
        <w:lastRenderedPageBreak/>
        <w:t>population-analytics and decision-support reasoning, which can positively impact patient safety and quality of care while reducing costs, as notionally shown below.</w:t>
      </w:r>
    </w:p>
    <w:p w14:paraId="66BDA8D0" w14:textId="77777777" w:rsidR="00BA206C" w:rsidRPr="00B14C4D" w:rsidRDefault="00BA206C" w:rsidP="0095444A">
      <w:pPr>
        <w:spacing w:after="0" w:line="276" w:lineRule="auto"/>
        <w:ind w:left="720" w:hanging="720"/>
        <w:jc w:val="both"/>
        <w:rPr>
          <w:rFonts w:asciiTheme="minorHAnsi" w:eastAsia="Times New Roman" w:hAnsiTheme="minorHAnsi" w:cstheme="minorHAnsi"/>
        </w:rPr>
      </w:pPr>
    </w:p>
    <w:p w14:paraId="150218F2" w14:textId="77777777" w:rsidR="00BA206C" w:rsidRPr="00B14C4D" w:rsidRDefault="00BA206C" w:rsidP="0095444A">
      <w:pPr>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rPr>
        <w:t xml:space="preserve">The </w:t>
      </w:r>
      <w:r w:rsidRPr="00B14C4D">
        <w:rPr>
          <w:rFonts w:asciiTheme="minorHAnsi" w:eastAsia="Times New Roman" w:hAnsiTheme="minorHAnsi" w:cstheme="minorHAnsi"/>
          <w:i/>
          <w:iCs/>
          <w:u w:val="single"/>
        </w:rPr>
        <w:t>benefit</w:t>
      </w:r>
      <w:r w:rsidRPr="00B14C4D">
        <w:rPr>
          <w:rFonts w:asciiTheme="minorHAnsi" w:eastAsia="Times New Roman" w:hAnsiTheme="minorHAnsi" w:cstheme="minorHAnsi"/>
        </w:rPr>
        <w:t xml:space="preserve"> of standard USCDI-FHIM-CIMI Reference Data-and-Models for consistent Detailed Clinical Model (</w:t>
      </w:r>
      <w:r w:rsidRPr="00B14C4D">
        <w:rPr>
          <w:rFonts w:asciiTheme="minorHAnsi" w:eastAsia="Times New Roman" w:hAnsiTheme="minorHAnsi" w:cstheme="minorHAnsi"/>
          <w:b/>
          <w:bCs/>
        </w:rPr>
        <w:t>DCM</w:t>
      </w:r>
      <w:r w:rsidRPr="00B14C4D">
        <w:rPr>
          <w:rFonts w:asciiTheme="minorHAnsi" w:eastAsia="Times New Roman" w:hAnsiTheme="minorHAnsi" w:cstheme="minorHAnsi"/>
        </w:rPr>
        <w:t xml:space="preserve">) constrained-specifications for EDXL, FHIR, CDA and IEPD is an Architectural Framework for computable semantic-interoperability across time, locations, systems and care contexts. Seamless tools can result in efficient-and-effective federated mission-essential re-usable “stack” of standardized and widely implemented HSPC APIs, “SMART” components and test fixtures using SOLOR controlled terminologies. </w:t>
      </w:r>
    </w:p>
    <w:p w14:paraId="0C83A62D" w14:textId="77777777" w:rsidR="00BA206C" w:rsidRPr="00B14C4D" w:rsidRDefault="00BA206C" w:rsidP="00ED1A5D">
      <w:pPr>
        <w:numPr>
          <w:ilvl w:val="0"/>
          <w:numId w:val="13"/>
        </w:numPr>
        <w:spacing w:after="0" w:line="276" w:lineRule="auto"/>
        <w:jc w:val="both"/>
        <w:rPr>
          <w:rFonts w:asciiTheme="minorHAnsi" w:eastAsia="Times New Roman" w:hAnsiTheme="minorHAnsi" w:cstheme="minorHAnsi"/>
        </w:rPr>
      </w:pPr>
      <w:r w:rsidRPr="00B14C4D">
        <w:rPr>
          <w:rFonts w:asciiTheme="minorHAnsi" w:eastAsia="Times New Roman" w:hAnsiTheme="minorHAnsi" w:cstheme="minorHAnsi"/>
        </w:rPr>
        <w:t xml:space="preserve">collection, extraction-transformation-load, communication, aggregation and interpretation of patient data to accelerate secondary uses in public health, disease surveillance, metrics, and patient-centered outcomes research. </w:t>
      </w:r>
    </w:p>
    <w:p w14:paraId="318AD0E9" w14:textId="77777777" w:rsidR="00BA206C" w:rsidRPr="00B14C4D" w:rsidRDefault="00BA206C" w:rsidP="00ED1A5D">
      <w:pPr>
        <w:numPr>
          <w:ilvl w:val="0"/>
          <w:numId w:val="13"/>
        </w:numPr>
        <w:spacing w:after="0" w:line="276" w:lineRule="auto"/>
        <w:jc w:val="both"/>
        <w:rPr>
          <w:rFonts w:asciiTheme="minorHAnsi" w:eastAsia="Times New Roman" w:hAnsiTheme="minorHAnsi" w:cstheme="minorHAnsi"/>
        </w:rPr>
      </w:pPr>
      <w:r w:rsidRPr="00B14C4D">
        <w:rPr>
          <w:rFonts w:asciiTheme="minorHAnsi" w:eastAsia="Times New Roman" w:hAnsiTheme="minorHAnsi" w:cstheme="minorHAnsi"/>
        </w:rPr>
        <w:t xml:space="preserve">health-related services including telecare, clinical decision support, research, and quality measurement, improving healthcare access, quality, and uniformity. </w:t>
      </w:r>
    </w:p>
    <w:p w14:paraId="357D35D7" w14:textId="77777777" w:rsidR="00BA206C" w:rsidRPr="00B14C4D" w:rsidRDefault="00BA206C" w:rsidP="00ED1A5D">
      <w:pPr>
        <w:numPr>
          <w:ilvl w:val="0"/>
          <w:numId w:val="13"/>
        </w:numPr>
        <w:spacing w:after="0" w:line="276" w:lineRule="auto"/>
        <w:jc w:val="both"/>
        <w:rPr>
          <w:rFonts w:asciiTheme="minorHAnsi" w:eastAsia="Times New Roman" w:hAnsiTheme="minorHAnsi" w:cstheme="minorHAnsi"/>
        </w:rPr>
      </w:pPr>
      <w:r w:rsidRPr="00B14C4D">
        <w:rPr>
          <w:rFonts w:asciiTheme="minorHAnsi" w:eastAsia="Times New Roman" w:hAnsiTheme="minorHAnsi" w:cstheme="minorHAnsi"/>
        </w:rPr>
        <w:t>Major patient, clinician, and public benefits from improved care coordination, reduction of medical errors, and decreased costs resulting in healthier lives.</w:t>
      </w:r>
    </w:p>
    <w:p w14:paraId="6412DBD1" w14:textId="304BF295" w:rsidR="00A34E3D" w:rsidRPr="00B14C4D" w:rsidRDefault="00BA206C" w:rsidP="0095444A">
      <w:pPr>
        <w:tabs>
          <w:tab w:val="left" w:pos="7559"/>
        </w:tabs>
        <w:spacing w:after="0" w:line="276" w:lineRule="auto"/>
        <w:ind w:left="720" w:hanging="720"/>
        <w:jc w:val="both"/>
        <w:rPr>
          <w:rFonts w:asciiTheme="minorHAnsi" w:eastAsia="Times New Roman" w:hAnsiTheme="minorHAnsi" w:cstheme="minorHAnsi"/>
        </w:rPr>
      </w:pPr>
      <w:r w:rsidRPr="00B14C4D">
        <w:rPr>
          <w:rFonts w:asciiTheme="minorHAnsi" w:eastAsia="Times New Roman" w:hAnsiTheme="minorHAnsi" w:cstheme="minorHAnsi"/>
        </w:rPr>
        <w:tab/>
      </w:r>
      <w:r w:rsidRPr="00B14C4D">
        <w:rPr>
          <w:rFonts w:asciiTheme="minorHAnsi" w:eastAsia="Times New Roman" w:hAnsiTheme="minorHAnsi" w:cstheme="minorHAnsi"/>
        </w:rPr>
        <w:tab/>
      </w:r>
    </w:p>
    <w:p w14:paraId="3542E462" w14:textId="6579C357" w:rsidR="00A34E3D" w:rsidRPr="00B14C4D" w:rsidRDefault="00A34E3D" w:rsidP="0095444A">
      <w:pPr>
        <w:keepNext/>
        <w:spacing w:after="0" w:line="276" w:lineRule="auto"/>
        <w:ind w:left="1152" w:hanging="1152"/>
        <w:rPr>
          <w:rFonts w:asciiTheme="minorHAnsi" w:hAnsiTheme="minorHAnsi" w:cstheme="minorHAnsi"/>
          <w:b/>
          <w:color w:val="0000CC"/>
          <w:sz w:val="28"/>
        </w:rPr>
      </w:pPr>
      <w:r w:rsidRPr="00B14C4D">
        <w:rPr>
          <w:rFonts w:asciiTheme="minorHAnsi" w:hAnsiTheme="minorHAnsi" w:cstheme="minorHAnsi"/>
          <w:b/>
          <w:color w:val="0000CC"/>
          <w:sz w:val="28"/>
        </w:rPr>
        <w:t>Summary</w:t>
      </w:r>
    </w:p>
    <w:p w14:paraId="2713F117" w14:textId="77777777" w:rsidR="00E246BA" w:rsidRPr="00B14C4D" w:rsidRDefault="00E246BA" w:rsidP="000C0FBC">
      <w:pPr>
        <w:pStyle w:val="ListParagraph"/>
        <w:numPr>
          <w:ilvl w:val="0"/>
          <w:numId w:val="16"/>
        </w:numPr>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u w:val="single"/>
        </w:rPr>
        <w:t>Goal</w:t>
      </w:r>
      <w:r w:rsidRPr="00B14C4D">
        <w:rPr>
          <w:rFonts w:asciiTheme="minorHAnsi" w:eastAsia="Times New Roman" w:hAnsiTheme="minorHAnsi" w:cstheme="minorHAnsi"/>
          <w:u w:val="single"/>
        </w:rPr>
        <w:t>: Computable-interoperability</w:t>
      </w:r>
      <w:r w:rsidRPr="00B14C4D">
        <w:rPr>
          <w:rFonts w:asciiTheme="minorHAnsi" w:eastAsia="Times New Roman" w:hAnsiTheme="minorHAnsi" w:cstheme="minorHAnsi"/>
        </w:rPr>
        <w:t xml:space="preserve"> among ad-hoc partners using heterogeneous systems</w:t>
      </w:r>
    </w:p>
    <w:p w14:paraId="4314B561"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 xml:space="preserve">Consistent US Realm/Core structure specification and terminology value sets for </w:t>
      </w:r>
    </w:p>
    <w:p w14:paraId="0C7F22A8"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V2 messages</w:t>
      </w:r>
    </w:p>
    <w:p w14:paraId="04614766"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C-CDA templates </w:t>
      </w:r>
    </w:p>
    <w:p w14:paraId="22FCC8A8"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FHIR profiles and extensions </w:t>
      </w:r>
    </w:p>
    <w:p w14:paraId="56AA9C23"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Information Exchange Package Documents (IEPDs) </w:t>
      </w:r>
    </w:p>
    <w:p w14:paraId="6A34D303"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Reference (Implementation Guides, APIs, implementation components) </w:t>
      </w:r>
    </w:p>
    <w:p w14:paraId="0790144D"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“Dummies Guide” for clinical users, analysts, architects, engineers and implementers. </w:t>
      </w:r>
    </w:p>
    <w:p w14:paraId="3D678B44" w14:textId="4E28901A" w:rsidR="00E246BA" w:rsidRPr="00B14C4D" w:rsidRDefault="00CC1B31" w:rsidP="000C0FBC">
      <w:pPr>
        <w:pStyle w:val="ListParagraph"/>
        <w:numPr>
          <w:ilvl w:val="0"/>
          <w:numId w:val="16"/>
        </w:numPr>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u w:val="single"/>
        </w:rPr>
        <w:t>Data-Quality Requirement</w:t>
      </w:r>
      <w:r w:rsidR="00E246BA" w:rsidRPr="00B14C4D">
        <w:rPr>
          <w:rFonts w:asciiTheme="minorHAnsi" w:eastAsia="Times New Roman" w:hAnsiTheme="minorHAnsi" w:cstheme="minorHAnsi"/>
          <w:b/>
          <w:bCs/>
          <w:u w:val="single"/>
        </w:rPr>
        <w:t xml:space="preserve"> 1</w:t>
      </w:r>
      <w:r w:rsidR="00E246BA" w:rsidRPr="00B14C4D">
        <w:rPr>
          <w:rFonts w:asciiTheme="minorHAnsi" w:eastAsia="Times New Roman" w:hAnsiTheme="minorHAnsi" w:cstheme="minorHAnsi"/>
          <w:u w:val="single"/>
        </w:rPr>
        <w:t>: Bi-directional mapping</w:t>
      </w:r>
      <w:r w:rsidR="00E246BA" w:rsidRPr="00B14C4D">
        <w:rPr>
          <w:rFonts w:asciiTheme="minorHAnsi" w:eastAsia="Times New Roman" w:hAnsiTheme="minorHAnsi" w:cstheme="minorHAnsi"/>
        </w:rPr>
        <w:t xml:space="preserve">, without losing information, between </w:t>
      </w:r>
    </w:p>
    <w:p w14:paraId="48567982"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 xml:space="preserve">EHR data-entry, reporting and viewing pre-coordinated form to </w:t>
      </w:r>
    </w:p>
    <w:p w14:paraId="388046D8"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 xml:space="preserve">EDW analytic-normalized post-coordinated form for population healthcare and CDS reasoning.  </w:t>
      </w:r>
    </w:p>
    <w:p w14:paraId="2C2AA569" w14:textId="4D1F6A4A" w:rsidR="00E246BA" w:rsidRPr="00B14C4D" w:rsidRDefault="00CC1B31" w:rsidP="000C0FBC">
      <w:pPr>
        <w:pStyle w:val="ListParagraph"/>
        <w:numPr>
          <w:ilvl w:val="0"/>
          <w:numId w:val="16"/>
        </w:numPr>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u w:val="single"/>
        </w:rPr>
        <w:t>Data-Quality Requirement</w:t>
      </w:r>
      <w:r w:rsidR="00E246BA" w:rsidRPr="00B14C4D">
        <w:rPr>
          <w:rFonts w:asciiTheme="minorHAnsi" w:eastAsia="Times New Roman" w:hAnsiTheme="minorHAnsi" w:cstheme="minorHAnsi"/>
          <w:b/>
          <w:bCs/>
          <w:u w:val="single"/>
        </w:rPr>
        <w:t xml:space="preserve"> 2</w:t>
      </w:r>
      <w:r w:rsidR="00E246BA" w:rsidRPr="00B14C4D">
        <w:rPr>
          <w:rFonts w:asciiTheme="minorHAnsi" w:eastAsia="Times New Roman" w:hAnsiTheme="minorHAnsi" w:cstheme="minorHAnsi"/>
          <w:u w:val="single"/>
        </w:rPr>
        <w:t>: Governed and versioned SNOMED CT extension</w:t>
      </w:r>
      <w:r w:rsidR="00E246BA" w:rsidRPr="00B14C4D">
        <w:rPr>
          <w:rFonts w:asciiTheme="minorHAnsi" w:eastAsia="Times New Roman" w:hAnsiTheme="minorHAnsi" w:cstheme="minorHAnsi"/>
        </w:rPr>
        <w:t xml:space="preserve"> for LOINC and </w:t>
      </w:r>
      <w:proofErr w:type="spellStart"/>
      <w:r w:rsidR="00E246BA" w:rsidRPr="00B14C4D">
        <w:rPr>
          <w:rFonts w:asciiTheme="minorHAnsi" w:eastAsia="Times New Roman" w:hAnsiTheme="minorHAnsi" w:cstheme="minorHAnsi"/>
        </w:rPr>
        <w:t>RxNorm</w:t>
      </w:r>
      <w:proofErr w:type="spellEnd"/>
      <w:r w:rsidR="00E246BA" w:rsidRPr="00B14C4D">
        <w:rPr>
          <w:rFonts w:asciiTheme="minorHAnsi" w:eastAsia="Times New Roman" w:hAnsiTheme="minorHAnsi" w:cstheme="minorHAnsi"/>
        </w:rPr>
        <w:t xml:space="preserve"> </w:t>
      </w:r>
    </w:p>
    <w:p w14:paraId="7B1877EB"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 xml:space="preserve">using Model Driven Development (MDD) Tools, including </w:t>
      </w:r>
    </w:p>
    <w:p w14:paraId="74BD7D36"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USCDI-FHIM harmonized domain-models, creating</w:t>
      </w:r>
    </w:p>
    <w:p w14:paraId="247970C9"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 xml:space="preserve">Freely available context-specific Detailed Clinical Models / Clinical Statements </w:t>
      </w:r>
    </w:p>
    <w:p w14:paraId="61E8A5B6"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Context-specific pre-post coordinated form DCM templates bound to </w:t>
      </w:r>
    </w:p>
    <w:p w14:paraId="352A1707" w14:textId="77777777" w:rsidR="00E246BA" w:rsidRPr="00B14C4D" w:rsidRDefault="00E246BA" w:rsidP="000C0FBC">
      <w:pPr>
        <w:numPr>
          <w:ilvl w:val="1"/>
          <w:numId w:val="16"/>
        </w:numPr>
        <w:tabs>
          <w:tab w:val="clear" w:pos="1440"/>
          <w:tab w:val="num" w:pos="900"/>
        </w:tabs>
        <w:spacing w:after="0" w:line="276" w:lineRule="auto"/>
        <w:ind w:hanging="720"/>
        <w:rPr>
          <w:rFonts w:asciiTheme="minorHAnsi" w:eastAsia="Times New Roman" w:hAnsiTheme="minorHAnsi" w:cstheme="minorHAnsi"/>
        </w:rPr>
      </w:pPr>
      <w:r w:rsidRPr="00B14C4D">
        <w:rPr>
          <w:rFonts w:asciiTheme="minorHAnsi" w:eastAsia="Times New Roman" w:hAnsiTheme="minorHAnsi" w:cstheme="minorHAnsi"/>
        </w:rPr>
        <w:t>Freely available terminology value sets</w:t>
      </w:r>
    </w:p>
    <w:p w14:paraId="2AC22E34"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for HIEs, venders, </w:t>
      </w:r>
    </w:p>
    <w:p w14:paraId="76733F61" w14:textId="77777777" w:rsidR="00E246BA" w:rsidRPr="00B14C4D" w:rsidRDefault="00E246BA" w:rsidP="000C0FBC">
      <w:pPr>
        <w:numPr>
          <w:ilvl w:val="2"/>
          <w:numId w:val="30"/>
        </w:numPr>
        <w:tabs>
          <w:tab w:val="clear" w:pos="2160"/>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healthcare-partners</w:t>
      </w:r>
    </w:p>
    <w:p w14:paraId="685D0197" w14:textId="7CE92976" w:rsidR="00B956AE" w:rsidRPr="00B14C4D" w:rsidRDefault="008100DC"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rPr>
        <w:t>Challenge</w:t>
      </w:r>
      <w:r w:rsidR="00B83D77" w:rsidRPr="00B14C4D">
        <w:rPr>
          <w:rFonts w:asciiTheme="minorHAnsi" w:eastAsia="Times New Roman" w:hAnsiTheme="minorHAnsi" w:cstheme="minorHAnsi"/>
        </w:rPr>
        <w:t xml:space="preserve">: </w:t>
      </w:r>
      <w:r w:rsidR="00B956AE" w:rsidRPr="00B14C4D">
        <w:rPr>
          <w:rFonts w:asciiTheme="minorHAnsi" w:eastAsia="Times New Roman" w:hAnsiTheme="minorHAnsi" w:cstheme="minorHAnsi"/>
        </w:rPr>
        <w:t>Data quality solutions that are both optimized for clinician</w:t>
      </w:r>
      <w:r w:rsidR="0069008E" w:rsidRPr="00B14C4D">
        <w:rPr>
          <w:rFonts w:asciiTheme="minorHAnsi" w:eastAsia="Times New Roman" w:hAnsiTheme="minorHAnsi" w:cstheme="minorHAnsi"/>
        </w:rPr>
        <w:t xml:space="preserve"> pre-coordinated </w:t>
      </w:r>
      <w:r w:rsidR="00B956AE" w:rsidRPr="00B14C4D">
        <w:rPr>
          <w:rFonts w:asciiTheme="minorHAnsi" w:eastAsia="Times New Roman" w:hAnsiTheme="minorHAnsi" w:cstheme="minorHAnsi"/>
        </w:rPr>
        <w:t>data entry</w:t>
      </w:r>
      <w:r w:rsidR="0069008E" w:rsidRPr="00B14C4D">
        <w:rPr>
          <w:rFonts w:asciiTheme="minorHAnsi" w:eastAsia="Times New Roman" w:hAnsiTheme="minorHAnsi" w:cstheme="minorHAnsi"/>
        </w:rPr>
        <w:t xml:space="preserve"> form</w:t>
      </w:r>
      <w:r w:rsidR="00B956AE" w:rsidRPr="00B14C4D">
        <w:rPr>
          <w:rFonts w:asciiTheme="minorHAnsi" w:eastAsia="Times New Roman" w:hAnsiTheme="minorHAnsi" w:cstheme="minorHAnsi"/>
        </w:rPr>
        <w:t xml:space="preserve"> require bi-directional </w:t>
      </w:r>
      <w:r w:rsidR="00FD1B86" w:rsidRPr="00B14C4D">
        <w:rPr>
          <w:rFonts w:asciiTheme="minorHAnsi" w:eastAsia="Times New Roman" w:hAnsiTheme="minorHAnsi" w:cstheme="minorHAnsi"/>
        </w:rPr>
        <w:t xml:space="preserve">mapping, without loss of </w:t>
      </w:r>
      <w:r w:rsidR="0095548F" w:rsidRPr="00B14C4D">
        <w:rPr>
          <w:rFonts w:asciiTheme="minorHAnsi" w:eastAsia="Times New Roman" w:hAnsiTheme="minorHAnsi" w:cstheme="minorHAnsi"/>
        </w:rPr>
        <w:t>information</w:t>
      </w:r>
      <w:r w:rsidR="00171D11" w:rsidRPr="00B14C4D">
        <w:rPr>
          <w:rFonts w:asciiTheme="minorHAnsi" w:eastAsia="Times New Roman" w:hAnsiTheme="minorHAnsi" w:cstheme="minorHAnsi"/>
        </w:rPr>
        <w:t xml:space="preserve">. </w:t>
      </w:r>
      <w:r w:rsidR="0095548F" w:rsidRPr="00B14C4D">
        <w:rPr>
          <w:rFonts w:asciiTheme="minorHAnsi" w:eastAsia="Times New Roman" w:hAnsiTheme="minorHAnsi" w:cstheme="minorHAnsi"/>
        </w:rPr>
        <w:t xml:space="preserve"> to</w:t>
      </w:r>
      <w:r w:rsidR="00B956AE" w:rsidRPr="00B14C4D">
        <w:rPr>
          <w:rFonts w:asciiTheme="minorHAnsi" w:eastAsia="Times New Roman" w:hAnsiTheme="minorHAnsi" w:cstheme="minorHAnsi"/>
        </w:rPr>
        <w:t xml:space="preserve"> normalized analytic post-coordinated form; where </w:t>
      </w:r>
      <w:r w:rsidR="0069008E" w:rsidRPr="00B14C4D">
        <w:rPr>
          <w:rFonts w:asciiTheme="minorHAnsi" w:eastAsia="Times New Roman" w:hAnsiTheme="minorHAnsi" w:cstheme="minorHAnsi"/>
        </w:rPr>
        <w:t>clinical findings</w:t>
      </w:r>
      <w:r w:rsidR="00B956AE" w:rsidRPr="00B14C4D">
        <w:rPr>
          <w:rFonts w:asciiTheme="minorHAnsi" w:eastAsia="Times New Roman" w:hAnsiTheme="minorHAnsi" w:cstheme="minorHAnsi"/>
        </w:rPr>
        <w:t xml:space="preserve"> have associated-context, which can be multi-faceted, including workflow, provenance and intended use.</w:t>
      </w:r>
    </w:p>
    <w:p w14:paraId="6240472F" w14:textId="22AB90C8" w:rsidR="00A26AB4" w:rsidRPr="00B14C4D" w:rsidRDefault="00533EAE"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EHR-EDW Requirements:</w:t>
      </w:r>
      <w:r w:rsidRPr="00B14C4D">
        <w:rPr>
          <w:rFonts w:asciiTheme="minorHAnsi" w:eastAsia="Times New Roman" w:hAnsiTheme="minorHAnsi" w:cstheme="minorHAnsi"/>
        </w:rPr>
        <w:t xml:space="preserve"> clear, complete, concise, correct and consistent data, which is traceable.</w:t>
      </w:r>
    </w:p>
    <w:p w14:paraId="56F7D022"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lastRenderedPageBreak/>
        <w:t>Data entry and billing EHR, legacy data, ancillary systems and partner systems feeding Data analytics EDW</w:t>
      </w:r>
    </w:p>
    <w:p w14:paraId="7BF87E11"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Monthly reports; where, EDW queries/analytics can be optimized for canned data-entry viewing and reporting. </w:t>
      </w:r>
    </w:p>
    <w:p w14:paraId="07094A97"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Timely surveillance data-feeds satisfied by a speedy EHR ETL to EDW process, which includes on-the fly data cleansing and bi-directional data entry form to data analytic form mapping, without loss of information. </w:t>
      </w:r>
    </w:p>
    <w:p w14:paraId="0A7F3270"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Point-of-care information, population-based knowledge-analytics and CDS-reasoning. </w:t>
      </w:r>
    </w:p>
    <w:p w14:paraId="4CBEB346" w14:textId="77859CFB" w:rsidR="00A26AB4" w:rsidRPr="00B14C4D" w:rsidRDefault="00533EAE"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Emergency-Management Scenario/Use-case Scope</w:t>
      </w:r>
      <w:r w:rsidRPr="00B14C4D">
        <w:rPr>
          <w:rFonts w:asciiTheme="minorHAnsi" w:eastAsia="Times New Roman" w:hAnsiTheme="minorHAnsi" w:cstheme="minorHAnsi"/>
        </w:rPr>
        <w:t xml:space="preserve">: Wounded-Warrior and Natural-Disaster management patient-movement across a Continuum-of-Care Scenario and Healthcare IT use-case; where, Information must move with patients. </w:t>
      </w:r>
    </w:p>
    <w:p w14:paraId="4AF0744C" w14:textId="77777777" w:rsidR="00A26AB4" w:rsidRPr="00B14C4D" w:rsidRDefault="00533EAE"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New Emergency-Management Requirements</w:t>
      </w:r>
      <w:r w:rsidRPr="00B14C4D">
        <w:rPr>
          <w:rFonts w:asciiTheme="minorHAnsi" w:eastAsia="Times New Roman" w:hAnsiTheme="minorHAnsi" w:cstheme="minorHAnsi"/>
        </w:rPr>
        <w:t xml:space="preserve">: computable-interoperability amongst disparate partners collaborating with an ad-hoc set of heterogeneous systems, during a disaster response patient-movement episode across the continuum-of-care enabled by bi-directional, without loss of information ETL mapping using a SNOMED extension for </w:t>
      </w:r>
      <w:proofErr w:type="spellStart"/>
      <w:r w:rsidRPr="00B14C4D">
        <w:rPr>
          <w:rFonts w:asciiTheme="minorHAnsi" w:eastAsia="Times New Roman" w:hAnsiTheme="minorHAnsi" w:cstheme="minorHAnsi"/>
        </w:rPr>
        <w:t>RxNorm</w:t>
      </w:r>
      <w:proofErr w:type="spellEnd"/>
      <w:r w:rsidRPr="00B14C4D">
        <w:rPr>
          <w:rFonts w:asciiTheme="minorHAnsi" w:eastAsia="Times New Roman" w:hAnsiTheme="minorHAnsi" w:cstheme="minorHAnsi"/>
        </w:rPr>
        <w:t xml:space="preserve">. </w:t>
      </w:r>
    </w:p>
    <w:p w14:paraId="05AA68B8" w14:textId="701DBF96" w:rsidR="00A26AB4" w:rsidRPr="00B14C4D" w:rsidRDefault="00533EAE"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Issue</w:t>
      </w:r>
      <w:r w:rsidRPr="00B14C4D">
        <w:rPr>
          <w:rFonts w:asciiTheme="minorHAnsi" w:eastAsia="Times New Roman" w:hAnsiTheme="minorHAnsi" w:cstheme="minorHAnsi"/>
        </w:rPr>
        <w:t>: TEFCA-USCDI, E</w:t>
      </w:r>
      <w:r w:rsidR="00A32DBB" w:rsidRPr="00B14C4D">
        <w:rPr>
          <w:rFonts w:asciiTheme="minorHAnsi" w:eastAsia="Times New Roman" w:hAnsiTheme="minorHAnsi" w:cstheme="minorHAnsi"/>
        </w:rPr>
        <w:t>H</w:t>
      </w:r>
      <w:r w:rsidRPr="00B14C4D">
        <w:rPr>
          <w:rFonts w:asciiTheme="minorHAnsi" w:eastAsia="Times New Roman" w:hAnsiTheme="minorHAnsi" w:cstheme="minorHAnsi"/>
        </w:rPr>
        <w:t xml:space="preserve">R-EDW </w:t>
      </w:r>
      <w:r w:rsidR="00484145" w:rsidRPr="00B14C4D">
        <w:rPr>
          <w:rFonts w:asciiTheme="minorHAnsi" w:eastAsia="Times New Roman" w:hAnsiTheme="minorHAnsi" w:cstheme="minorHAnsi"/>
        </w:rPr>
        <w:t>m</w:t>
      </w:r>
      <w:r w:rsidRPr="00B14C4D">
        <w:rPr>
          <w:rFonts w:asciiTheme="minorHAnsi" w:eastAsia="Times New Roman" w:hAnsiTheme="minorHAnsi" w:cstheme="minorHAnsi"/>
        </w:rPr>
        <w:t>odernization data-</w:t>
      </w:r>
      <w:r w:rsidR="00484145" w:rsidRPr="00B14C4D">
        <w:rPr>
          <w:rFonts w:asciiTheme="minorHAnsi" w:eastAsia="Times New Roman" w:hAnsiTheme="minorHAnsi" w:cstheme="minorHAnsi"/>
        </w:rPr>
        <w:t>integrity</w:t>
      </w:r>
      <w:r w:rsidRPr="00B14C4D">
        <w:rPr>
          <w:rFonts w:asciiTheme="minorHAnsi" w:eastAsia="Times New Roman" w:hAnsiTheme="minorHAnsi" w:cstheme="minorHAnsi"/>
        </w:rPr>
        <w:t xml:space="preserve"> risk including legacy data and Health Information Exchange (</w:t>
      </w:r>
      <w:r w:rsidRPr="00B14C4D">
        <w:rPr>
          <w:rFonts w:asciiTheme="minorHAnsi" w:eastAsia="Times New Roman" w:hAnsiTheme="minorHAnsi" w:cstheme="minorHAnsi"/>
          <w:b/>
          <w:bCs/>
        </w:rPr>
        <w:t>HIE</w:t>
      </w:r>
      <w:r w:rsidRPr="00B14C4D">
        <w:rPr>
          <w:rFonts w:asciiTheme="minorHAnsi" w:eastAsia="Times New Roman" w:hAnsiTheme="minorHAnsi" w:cstheme="minorHAnsi"/>
        </w:rPr>
        <w:t>) partners, among Qualified QHINs and the Recognized Coordinating Entity (</w:t>
      </w:r>
      <w:r w:rsidRPr="00B14C4D">
        <w:rPr>
          <w:rFonts w:asciiTheme="minorHAnsi" w:eastAsia="Times New Roman" w:hAnsiTheme="minorHAnsi" w:cstheme="minorHAnsi"/>
          <w:b/>
          <w:bCs/>
        </w:rPr>
        <w:t>RCE</w:t>
      </w:r>
      <w:r w:rsidRPr="00B14C4D">
        <w:rPr>
          <w:rFonts w:asciiTheme="minorHAnsi" w:eastAsia="Times New Roman" w:hAnsiTheme="minorHAnsi" w:cstheme="minorHAnsi"/>
        </w:rPr>
        <w:t xml:space="preserve">) relationships. </w:t>
      </w:r>
    </w:p>
    <w:p w14:paraId="75801DE7"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due-to pre-coordinated data-representations for data entry, viewing, reporting and alerts </w:t>
      </w:r>
    </w:p>
    <w:p w14:paraId="4F08168F"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Inconsistently mapped-to post-coordinated data-representations for analytics, reasoning and vice-versa,</w:t>
      </w:r>
    </w:p>
    <w:p w14:paraId="04565EAB"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complicated by different granularities and ontologies within-and-across controlled vocabularies and code sets,</w:t>
      </w:r>
    </w:p>
    <w:p w14:paraId="007A7D1F" w14:textId="77777777" w:rsidR="00A26AB4" w:rsidRPr="00B14C4D" w:rsidRDefault="00533EAE" w:rsidP="000C0FBC">
      <w:pPr>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Approach</w:t>
      </w:r>
      <w:r w:rsidRPr="00B14C4D">
        <w:rPr>
          <w:rFonts w:asciiTheme="minorHAnsi" w:eastAsia="Times New Roman" w:hAnsiTheme="minorHAnsi" w:cstheme="minorHAnsi"/>
        </w:rPr>
        <w:t>: “</w:t>
      </w:r>
      <w:r w:rsidRPr="00B14C4D">
        <w:rPr>
          <w:rFonts w:asciiTheme="minorHAnsi" w:eastAsia="Times New Roman" w:hAnsiTheme="minorHAnsi" w:cstheme="minorHAnsi"/>
          <w:i/>
          <w:iCs/>
        </w:rPr>
        <w:t xml:space="preserve">fit for use” </w:t>
      </w:r>
      <w:r w:rsidRPr="00B14C4D">
        <w:rPr>
          <w:rFonts w:asciiTheme="minorHAnsi" w:eastAsia="Times New Roman" w:hAnsiTheme="minorHAnsi" w:cstheme="minorHAnsi"/>
        </w:rPr>
        <w:t xml:space="preserve">strategy enabling clinical analytics, reasoning and decision support. </w:t>
      </w:r>
    </w:p>
    <w:p w14:paraId="761ECE2C"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Pre-coordinated data entry for EHR entry and viewing is preferable; where, </w:t>
      </w:r>
    </w:p>
    <w:p w14:paraId="16D86BDE" w14:textId="77777777" w:rsidR="00A26AB4" w:rsidRPr="00B14C4D" w:rsidRDefault="00533EAE" w:rsidP="000C0FBC">
      <w:pPr>
        <w:numPr>
          <w:ilvl w:val="2"/>
          <w:numId w:val="16"/>
        </w:numPr>
        <w:tabs>
          <w:tab w:val="clear" w:pos="2160"/>
          <w:tab w:val="left" w:pos="8292"/>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 xml:space="preserve">Context meta-data collection/analysis/timeliness should be based on the intended use, e.g., </w:t>
      </w:r>
    </w:p>
    <w:p w14:paraId="07AEE8A9" w14:textId="77777777" w:rsidR="00A26AB4" w:rsidRPr="00B14C4D" w:rsidRDefault="00533EAE" w:rsidP="000C0FBC">
      <w:pPr>
        <w:numPr>
          <w:ilvl w:val="1"/>
          <w:numId w:val="25"/>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specific requirements use-cases, e.g., reporting, analytics, reasoning, decision support</w:t>
      </w:r>
    </w:p>
    <w:p w14:paraId="5C205A08" w14:textId="77777777" w:rsidR="00A26AB4" w:rsidRPr="00B14C4D" w:rsidRDefault="00533EAE" w:rsidP="000C0FBC">
      <w:pPr>
        <w:numPr>
          <w:ilvl w:val="1"/>
          <w:numId w:val="25"/>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specific implementation-specification Detailed Clinical Models (DCMs)</w:t>
      </w:r>
    </w:p>
    <w:p w14:paraId="602ADF6A" w14:textId="77777777"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 xml:space="preserve">Post-coordinated “canned” EDW analytics, viewing and reporting are preferable; where, </w:t>
      </w:r>
    </w:p>
    <w:p w14:paraId="67C9BEAC" w14:textId="77777777" w:rsidR="00A26AB4" w:rsidRPr="00B14C4D" w:rsidRDefault="00533EAE" w:rsidP="000C0FBC">
      <w:pPr>
        <w:numPr>
          <w:ilvl w:val="2"/>
          <w:numId w:val="16"/>
        </w:numPr>
        <w:tabs>
          <w:tab w:val="clear" w:pos="2160"/>
          <w:tab w:val="left" w:pos="8292"/>
        </w:tabs>
        <w:spacing w:after="0" w:line="276" w:lineRule="auto"/>
        <w:ind w:left="1170" w:hanging="270"/>
        <w:rPr>
          <w:rFonts w:asciiTheme="minorHAnsi" w:eastAsia="Times New Roman" w:hAnsiTheme="minorHAnsi" w:cstheme="minorHAnsi"/>
        </w:rPr>
      </w:pPr>
      <w:r w:rsidRPr="00B14C4D">
        <w:rPr>
          <w:rFonts w:asciiTheme="minorHAnsi" w:eastAsia="Times New Roman" w:hAnsiTheme="minorHAnsi" w:cstheme="minorHAnsi"/>
        </w:rPr>
        <w:t>EDW can be optimized for multiple pre-defined use-cases/schemas/queries, considering</w:t>
      </w:r>
    </w:p>
    <w:p w14:paraId="41A4AC2B" w14:textId="77777777" w:rsidR="00A26AB4" w:rsidRPr="00B14C4D" w:rsidRDefault="00533EAE" w:rsidP="000C0FBC">
      <w:pPr>
        <w:numPr>
          <w:ilvl w:val="1"/>
          <w:numId w:val="25"/>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Cost/quality of real-time transactional data vs. cost/quality of EDW canned views/reports.</w:t>
      </w:r>
    </w:p>
    <w:p w14:paraId="656DC5BC" w14:textId="77777777" w:rsidR="00A26AB4" w:rsidRPr="00B14C4D" w:rsidRDefault="00533EAE" w:rsidP="000C0FBC">
      <w:pPr>
        <w:numPr>
          <w:ilvl w:val="1"/>
          <w:numId w:val="25"/>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 xml:space="preserve">Outcomes measurements. </w:t>
      </w:r>
    </w:p>
    <w:p w14:paraId="3F47AE84" w14:textId="629C8F5E" w:rsidR="00A26AB4" w:rsidRPr="00B14C4D" w:rsidRDefault="00533EAE" w:rsidP="000C0FBC">
      <w:pPr>
        <w:numPr>
          <w:ilvl w:val="1"/>
          <w:numId w:val="16"/>
        </w:numPr>
        <w:tabs>
          <w:tab w:val="clear" w:pos="1440"/>
          <w:tab w:val="left" w:pos="8292"/>
        </w:tabs>
        <w:spacing w:after="0" w:line="276" w:lineRule="auto"/>
        <w:ind w:left="900" w:hanging="180"/>
        <w:rPr>
          <w:rFonts w:asciiTheme="minorHAnsi" w:eastAsia="Times New Roman" w:hAnsiTheme="minorHAnsi" w:cstheme="minorHAnsi"/>
        </w:rPr>
      </w:pPr>
      <w:r w:rsidRPr="00B14C4D">
        <w:rPr>
          <w:rFonts w:asciiTheme="minorHAnsi" w:eastAsia="Times New Roman" w:hAnsiTheme="minorHAnsi" w:cstheme="minorHAnsi"/>
        </w:rPr>
        <w:t>Post-coordinated point-of care analytics and clinical decision support reasoning within scope.</w:t>
      </w:r>
    </w:p>
    <w:p w14:paraId="378D1C3E" w14:textId="5EFC383E" w:rsidR="00A26AB4" w:rsidRPr="00B14C4D" w:rsidRDefault="00533EAE" w:rsidP="000C0FBC">
      <w:pPr>
        <w:numPr>
          <w:ilvl w:val="1"/>
          <w:numId w:val="24"/>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real-time ad-hoc post-coordinated transactional analytics and reasoning can be high risk/cost and</w:t>
      </w:r>
      <w:r w:rsidR="00465A8E" w:rsidRPr="00B14C4D">
        <w:rPr>
          <w:rFonts w:asciiTheme="minorHAnsi" w:eastAsia="Times New Roman" w:hAnsiTheme="minorHAnsi" w:cstheme="minorHAnsi"/>
        </w:rPr>
        <w:t xml:space="preserve"> </w:t>
      </w:r>
      <w:r w:rsidRPr="00B14C4D">
        <w:rPr>
          <w:rFonts w:asciiTheme="minorHAnsi" w:eastAsia="Times New Roman" w:hAnsiTheme="minorHAnsi" w:cstheme="minorHAnsi"/>
        </w:rPr>
        <w:t>must have a use-case with a significant return-on-investment.</w:t>
      </w:r>
    </w:p>
    <w:p w14:paraId="3B81468C" w14:textId="77777777" w:rsidR="00A26AB4" w:rsidRPr="00B14C4D" w:rsidRDefault="00533EAE" w:rsidP="000C0FBC">
      <w:pPr>
        <w:numPr>
          <w:ilvl w:val="1"/>
          <w:numId w:val="24"/>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rPr>
        <w:t>Point-of-care real-time lessons learned should influence “canned” EDW analytics over time</w:t>
      </w:r>
    </w:p>
    <w:p w14:paraId="3839762A" w14:textId="1053D1EA" w:rsidR="00431ACE" w:rsidRPr="00B14C4D" w:rsidRDefault="00533EAE" w:rsidP="000C0FBC">
      <w:pPr>
        <w:numPr>
          <w:ilvl w:val="0"/>
          <w:numId w:val="16"/>
        </w:numPr>
        <w:tabs>
          <w:tab w:val="left" w:pos="8292"/>
        </w:tabs>
        <w:spacing w:after="0" w:line="276" w:lineRule="auto"/>
        <w:rPr>
          <w:rFonts w:asciiTheme="minorHAnsi" w:eastAsia="Times New Roman" w:hAnsiTheme="minorHAnsi" w:cstheme="minorHAnsi"/>
          <w:bCs/>
        </w:rPr>
      </w:pPr>
      <w:r w:rsidRPr="00B14C4D">
        <w:rPr>
          <w:rFonts w:asciiTheme="minorHAnsi" w:eastAsia="Times New Roman" w:hAnsiTheme="minorHAnsi" w:cstheme="minorHAnsi"/>
          <w:b/>
          <w:bCs/>
        </w:rPr>
        <w:t>Recommendation</w:t>
      </w:r>
      <w:r w:rsidRPr="00B14C4D">
        <w:rPr>
          <w:rFonts w:asciiTheme="minorHAnsi" w:eastAsia="Times New Roman" w:hAnsiTheme="minorHAnsi" w:cstheme="minorHAnsi"/>
          <w:bCs/>
        </w:rPr>
        <w:t xml:space="preserve">: </w:t>
      </w:r>
      <w:r w:rsidR="00431ACE" w:rsidRPr="00B14C4D">
        <w:rPr>
          <w:rFonts w:asciiTheme="minorHAnsi" w:eastAsia="Times New Roman" w:hAnsiTheme="minorHAnsi" w:cstheme="minorHAnsi"/>
          <w:bCs/>
        </w:rPr>
        <w:t xml:space="preserve">A focused tiger team align the many practical informatics considerations, technologies, methodologies and tools into a </w:t>
      </w:r>
      <w:r w:rsidR="008925C9" w:rsidRPr="00B14C4D">
        <w:rPr>
          <w:rFonts w:asciiTheme="minorHAnsi" w:eastAsia="Times New Roman" w:hAnsiTheme="minorHAnsi" w:cstheme="minorHAnsi"/>
          <w:bCs/>
        </w:rPr>
        <w:t>TEFCA</w:t>
      </w:r>
      <w:r w:rsidR="00431ACE" w:rsidRPr="00B14C4D">
        <w:rPr>
          <w:rFonts w:asciiTheme="minorHAnsi" w:eastAsia="Times New Roman" w:hAnsiTheme="minorHAnsi" w:cstheme="minorHAnsi"/>
          <w:bCs/>
        </w:rPr>
        <w:t>-USCDI-FHIM-CIMI</w:t>
      </w:r>
      <w:r w:rsidR="0044380E" w:rsidRPr="00B14C4D">
        <w:rPr>
          <w:rFonts w:asciiTheme="minorHAnsi" w:eastAsia="Times New Roman" w:hAnsiTheme="minorHAnsi" w:cstheme="minorHAnsi"/>
          <w:bCs/>
        </w:rPr>
        <w:t>-SOLOR</w:t>
      </w:r>
      <w:r w:rsidR="00431ACE" w:rsidRPr="00B14C4D">
        <w:rPr>
          <w:rFonts w:asciiTheme="minorHAnsi" w:eastAsia="Times New Roman" w:hAnsiTheme="minorHAnsi" w:cstheme="minorHAnsi"/>
          <w:bCs/>
        </w:rPr>
        <w:t xml:space="preserve"> data-quality stewardship and governance process, incorporating ONC-FHA-HL7-HSPC-NIEM technologies, methodologies and tools to empower efficient-and-effective bi-directional, without loss of information, pre/post coordinated US Core Data for Interoperability and US SNOMED extension for LOINC and </w:t>
      </w:r>
      <w:proofErr w:type="spellStart"/>
      <w:r w:rsidR="00431ACE" w:rsidRPr="00B14C4D">
        <w:rPr>
          <w:rFonts w:asciiTheme="minorHAnsi" w:eastAsia="Times New Roman" w:hAnsiTheme="minorHAnsi" w:cstheme="minorHAnsi"/>
          <w:bCs/>
        </w:rPr>
        <w:t>RxNorm</w:t>
      </w:r>
      <w:proofErr w:type="spellEnd"/>
      <w:r w:rsidR="00431ACE" w:rsidRPr="00B14C4D">
        <w:rPr>
          <w:rFonts w:asciiTheme="minorHAnsi" w:eastAsia="Times New Roman" w:hAnsiTheme="minorHAnsi" w:cstheme="minorHAnsi"/>
          <w:bCs/>
        </w:rPr>
        <w:t xml:space="preserve"> terminology.</w:t>
      </w:r>
      <w:r w:rsidR="00FB566D" w:rsidRPr="00B14C4D">
        <w:rPr>
          <w:rFonts w:asciiTheme="minorHAnsi" w:eastAsia="Times New Roman" w:hAnsiTheme="minorHAnsi" w:cstheme="minorHAnsi"/>
          <w:bCs/>
        </w:rPr>
        <w:t xml:space="preserve"> One or more</w:t>
      </w:r>
      <w:r w:rsidR="00431ACE" w:rsidRPr="00B14C4D">
        <w:rPr>
          <w:rFonts w:asciiTheme="minorHAnsi" w:eastAsia="Times New Roman" w:hAnsiTheme="minorHAnsi" w:cstheme="minorHAnsi"/>
          <w:bCs/>
        </w:rPr>
        <w:t xml:space="preserve"> </w:t>
      </w:r>
      <w:r w:rsidR="00295F7A" w:rsidRPr="00B14C4D">
        <w:rPr>
          <w:rFonts w:asciiTheme="minorHAnsi" w:eastAsia="Times New Roman" w:hAnsiTheme="minorHAnsi" w:cstheme="minorHAnsi"/>
          <w:bCs/>
        </w:rPr>
        <w:t>Federal government</w:t>
      </w:r>
      <w:r w:rsidR="00FB566D" w:rsidRPr="00B14C4D">
        <w:rPr>
          <w:rFonts w:asciiTheme="minorHAnsi" w:eastAsia="Times New Roman" w:hAnsiTheme="minorHAnsi" w:cstheme="minorHAnsi"/>
          <w:bCs/>
        </w:rPr>
        <w:t xml:space="preserve"> </w:t>
      </w:r>
      <w:r w:rsidR="00431ACE" w:rsidRPr="00B14C4D">
        <w:rPr>
          <w:rFonts w:asciiTheme="minorHAnsi" w:eastAsia="Times New Roman" w:hAnsiTheme="minorHAnsi" w:cstheme="minorHAnsi"/>
          <w:bCs/>
        </w:rPr>
        <w:t xml:space="preserve">EHR modernizations can be a high-value pilot-study computable interoperability </w:t>
      </w:r>
      <w:r w:rsidR="00431ACE" w:rsidRPr="00B14C4D">
        <w:rPr>
          <w:rFonts w:asciiTheme="minorHAnsi" w:eastAsia="Times New Roman" w:hAnsiTheme="minorHAnsi" w:cstheme="minorHAnsi"/>
          <w:bCs/>
        </w:rPr>
        <w:lastRenderedPageBreak/>
        <w:t xml:space="preserve">and Health Information Networks (HIN) partners and among Qualified QHINs. This can positively influence the RCE and QHINs by sharing the ETL pre-post coordinated USCDI mappings and value sets within an HHS: FHA managed US Core Data for Interoperability and US realm SNOMED extension for LOINC and </w:t>
      </w:r>
      <w:proofErr w:type="spellStart"/>
      <w:r w:rsidR="00431ACE" w:rsidRPr="00B14C4D">
        <w:rPr>
          <w:rFonts w:asciiTheme="minorHAnsi" w:eastAsia="Times New Roman" w:hAnsiTheme="minorHAnsi" w:cstheme="minorHAnsi"/>
          <w:bCs/>
        </w:rPr>
        <w:t>RxNorm</w:t>
      </w:r>
      <w:proofErr w:type="spellEnd"/>
      <w:r w:rsidR="00431ACE" w:rsidRPr="00B14C4D">
        <w:rPr>
          <w:rFonts w:asciiTheme="minorHAnsi" w:eastAsia="Times New Roman" w:hAnsiTheme="minorHAnsi" w:cstheme="minorHAnsi"/>
          <w:bCs/>
        </w:rPr>
        <w:t>. Next-Steps:</w:t>
      </w:r>
    </w:p>
    <w:p w14:paraId="0F76F16B"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Harmonize USCDI-FHIM-OASIS-HL7-NIEM data elements</w:t>
      </w:r>
    </w:p>
    <w:p w14:paraId="61184646"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Integrate SOLOR terminology and value sets</w:t>
      </w:r>
    </w:p>
    <w:p w14:paraId="7B4CD24E"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Standardize FHIR-CCDA-EDXL-IEPD implementation guides</w:t>
      </w:r>
    </w:p>
    <w:p w14:paraId="4D2CE33C" w14:textId="77777777" w:rsidR="00431ACE" w:rsidRPr="00B14C4D" w:rsidRDefault="00431ACE" w:rsidP="000C0FBC">
      <w:pPr>
        <w:pStyle w:val="ListParagraph"/>
        <w:numPr>
          <w:ilvl w:val="0"/>
          <w:numId w:val="27"/>
        </w:numPr>
        <w:spacing w:after="0" w:line="276" w:lineRule="auto"/>
        <w:jc w:val="both"/>
        <w:rPr>
          <w:rFonts w:asciiTheme="minorHAnsi" w:hAnsiTheme="minorHAnsi" w:cstheme="minorHAnsi"/>
          <w:color w:val="000000"/>
        </w:rPr>
      </w:pPr>
      <w:r w:rsidRPr="00B14C4D">
        <w:rPr>
          <w:rFonts w:asciiTheme="minorHAnsi" w:eastAsia="Times New Roman" w:hAnsiTheme="minorHAnsi" w:cstheme="minorHAnsi"/>
          <w:color w:val="000000"/>
        </w:rPr>
        <w:t>“</w:t>
      </w:r>
      <w:r w:rsidRPr="00B14C4D">
        <w:rPr>
          <w:rFonts w:asciiTheme="minorHAnsi" w:eastAsia="Times New Roman" w:hAnsiTheme="minorHAnsi" w:cstheme="minorHAnsi"/>
          <w:i/>
          <w:color w:val="000000"/>
          <w:u w:val="single"/>
        </w:rPr>
        <w:t>Dummies Guide</w:t>
      </w:r>
      <w:r w:rsidRPr="00B14C4D">
        <w:rPr>
          <w:rFonts w:asciiTheme="minorHAnsi" w:eastAsia="Times New Roman" w:hAnsiTheme="minorHAnsi" w:cstheme="minorHAnsi"/>
          <w:color w:val="000000"/>
          <w:u w:val="single"/>
        </w:rPr>
        <w:t xml:space="preserve"> for TEFCA-USCDI-FHIM-OASIS-HL7-NIEM-HSPC standards, policies, methodologies, technologies and model-driven-development tools</w:t>
      </w:r>
      <w:r w:rsidRPr="00B14C4D">
        <w:rPr>
          <w:rFonts w:asciiTheme="minorHAnsi" w:eastAsia="Times New Roman" w:hAnsiTheme="minorHAnsi" w:cstheme="minorHAnsi"/>
          <w:color w:val="000000"/>
        </w:rPr>
        <w:t xml:space="preserve">”. </w:t>
      </w:r>
    </w:p>
    <w:p w14:paraId="4E165A06"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Seamless open-source model-driven-development tool stack (MDHT, MDMI, ISAAC) with clinician GUI</w:t>
      </w:r>
    </w:p>
    <w:p w14:paraId="4A88813B"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 xml:space="preserve">Reference EDXL-FHIR-CDA-IEPD APIs, components and test fixtures. </w:t>
      </w:r>
    </w:p>
    <w:p w14:paraId="71D2813B"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Clinical and implementation mentor-SME hands-on hackathons and connections, e.g., HL7, HIMSS showcase.</w:t>
      </w:r>
    </w:p>
    <w:p w14:paraId="33B4BB9B" w14:textId="77777777"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Professional society papers and presentations,</w:t>
      </w:r>
    </w:p>
    <w:p w14:paraId="0835B505" w14:textId="4A5AE708" w:rsidR="00431ACE" w:rsidRPr="00B14C4D" w:rsidRDefault="00431ACE" w:rsidP="000C0FBC">
      <w:pPr>
        <w:pStyle w:val="ListParagraph"/>
        <w:numPr>
          <w:ilvl w:val="0"/>
          <w:numId w:val="27"/>
        </w:numPr>
        <w:spacing w:after="0" w:line="276" w:lineRule="auto"/>
        <w:jc w:val="both"/>
        <w:rPr>
          <w:rFonts w:asciiTheme="minorHAnsi" w:eastAsia="Times New Roman" w:hAnsiTheme="minorHAnsi" w:cstheme="minorHAnsi"/>
          <w:color w:val="000000"/>
        </w:rPr>
      </w:pPr>
      <w:r w:rsidRPr="00B14C4D">
        <w:rPr>
          <w:rFonts w:asciiTheme="minorHAnsi" w:eastAsia="Times New Roman" w:hAnsiTheme="minorHAnsi" w:cstheme="minorHAnsi"/>
          <w:color w:val="000000"/>
        </w:rPr>
        <w:t xml:space="preserve">Conformance and/or certification specifications, procedures, fixtures and tools. </w:t>
      </w:r>
    </w:p>
    <w:p w14:paraId="152D6612" w14:textId="77777777" w:rsidR="00A26AB4" w:rsidRPr="00B14C4D" w:rsidRDefault="00533EAE" w:rsidP="000C0FBC">
      <w:pPr>
        <w:pStyle w:val="ListParagraph"/>
        <w:numPr>
          <w:ilvl w:val="0"/>
          <w:numId w:val="16"/>
        </w:numPr>
        <w:tabs>
          <w:tab w:val="left" w:pos="8292"/>
        </w:tabs>
        <w:spacing w:after="0" w:line="276" w:lineRule="auto"/>
        <w:rPr>
          <w:rFonts w:asciiTheme="minorHAnsi" w:eastAsia="Times New Roman" w:hAnsiTheme="minorHAnsi" w:cstheme="minorHAnsi"/>
        </w:rPr>
      </w:pPr>
      <w:r w:rsidRPr="00B14C4D">
        <w:rPr>
          <w:rFonts w:asciiTheme="minorHAnsi" w:eastAsia="Times New Roman" w:hAnsiTheme="minorHAnsi" w:cstheme="minorHAnsi"/>
          <w:b/>
          <w:bCs/>
        </w:rPr>
        <w:t>Benefit</w:t>
      </w:r>
      <w:r w:rsidRPr="00B14C4D">
        <w:rPr>
          <w:rFonts w:asciiTheme="minorHAnsi" w:eastAsia="Times New Roman" w:hAnsiTheme="minorHAnsi" w:cstheme="minorHAnsi"/>
        </w:rPr>
        <w:t>: Positively impact computable interoperability within-and-among Health Information Exchange (</w:t>
      </w:r>
      <w:r w:rsidRPr="00B14C4D">
        <w:rPr>
          <w:rFonts w:asciiTheme="minorHAnsi" w:eastAsia="Times New Roman" w:hAnsiTheme="minorHAnsi" w:cstheme="minorHAnsi"/>
          <w:b/>
          <w:bCs/>
        </w:rPr>
        <w:t>HIE</w:t>
      </w:r>
      <w:r w:rsidRPr="00B14C4D">
        <w:rPr>
          <w:rFonts w:asciiTheme="minorHAnsi" w:eastAsia="Times New Roman" w:hAnsiTheme="minorHAnsi" w:cstheme="minorHAnsi"/>
        </w:rPr>
        <w:t>) partners, among Qualified QHINs and the Recognized Coordinating Entity (</w:t>
      </w:r>
      <w:r w:rsidRPr="00B14C4D">
        <w:rPr>
          <w:rFonts w:asciiTheme="minorHAnsi" w:eastAsia="Times New Roman" w:hAnsiTheme="minorHAnsi" w:cstheme="minorHAnsi"/>
          <w:b/>
          <w:bCs/>
        </w:rPr>
        <w:t>RCE</w:t>
      </w:r>
      <w:r w:rsidRPr="00B14C4D">
        <w:rPr>
          <w:rFonts w:asciiTheme="minorHAnsi" w:eastAsia="Times New Roman" w:hAnsiTheme="minorHAnsi" w:cstheme="minorHAnsi"/>
        </w:rPr>
        <w:t xml:space="preserve">) by sharing the ETL bi-directional, without loss of information, and value sets within SOLOR (SNOMED LOINC, </w:t>
      </w:r>
      <w:proofErr w:type="spellStart"/>
      <w:r w:rsidRPr="00B14C4D">
        <w:rPr>
          <w:rFonts w:asciiTheme="minorHAnsi" w:eastAsia="Times New Roman" w:hAnsiTheme="minorHAnsi" w:cstheme="minorHAnsi"/>
        </w:rPr>
        <w:t>RxNorm</w:t>
      </w:r>
      <w:proofErr w:type="spellEnd"/>
      <w:r w:rsidRPr="00B14C4D">
        <w:rPr>
          <w:rFonts w:asciiTheme="minorHAnsi" w:eastAsia="Times New Roman" w:hAnsiTheme="minorHAnsi" w:cstheme="minorHAnsi"/>
        </w:rPr>
        <w:t xml:space="preserve">) US Realm extension. Improved computable semantic-interoperability empowers better analytics, reasoning, and outcomes measurements and Patient Value (Safety, Quality, Cost). </w:t>
      </w:r>
    </w:p>
    <w:p w14:paraId="3B198C52" w14:textId="04F65E95" w:rsidR="00BA206C" w:rsidRPr="00B14C4D" w:rsidRDefault="00BA206C" w:rsidP="000C0FBC">
      <w:pPr>
        <w:tabs>
          <w:tab w:val="left" w:pos="8292"/>
        </w:tabs>
        <w:spacing w:after="0" w:line="276" w:lineRule="auto"/>
        <w:rPr>
          <w:rFonts w:asciiTheme="minorHAnsi" w:eastAsia="Times New Roman" w:hAnsiTheme="minorHAnsi" w:cstheme="minorHAnsi"/>
        </w:rPr>
      </w:pPr>
    </w:p>
    <w:p w14:paraId="5D6BB035" w14:textId="77777777" w:rsidR="00265F72" w:rsidRPr="00B14C4D" w:rsidRDefault="00265F72" w:rsidP="000C0FBC">
      <w:pPr>
        <w:keepNext/>
        <w:spacing w:after="0" w:line="276" w:lineRule="auto"/>
        <w:ind w:left="1152" w:hanging="1152"/>
        <w:rPr>
          <w:rFonts w:asciiTheme="minorHAnsi" w:hAnsiTheme="minorHAnsi" w:cstheme="minorHAnsi"/>
          <w:color w:val="0000CC"/>
        </w:rPr>
      </w:pPr>
      <w:r w:rsidRPr="00B14C4D">
        <w:rPr>
          <w:rFonts w:asciiTheme="minorHAnsi" w:hAnsiTheme="minorHAnsi" w:cstheme="minorHAnsi"/>
          <w:b/>
          <w:color w:val="0000CC"/>
          <w:sz w:val="28"/>
        </w:rPr>
        <w:t>Conclusion</w:t>
      </w:r>
      <w:r w:rsidRPr="00B14C4D">
        <w:rPr>
          <w:rFonts w:asciiTheme="minorHAnsi" w:hAnsiTheme="minorHAnsi" w:cstheme="minorHAnsi"/>
          <w:color w:val="0000CC"/>
        </w:rPr>
        <w:t xml:space="preserve">: </w:t>
      </w:r>
    </w:p>
    <w:p w14:paraId="0753CBE1" w14:textId="573F0F52" w:rsidR="00265F72" w:rsidRPr="00B14C4D" w:rsidRDefault="00265F72" w:rsidP="000C0FBC">
      <w:pPr>
        <w:spacing w:after="0" w:line="276" w:lineRule="auto"/>
        <w:ind w:left="720"/>
        <w:rPr>
          <w:rFonts w:asciiTheme="minorHAnsi" w:hAnsiTheme="minorHAnsi" w:cstheme="minorHAnsi"/>
        </w:rPr>
      </w:pPr>
      <w:r w:rsidRPr="00B14C4D">
        <w:rPr>
          <w:rFonts w:asciiTheme="minorHAnsi" w:hAnsiTheme="minorHAnsi" w:cstheme="minorHAnsi"/>
        </w:rPr>
        <w:t>Due to differing code systems’ purpose, both granularity and clinical-context attributes typically make pre/post coordination and cross clinical vocabulary mapping ambiguous for population health analytics and reasoning. A systematic context-specific mapping between EHR files and tables with EDW analytics can be 1:1 round-trip-able; where pre-planned data entry can avoid poor analytics performance. HL7 is standardizing and HSPC is operationalizing the pre-requisite methodologies, technologies and tools. The findings in this paper are applicable to any EHR, EDW and data sharing situation. The conundrum and recommended risk</w:t>
      </w:r>
      <w:r w:rsidR="007734B1" w:rsidRPr="00B14C4D">
        <w:rPr>
          <w:rFonts w:asciiTheme="minorHAnsi" w:hAnsiTheme="minorHAnsi" w:cstheme="minorHAnsi"/>
        </w:rPr>
        <w:t>-</w:t>
      </w:r>
      <w:r w:rsidRPr="00B14C4D">
        <w:rPr>
          <w:rFonts w:asciiTheme="minorHAnsi" w:hAnsiTheme="minorHAnsi" w:cstheme="minorHAnsi"/>
        </w:rPr>
        <w:t xml:space="preserve">mitigation strategy is universally applicable. </w:t>
      </w:r>
    </w:p>
    <w:p w14:paraId="34C13C6C" w14:textId="77777777" w:rsidR="00265F72" w:rsidRPr="00B14C4D" w:rsidRDefault="00265F72" w:rsidP="000C0FBC">
      <w:pPr>
        <w:spacing w:after="0" w:line="276" w:lineRule="auto"/>
        <w:ind w:left="720"/>
        <w:rPr>
          <w:rFonts w:asciiTheme="minorHAnsi" w:hAnsiTheme="minorHAnsi" w:cstheme="minorHAnsi"/>
          <w:color w:val="000000"/>
        </w:rPr>
      </w:pPr>
    </w:p>
    <w:p w14:paraId="7437D239" w14:textId="77777777" w:rsidR="00265F72" w:rsidRPr="00B14C4D" w:rsidRDefault="00265F72" w:rsidP="000C0FBC">
      <w:pPr>
        <w:spacing w:after="0" w:line="276" w:lineRule="auto"/>
        <w:ind w:left="720"/>
        <w:rPr>
          <w:rFonts w:asciiTheme="minorHAnsi" w:hAnsiTheme="minorHAnsi" w:cstheme="minorHAnsi"/>
        </w:rPr>
      </w:pPr>
      <w:r w:rsidRPr="00B14C4D">
        <w:rPr>
          <w:rFonts w:asciiTheme="minorHAnsi" w:hAnsiTheme="minorHAnsi" w:cstheme="minorHAnsi"/>
          <w:color w:val="000000"/>
        </w:rPr>
        <w:t xml:space="preserve">Specifically, EHR-EDW ETL might be improved, where, </w:t>
      </w:r>
      <w:r w:rsidRPr="00B14C4D">
        <w:rPr>
          <w:rFonts w:asciiTheme="minorHAnsi" w:hAnsiTheme="minorHAnsi" w:cstheme="minorHAnsi"/>
        </w:rPr>
        <w:t>The EHR files and tables for Clinical Input form (</w:t>
      </w:r>
      <w:r w:rsidRPr="00B14C4D">
        <w:rPr>
          <w:rFonts w:asciiTheme="minorHAnsi" w:hAnsiTheme="minorHAnsi" w:cstheme="minorHAnsi"/>
          <w:b/>
        </w:rPr>
        <w:t>CIF</w:t>
      </w:r>
      <w:r w:rsidRPr="00B14C4D">
        <w:rPr>
          <w:rFonts w:asciiTheme="minorHAnsi" w:hAnsiTheme="minorHAnsi" w:cstheme="minorHAnsi"/>
        </w:rPr>
        <w:t>) must have explicit 1:1 mappings to EDW analytic Normalized Forms (</w:t>
      </w:r>
      <w:r w:rsidRPr="00B14C4D">
        <w:rPr>
          <w:rFonts w:asciiTheme="minorHAnsi" w:hAnsiTheme="minorHAnsi" w:cstheme="minorHAnsi"/>
          <w:b/>
        </w:rPr>
        <w:t>ANF</w:t>
      </w:r>
      <w:r w:rsidRPr="00B14C4D">
        <w:rPr>
          <w:rFonts w:asciiTheme="minorHAnsi" w:hAnsiTheme="minorHAnsi" w:cstheme="minorHAnsi"/>
        </w:rPr>
        <w:t xml:space="preserve">). The end-of day ETL process will be different from the target CIMI/SOLOR-supported </w:t>
      </w:r>
      <w:proofErr w:type="spellStart"/>
      <w:r w:rsidRPr="00B14C4D">
        <w:rPr>
          <w:rFonts w:asciiTheme="minorHAnsi" w:hAnsiTheme="minorHAnsi" w:cstheme="minorHAnsi"/>
        </w:rPr>
        <w:t>isosemantic</w:t>
      </w:r>
      <w:proofErr w:type="spellEnd"/>
      <w:r w:rsidRPr="00B14C4D">
        <w:rPr>
          <w:rFonts w:asciiTheme="minorHAnsi" w:hAnsiTheme="minorHAnsi" w:cstheme="minorHAnsi"/>
        </w:rPr>
        <w:t xml:space="preserve"> model approach to produce FHIR, CDA etc. </w:t>
      </w:r>
    </w:p>
    <w:p w14:paraId="1C88D07E" w14:textId="77777777" w:rsidR="00265F72" w:rsidRPr="00B14C4D" w:rsidRDefault="00265F72" w:rsidP="000C0FBC">
      <w:pPr>
        <w:pStyle w:val="ListParagraph"/>
        <w:numPr>
          <w:ilvl w:val="0"/>
          <w:numId w:val="10"/>
        </w:numPr>
        <w:spacing w:after="0" w:line="276" w:lineRule="auto"/>
        <w:rPr>
          <w:rFonts w:asciiTheme="minorHAnsi" w:hAnsiTheme="minorHAnsi" w:cstheme="minorHAnsi"/>
        </w:rPr>
      </w:pPr>
      <w:r w:rsidRPr="00B14C4D">
        <w:rPr>
          <w:rFonts w:asciiTheme="minorHAnsi" w:hAnsiTheme="minorHAnsi" w:cstheme="minorHAnsi"/>
        </w:rPr>
        <w:t xml:space="preserve">The </w:t>
      </w:r>
      <w:proofErr w:type="spellStart"/>
      <w:r w:rsidRPr="00B14C4D">
        <w:rPr>
          <w:rFonts w:asciiTheme="minorHAnsi" w:hAnsiTheme="minorHAnsi" w:cstheme="minorHAnsi"/>
        </w:rPr>
        <w:t>iso</w:t>
      </w:r>
      <w:proofErr w:type="spellEnd"/>
      <w:r w:rsidRPr="00B14C4D">
        <w:rPr>
          <w:rFonts w:asciiTheme="minorHAnsi" w:hAnsiTheme="minorHAnsi" w:cstheme="minorHAnsi"/>
        </w:rPr>
        <w:t xml:space="preserve">-semantic model constructs a path from clinical process data to CIF models. Those might not be implemented by any operational system, but used in a support service that offers knowledge-based insight to the operational system. But for that to work, the input process data must be defined in semantically specific clinical models. </w:t>
      </w:r>
      <w:r w:rsidRPr="00B14C4D">
        <w:rPr>
          <w:rFonts w:asciiTheme="minorHAnsi" w:hAnsiTheme="minorHAnsi" w:cstheme="minorHAnsi"/>
          <w:i/>
          <w:color w:val="FF0000"/>
          <w:u w:val="single"/>
        </w:rPr>
        <w:t>Right now, it's not</w:t>
      </w:r>
      <w:r w:rsidRPr="00B14C4D">
        <w:rPr>
          <w:rFonts w:asciiTheme="minorHAnsi" w:hAnsiTheme="minorHAnsi" w:cstheme="minorHAnsi"/>
        </w:rPr>
        <w:t xml:space="preserve">. </w:t>
      </w:r>
    </w:p>
    <w:p w14:paraId="47B327F2" w14:textId="77777777" w:rsidR="00265F72" w:rsidRPr="00B14C4D" w:rsidRDefault="00265F72" w:rsidP="000C0FBC">
      <w:pPr>
        <w:pStyle w:val="ListParagraph"/>
        <w:numPr>
          <w:ilvl w:val="0"/>
          <w:numId w:val="10"/>
        </w:numPr>
        <w:spacing w:after="0" w:line="276" w:lineRule="auto"/>
        <w:rPr>
          <w:rFonts w:asciiTheme="minorHAnsi" w:hAnsiTheme="minorHAnsi" w:cstheme="minorHAnsi"/>
        </w:rPr>
      </w:pPr>
      <w:r w:rsidRPr="00B14C4D">
        <w:rPr>
          <w:rFonts w:asciiTheme="minorHAnsi" w:hAnsiTheme="minorHAnsi" w:cstheme="minorHAnsi"/>
        </w:rPr>
        <w:t xml:space="preserve">ETL is a migration path that will need to be formalized and governed soon, e.g., the smoking status property will likely be supported by a point-to-point context-specific ETL rule. </w:t>
      </w:r>
    </w:p>
    <w:p w14:paraId="3F105544" w14:textId="77777777" w:rsidR="00265F72" w:rsidRPr="00B14C4D" w:rsidRDefault="00265F72" w:rsidP="000C0FBC">
      <w:pPr>
        <w:pStyle w:val="ListParagraph"/>
        <w:numPr>
          <w:ilvl w:val="0"/>
          <w:numId w:val="10"/>
        </w:numPr>
        <w:spacing w:after="0" w:line="276" w:lineRule="auto"/>
        <w:rPr>
          <w:rFonts w:asciiTheme="minorHAnsi" w:hAnsiTheme="minorHAnsi" w:cstheme="minorHAnsi"/>
        </w:rPr>
      </w:pPr>
      <w:r w:rsidRPr="00B14C4D">
        <w:rPr>
          <w:rFonts w:asciiTheme="minorHAnsi" w:hAnsiTheme="minorHAnsi" w:cstheme="minorHAnsi"/>
        </w:rPr>
        <w:lastRenderedPageBreak/>
        <w:t xml:space="preserve">CIMI, SOLOR and EHR modernization rules supported or defined by the </w:t>
      </w:r>
      <w:r w:rsidRPr="00B14C4D">
        <w:rPr>
          <w:rFonts w:asciiTheme="minorHAnsi" w:hAnsiTheme="minorHAnsi" w:cstheme="minorHAnsi"/>
          <w:color w:val="000000"/>
        </w:rPr>
        <w:t>semantic models should be harmonized; because, CIF</w:t>
      </w:r>
      <w:r w:rsidRPr="00B14C4D">
        <w:rPr>
          <w:rFonts w:asciiTheme="minorHAnsi" w:hAnsiTheme="minorHAnsi" w:cstheme="minorHAnsi"/>
          <w:color w:val="000000"/>
          <w:vertAlign w:val="superscript"/>
        </w:rPr>
        <w:t>1</w:t>
      </w:r>
      <w:r w:rsidRPr="00B14C4D">
        <w:rPr>
          <w:rFonts w:asciiTheme="minorHAnsi" w:hAnsiTheme="minorHAnsi" w:cstheme="minorHAnsi"/>
          <w:color w:val="000000"/>
        </w:rPr>
        <w:t xml:space="preserve"> and the same CIF</w:t>
      </w:r>
      <w:r w:rsidRPr="00B14C4D">
        <w:rPr>
          <w:rFonts w:asciiTheme="minorHAnsi" w:hAnsiTheme="minorHAnsi" w:cstheme="minorHAnsi"/>
          <w:color w:val="000000"/>
          <w:vertAlign w:val="superscript"/>
        </w:rPr>
        <w:t>2</w:t>
      </w:r>
      <w:r w:rsidRPr="00B14C4D">
        <w:rPr>
          <w:rFonts w:asciiTheme="minorHAnsi" w:hAnsiTheme="minorHAnsi" w:cstheme="minorHAnsi"/>
          <w:color w:val="000000"/>
        </w:rPr>
        <w:t>,</w:t>
      </w:r>
      <w:r w:rsidRPr="00B14C4D">
        <w:rPr>
          <w:rFonts w:asciiTheme="minorHAnsi" w:hAnsiTheme="minorHAnsi" w:cstheme="minorHAnsi"/>
          <w:color w:val="000000"/>
          <w:vertAlign w:val="superscript"/>
        </w:rPr>
        <w:t xml:space="preserve"> </w:t>
      </w:r>
      <w:r w:rsidRPr="00B14C4D">
        <w:rPr>
          <w:rFonts w:asciiTheme="minorHAnsi" w:hAnsiTheme="minorHAnsi" w:cstheme="minorHAnsi"/>
          <w:color w:val="000000"/>
        </w:rPr>
        <w:t>in different care locations must not always result in same semantics as CIF</w:t>
      </w:r>
      <w:r w:rsidRPr="00B14C4D">
        <w:rPr>
          <w:rFonts w:asciiTheme="minorHAnsi" w:hAnsiTheme="minorHAnsi" w:cstheme="minorHAnsi"/>
          <w:color w:val="000000"/>
          <w:vertAlign w:val="superscript"/>
        </w:rPr>
        <w:t xml:space="preserve">1 </w:t>
      </w:r>
      <w:r w:rsidRPr="00B14C4D">
        <w:rPr>
          <w:rFonts w:asciiTheme="minorHAnsi" w:hAnsiTheme="minorHAnsi" w:cstheme="minorHAnsi"/>
          <w:color w:val="000000"/>
        </w:rPr>
        <w:t xml:space="preserve">to ANF, e.g., smoking status. </w:t>
      </w:r>
    </w:p>
    <w:p w14:paraId="70A3F02F" w14:textId="77777777" w:rsidR="00265F72" w:rsidRPr="00B14C4D" w:rsidRDefault="00265F72" w:rsidP="000C0FBC">
      <w:pPr>
        <w:pStyle w:val="ListParagraph"/>
        <w:numPr>
          <w:ilvl w:val="0"/>
          <w:numId w:val="10"/>
        </w:numPr>
        <w:spacing w:after="0" w:line="276" w:lineRule="auto"/>
        <w:rPr>
          <w:rFonts w:asciiTheme="minorHAnsi" w:hAnsiTheme="minorHAnsi" w:cstheme="minorHAnsi"/>
        </w:rPr>
      </w:pPr>
      <w:r w:rsidRPr="00B14C4D">
        <w:rPr>
          <w:rFonts w:asciiTheme="minorHAnsi" w:hAnsiTheme="minorHAnsi" w:cstheme="minorHAnsi"/>
          <w:u w:val="single"/>
        </w:rPr>
        <w:t>The call to action</w:t>
      </w:r>
      <w:r w:rsidRPr="00B14C4D">
        <w:rPr>
          <w:rFonts w:asciiTheme="minorHAnsi" w:hAnsiTheme="minorHAnsi" w:cstheme="minorHAnsi"/>
        </w:rPr>
        <w:t xml:space="preserve"> to benefit from the recommendations in this paper data-quality data-stewards and governance plus their integration and deployment contractors must engage quickly.</w:t>
      </w:r>
    </w:p>
    <w:p w14:paraId="40BBB424" w14:textId="77777777" w:rsidR="000C0FBC" w:rsidRPr="00B14C4D" w:rsidRDefault="00265F72" w:rsidP="000C0FBC">
      <w:pPr>
        <w:pStyle w:val="ListParagraph"/>
        <w:numPr>
          <w:ilvl w:val="0"/>
          <w:numId w:val="10"/>
        </w:numPr>
        <w:spacing w:after="0" w:line="276" w:lineRule="auto"/>
        <w:rPr>
          <w:rFonts w:ascii="Arial Narrow" w:eastAsia="Times New Roman" w:hAnsi="Arial Narrow" w:cs="Calibri"/>
          <w:b/>
          <w:color w:val="0000CC"/>
          <w:sz w:val="28"/>
        </w:rPr>
      </w:pPr>
      <w:r w:rsidRPr="00B14C4D">
        <w:rPr>
          <w:rFonts w:asciiTheme="minorHAnsi" w:hAnsiTheme="minorHAnsi" w:cstheme="minorHAnsi"/>
          <w:u w:val="single"/>
        </w:rPr>
        <w:t>The consequences of inaction are</w:t>
      </w:r>
      <w:r w:rsidRPr="00B14C4D">
        <w:rPr>
          <w:rFonts w:asciiTheme="minorHAnsi" w:hAnsiTheme="minorHAnsi" w:cstheme="minorHAnsi"/>
        </w:rPr>
        <w:t xml:space="preserve"> to degrade computable semantic interoperability resulting in degraded patient value (safety, quality, cost). </w:t>
      </w:r>
    </w:p>
    <w:p w14:paraId="7A971EC4" w14:textId="77777777" w:rsidR="00265F72" w:rsidRPr="00B14C4D" w:rsidRDefault="00265F72" w:rsidP="0095444A">
      <w:pPr>
        <w:tabs>
          <w:tab w:val="left" w:pos="8292"/>
        </w:tabs>
        <w:spacing w:after="0"/>
        <w:rPr>
          <w:rFonts w:asciiTheme="minorHAnsi" w:eastAsia="Times New Roman" w:hAnsiTheme="minorHAnsi" w:cstheme="minorHAnsi"/>
        </w:rPr>
      </w:pPr>
    </w:p>
    <w:p w14:paraId="5E28F67C" w14:textId="540D0471" w:rsidR="00BA206C" w:rsidRPr="00B14C4D" w:rsidRDefault="002D0E07" w:rsidP="0085275B">
      <w:pPr>
        <w:spacing w:after="0" w:line="276" w:lineRule="auto"/>
        <w:ind w:left="1152" w:hanging="1152"/>
        <w:jc w:val="center"/>
        <w:rPr>
          <w:rFonts w:ascii="Arial Narrow" w:hAnsi="Arial Narrow" w:cs="Calibri"/>
          <w:b/>
          <w:sz w:val="28"/>
        </w:rPr>
      </w:pPr>
      <w:r w:rsidRPr="00B14C4D">
        <w:rPr>
          <w:rFonts w:ascii="Arial Narrow" w:hAnsi="Arial Narrow" w:cs="Calibri"/>
          <w:b/>
          <w:noProof/>
          <w:sz w:val="28"/>
        </w:rPr>
        <w:drawing>
          <wp:inline distT="0" distB="0" distL="0" distR="0" wp14:anchorId="7ABCB64F" wp14:editId="10D4F022">
            <wp:extent cx="6853555" cy="462534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3555" cy="4625340"/>
                    </a:xfrm>
                    <a:prstGeom prst="rect">
                      <a:avLst/>
                    </a:prstGeom>
                    <a:noFill/>
                    <a:ln>
                      <a:noFill/>
                    </a:ln>
                  </pic:spPr>
                </pic:pic>
              </a:graphicData>
            </a:graphic>
          </wp:inline>
        </w:drawing>
      </w:r>
    </w:p>
    <w:p w14:paraId="6484E4F0" w14:textId="19E2FFD6" w:rsidR="00BA206C" w:rsidRPr="00B14C4D" w:rsidRDefault="00BA206C" w:rsidP="0095444A">
      <w:pPr>
        <w:pStyle w:val="Caption"/>
        <w:spacing w:after="0"/>
        <w:jc w:val="center"/>
        <w:rPr>
          <w:rFonts w:ascii="Arial Narrow" w:hAnsi="Arial Narrow" w:cs="Calibri"/>
          <w:b/>
          <w:color w:val="000000"/>
          <w:sz w:val="36"/>
        </w:rPr>
      </w:pPr>
      <w:r w:rsidRPr="00B14C4D">
        <w:rPr>
          <w:rFonts w:ascii="Arial Narrow" w:hAnsi="Arial Narrow"/>
          <w:b/>
          <w:color w:val="000000"/>
          <w:sz w:val="22"/>
        </w:rPr>
        <w:t xml:space="preserve">Figure </w:t>
      </w:r>
      <w:r w:rsidRPr="00B14C4D">
        <w:rPr>
          <w:rFonts w:ascii="Arial Narrow" w:hAnsi="Arial Narrow"/>
          <w:b/>
          <w:color w:val="000000"/>
          <w:sz w:val="22"/>
        </w:rPr>
        <w:fldChar w:fldCharType="begin"/>
      </w:r>
      <w:r w:rsidRPr="00B14C4D">
        <w:rPr>
          <w:rFonts w:ascii="Arial Narrow" w:hAnsi="Arial Narrow"/>
          <w:b/>
          <w:color w:val="000000"/>
          <w:sz w:val="22"/>
        </w:rPr>
        <w:instrText xml:space="preserve"> SEQ Figure \* ARABIC </w:instrText>
      </w:r>
      <w:r w:rsidRPr="00B14C4D">
        <w:rPr>
          <w:rFonts w:ascii="Arial Narrow" w:hAnsi="Arial Narrow"/>
          <w:b/>
          <w:color w:val="000000"/>
          <w:sz w:val="22"/>
        </w:rPr>
        <w:fldChar w:fldCharType="separate"/>
      </w:r>
      <w:r w:rsidR="00B14C4D" w:rsidRPr="00B14C4D">
        <w:rPr>
          <w:rFonts w:ascii="Arial Narrow" w:hAnsi="Arial Narrow"/>
          <w:b/>
          <w:noProof/>
          <w:color w:val="000000"/>
          <w:sz w:val="22"/>
        </w:rPr>
        <w:t>9</w:t>
      </w:r>
      <w:r w:rsidRPr="00B14C4D">
        <w:rPr>
          <w:rFonts w:ascii="Arial Narrow" w:hAnsi="Arial Narrow"/>
          <w:b/>
          <w:color w:val="000000"/>
          <w:sz w:val="22"/>
        </w:rPr>
        <w:fldChar w:fldCharType="end"/>
      </w:r>
      <w:r w:rsidRPr="00B14C4D">
        <w:rPr>
          <w:rFonts w:ascii="Arial Narrow" w:hAnsi="Arial Narrow"/>
          <w:b/>
          <w:color w:val="000000"/>
          <w:sz w:val="22"/>
        </w:rPr>
        <w:t xml:space="preserve">: Notional EHR Modernization Data-Quality Strategy </w:t>
      </w:r>
      <w:r w:rsidR="001C5D88" w:rsidRPr="00B14C4D">
        <w:rPr>
          <w:rFonts w:ascii="Arial Narrow" w:hAnsi="Arial Narrow"/>
          <w:b/>
          <w:color w:val="000000"/>
          <w:sz w:val="22"/>
        </w:rPr>
        <w:t>(</w:t>
      </w:r>
      <w:r w:rsidR="00DF77C2" w:rsidRPr="00B14C4D">
        <w:rPr>
          <w:rFonts w:ascii="Arial Narrow" w:hAnsi="Arial Narrow"/>
          <w:b/>
          <w:color w:val="000000"/>
          <w:sz w:val="22"/>
        </w:rPr>
        <w:t>TEFCA-</w:t>
      </w:r>
      <w:r w:rsidRPr="00B14C4D">
        <w:rPr>
          <w:rFonts w:ascii="Arial Narrow" w:hAnsi="Arial Narrow"/>
          <w:b/>
          <w:color w:val="000000"/>
          <w:sz w:val="22"/>
        </w:rPr>
        <w:t>USCDI-FHIM-HL7-OASIS-NIEM-HSPC</w:t>
      </w:r>
      <w:r w:rsidR="005E5B9C" w:rsidRPr="00B14C4D">
        <w:rPr>
          <w:rFonts w:ascii="Arial Narrow" w:hAnsi="Arial Narrow"/>
          <w:b/>
          <w:color w:val="000000"/>
          <w:sz w:val="22"/>
        </w:rPr>
        <w:t>-MITRE</w:t>
      </w:r>
      <w:r w:rsidRPr="00B14C4D">
        <w:rPr>
          <w:rFonts w:ascii="Arial Narrow" w:hAnsi="Arial Narrow"/>
          <w:b/>
          <w:color w:val="000000"/>
          <w:sz w:val="22"/>
        </w:rPr>
        <w:t xml:space="preserve">) </w:t>
      </w:r>
    </w:p>
    <w:p w14:paraId="1298BBFD" w14:textId="77777777" w:rsidR="005D574F" w:rsidRPr="00B14C4D" w:rsidRDefault="005D574F">
      <w:pPr>
        <w:spacing w:after="0" w:line="240" w:lineRule="auto"/>
        <w:rPr>
          <w:rFonts w:asciiTheme="minorHAnsi" w:hAnsiTheme="minorHAnsi" w:cstheme="minorHAnsi"/>
          <w:b/>
          <w:color w:val="0000CC"/>
          <w:sz w:val="28"/>
        </w:rPr>
      </w:pPr>
      <w:r w:rsidRPr="00B14C4D">
        <w:rPr>
          <w:rFonts w:asciiTheme="minorHAnsi" w:hAnsiTheme="minorHAnsi" w:cstheme="minorHAnsi"/>
          <w:b/>
          <w:color w:val="0000CC"/>
          <w:sz w:val="28"/>
        </w:rPr>
        <w:br w:type="page"/>
      </w:r>
    </w:p>
    <w:p w14:paraId="6004C901" w14:textId="3122796B" w:rsidR="00BA206C" w:rsidRPr="00B14C4D" w:rsidRDefault="00BA206C" w:rsidP="0095444A">
      <w:pPr>
        <w:spacing w:after="0" w:line="276" w:lineRule="auto"/>
        <w:rPr>
          <w:rFonts w:asciiTheme="minorHAnsi" w:eastAsia="Times New Roman" w:hAnsiTheme="minorHAnsi" w:cstheme="minorHAnsi"/>
          <w:b/>
        </w:rPr>
      </w:pPr>
      <w:r w:rsidRPr="00B14C4D">
        <w:rPr>
          <w:rFonts w:asciiTheme="minorHAnsi" w:hAnsiTheme="minorHAnsi" w:cstheme="minorHAnsi"/>
          <w:b/>
          <w:color w:val="0000CC"/>
          <w:sz w:val="28"/>
        </w:rPr>
        <w:lastRenderedPageBreak/>
        <w:t>APPENDIX</w:t>
      </w:r>
      <w:r w:rsidRPr="00B14C4D">
        <w:rPr>
          <w:rFonts w:asciiTheme="minorHAnsi" w:eastAsia="Times New Roman" w:hAnsiTheme="minorHAnsi" w:cstheme="minorHAnsi"/>
          <w:b/>
          <w:sz w:val="28"/>
        </w:rPr>
        <w:t xml:space="preserve">: </w:t>
      </w:r>
      <w:r w:rsidRPr="00B14C4D">
        <w:rPr>
          <w:rFonts w:asciiTheme="minorHAnsi" w:eastAsia="Times New Roman" w:hAnsiTheme="minorHAnsi" w:cstheme="minorHAnsi"/>
          <w:b/>
        </w:rPr>
        <w:t>Notional example of inherent pre/post coordination ambiguity</w:t>
      </w:r>
    </w:p>
    <w:p w14:paraId="32A0251F" w14:textId="77777777" w:rsidR="00BA206C" w:rsidRPr="00B14C4D" w:rsidRDefault="00BA206C" w:rsidP="0095444A">
      <w:pPr>
        <w:spacing w:after="0"/>
        <w:ind w:left="720"/>
        <w:jc w:val="both"/>
        <w:rPr>
          <w:rFonts w:asciiTheme="minorHAnsi" w:eastAsia="Times New Roman" w:hAnsiTheme="minorHAnsi" w:cstheme="minorHAnsi"/>
        </w:rPr>
      </w:pPr>
      <w:r w:rsidRPr="00B14C4D">
        <w:rPr>
          <w:rFonts w:asciiTheme="minorHAnsi" w:eastAsia="Times New Roman" w:hAnsiTheme="minorHAnsi" w:cstheme="minorHAnsi"/>
        </w:rPr>
        <w:t>We present a simple, pre/post coordination mapping example of ICD-10 pre-coordinated code mapped to SNOMED CT post-coordinated expression to illustrate the multi facets of workflow, context-provenance and intended use contributing to the data quality conundrum, with respect to analytics and reasoning. This notional example is arbitrary and incomplete; because, it does not include the fully specified full episode-of-care using the SNOMED observation model’s finding type + context with SNOMED expressions and descriptive logic that empowers the efficient-and-effective reasoning needed for “real-time” patient-care encounter-support mobile-app services.</w:t>
      </w:r>
    </w:p>
    <w:p w14:paraId="44BCF678" w14:textId="77777777" w:rsidR="00BA206C" w:rsidRPr="00B14C4D" w:rsidRDefault="00BA206C" w:rsidP="0095444A">
      <w:pPr>
        <w:spacing w:after="0"/>
        <w:ind w:left="720"/>
        <w:jc w:val="both"/>
        <w:rPr>
          <w:rFonts w:asciiTheme="minorHAnsi" w:eastAsia="Times New Roman" w:hAnsiTheme="minorHAnsi" w:cstheme="minorHAnsi"/>
        </w:rPr>
      </w:pPr>
    </w:p>
    <w:p w14:paraId="20483C20" w14:textId="77777777" w:rsidR="00BA206C" w:rsidRPr="00B14C4D" w:rsidRDefault="00BA206C" w:rsidP="0095444A">
      <w:pPr>
        <w:spacing w:after="0"/>
        <w:ind w:left="720"/>
        <w:jc w:val="both"/>
        <w:rPr>
          <w:rFonts w:asciiTheme="minorHAnsi" w:eastAsia="Times New Roman" w:hAnsiTheme="minorHAnsi" w:cstheme="minorHAnsi"/>
        </w:rPr>
      </w:pPr>
      <w:r w:rsidRPr="00B14C4D">
        <w:rPr>
          <w:rFonts w:asciiTheme="minorHAnsi" w:eastAsia="Times New Roman" w:hAnsiTheme="minorHAnsi" w:cstheme="minorHAnsi"/>
        </w:rPr>
        <w:t xml:space="preserve">Neck of the Femur was chosen because hip related injuries are common in elderly patient falls and it is intuitive. A closed displaced fracture was chosen for its simplicity to demonstrate pre/post coordination coding ambiguity. We did not choose the more interesting open fracture, also called a compound fracture, in which there is an open wound or break in the skin near the site of the broken bone. Most often, this wound is caused by a fragment of bone breaking through the skin </w:t>
      </w:r>
      <w:proofErr w:type="gramStart"/>
      <w:r w:rsidRPr="00B14C4D">
        <w:rPr>
          <w:rFonts w:asciiTheme="minorHAnsi" w:eastAsia="Times New Roman" w:hAnsiTheme="minorHAnsi" w:cstheme="minorHAnsi"/>
        </w:rPr>
        <w:t>at the moment</w:t>
      </w:r>
      <w:proofErr w:type="gramEnd"/>
      <w:r w:rsidRPr="00B14C4D">
        <w:rPr>
          <w:rFonts w:asciiTheme="minorHAnsi" w:eastAsia="Times New Roman" w:hAnsiTheme="minorHAnsi" w:cstheme="minorHAnsi"/>
        </w:rPr>
        <w:t xml:space="preserve"> of the injury.</w:t>
      </w:r>
    </w:p>
    <w:p w14:paraId="0E376BFF" w14:textId="77777777" w:rsidR="00BA206C" w:rsidRPr="00B14C4D" w:rsidRDefault="00BA206C" w:rsidP="0095444A">
      <w:pPr>
        <w:spacing w:after="0"/>
        <w:ind w:left="720"/>
        <w:jc w:val="both"/>
        <w:rPr>
          <w:rFonts w:asciiTheme="minorHAnsi" w:eastAsia="Times New Roman" w:hAnsiTheme="minorHAnsi" w:cstheme="minorHAnsi"/>
        </w:rPr>
      </w:pPr>
    </w:p>
    <w:p w14:paraId="7F36DD57" w14:textId="77777777" w:rsidR="00BA206C" w:rsidRPr="00B14C4D" w:rsidRDefault="00BA206C" w:rsidP="0095444A">
      <w:pPr>
        <w:spacing w:after="0"/>
        <w:ind w:left="720"/>
        <w:jc w:val="both"/>
        <w:rPr>
          <w:rFonts w:asciiTheme="minorHAnsi" w:eastAsia="Times New Roman" w:hAnsiTheme="minorHAnsi" w:cstheme="minorHAnsi"/>
        </w:rPr>
      </w:pPr>
      <w:r w:rsidRPr="00B14C4D">
        <w:rPr>
          <w:rFonts w:asciiTheme="minorHAnsi" w:eastAsia="Times New Roman" w:hAnsiTheme="minorHAnsi" w:cstheme="minorHAnsi"/>
        </w:rPr>
        <w:t>An open fracture was rejected, because, it requires different treatment than a closed fracture, in which there is no open wound, yet, the ICD-10 code includes both fracture types. Once the skin is broken, bacteria from contaminants can enter the wound and cause infection; where, early treatment for an open fracture focuses on cleansing the wound and preventing infection at the site of the injury. In both cases, the fractured bone must be stabilized to allow healing.</w:t>
      </w:r>
    </w:p>
    <w:p w14:paraId="76D64C49" w14:textId="77777777" w:rsidR="00BA206C" w:rsidRPr="00B14C4D" w:rsidRDefault="00BA206C" w:rsidP="0095444A">
      <w:pPr>
        <w:spacing w:after="0"/>
        <w:ind w:left="720"/>
        <w:jc w:val="both"/>
        <w:rPr>
          <w:rFonts w:asciiTheme="minorHAnsi" w:eastAsia="Times New Roman" w:hAnsiTheme="minorHAnsi" w:cstheme="minorHAnsi"/>
          <w:b/>
        </w:rPr>
      </w:pPr>
    </w:p>
    <w:p w14:paraId="16398C20" w14:textId="77777777" w:rsidR="00BA206C" w:rsidRPr="00B14C4D" w:rsidRDefault="00BA206C" w:rsidP="0095444A">
      <w:pPr>
        <w:spacing w:after="0" w:line="276" w:lineRule="auto"/>
        <w:ind w:left="720"/>
        <w:rPr>
          <w:rFonts w:asciiTheme="minorHAnsi" w:hAnsiTheme="minorHAnsi" w:cstheme="minorHAnsi"/>
        </w:rPr>
      </w:pPr>
      <w:r w:rsidRPr="00B14C4D">
        <w:rPr>
          <w:rFonts w:asciiTheme="minorHAnsi" w:eastAsia="Times New Roman" w:hAnsiTheme="minorHAnsi" w:cstheme="minorHAnsi"/>
          <w:b/>
        </w:rPr>
        <w:t>Vignette</w:t>
      </w:r>
      <w:r w:rsidRPr="00B14C4D">
        <w:rPr>
          <w:rFonts w:asciiTheme="minorHAnsi" w:hAnsiTheme="minorHAnsi" w:cstheme="minorHAnsi"/>
        </w:rPr>
        <w:t xml:space="preserve">: 70 YO Patient fell on ice and presents to the ED; where, Orthopedics is called for evaluation and treatment of a type III closed displaced-fracture of the neck of the femur of the right leg. </w:t>
      </w:r>
    </w:p>
    <w:p w14:paraId="38C167FD" w14:textId="77777777" w:rsidR="00BA206C" w:rsidRPr="00B14C4D" w:rsidRDefault="00BA206C" w:rsidP="0095444A">
      <w:pPr>
        <w:spacing w:after="0" w:line="276" w:lineRule="auto"/>
        <w:ind w:left="1080"/>
        <w:rPr>
          <w:rFonts w:asciiTheme="minorHAnsi" w:hAnsiTheme="minorHAnsi" w:cstheme="minorHAnsi"/>
          <w:b/>
        </w:rPr>
      </w:pPr>
    </w:p>
    <w:p w14:paraId="6EBF2FDF" w14:textId="77777777" w:rsidR="00BA206C" w:rsidRPr="00B14C4D" w:rsidRDefault="00BA206C" w:rsidP="0095444A">
      <w:pPr>
        <w:spacing w:after="0" w:line="276" w:lineRule="auto"/>
        <w:ind w:left="720"/>
        <w:rPr>
          <w:rFonts w:asciiTheme="minorHAnsi" w:hAnsiTheme="minorHAnsi" w:cstheme="minorHAnsi"/>
        </w:rPr>
      </w:pPr>
      <w:r w:rsidRPr="00B14C4D">
        <w:rPr>
          <w:rFonts w:asciiTheme="minorHAnsi" w:hAnsiTheme="minorHAnsi" w:cstheme="minorHAnsi"/>
          <w:b/>
        </w:rPr>
        <w:t>2018 ICD-10-CM Diagnostic Code: S92.001 type III</w:t>
      </w:r>
      <w:r w:rsidRPr="00B14C4D">
        <w:rPr>
          <w:rFonts w:asciiTheme="minorHAnsi" w:hAnsiTheme="minorHAnsi" w:cstheme="minorHAnsi"/>
        </w:rPr>
        <w:t>; where,</w:t>
      </w:r>
      <w:r w:rsidRPr="00B14C4D">
        <w:rPr>
          <w:rFonts w:asciiTheme="minorHAnsi" w:hAnsiTheme="minorHAnsi" w:cstheme="minorHAnsi"/>
          <w:b/>
        </w:rPr>
        <w:t xml:space="preserve"> </w:t>
      </w:r>
      <w:r w:rsidRPr="00B14C4D">
        <w:rPr>
          <w:rFonts w:asciiTheme="minorHAnsi" w:hAnsiTheme="minorHAnsi" w:cstheme="minorHAnsi"/>
        </w:rPr>
        <w:t xml:space="preserve">the following fractures are type III: </w:t>
      </w:r>
    </w:p>
    <w:p w14:paraId="379C6B7C"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u w:val="single"/>
        </w:rPr>
      </w:pPr>
      <w:r w:rsidRPr="00B14C4D">
        <w:rPr>
          <w:rFonts w:asciiTheme="minorHAnsi" w:hAnsiTheme="minorHAnsi" w:cstheme="minorHAnsi"/>
          <w:u w:val="single"/>
        </w:rPr>
        <w:t xml:space="preserve">segmental fracture with displacement </w:t>
      </w:r>
    </w:p>
    <w:p w14:paraId="06D43610"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rPr>
      </w:pPr>
      <w:r w:rsidRPr="00B14C4D">
        <w:rPr>
          <w:rFonts w:asciiTheme="minorHAnsi" w:hAnsiTheme="minorHAnsi" w:cstheme="minorHAnsi"/>
        </w:rPr>
        <w:t xml:space="preserve">fracture with diaphyseal segmental loss; </w:t>
      </w:r>
    </w:p>
    <w:p w14:paraId="162AB844"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rPr>
      </w:pPr>
      <w:r w:rsidRPr="00B14C4D">
        <w:rPr>
          <w:rFonts w:asciiTheme="minorHAnsi" w:hAnsiTheme="minorHAnsi" w:cstheme="minorHAnsi"/>
        </w:rPr>
        <w:t xml:space="preserve">fracture with associated vascular injury requiring repair; </w:t>
      </w:r>
    </w:p>
    <w:p w14:paraId="7FEBC1DF"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rPr>
      </w:pPr>
      <w:r w:rsidRPr="00B14C4D">
        <w:rPr>
          <w:rFonts w:asciiTheme="minorHAnsi" w:hAnsiTheme="minorHAnsi" w:cstheme="minorHAnsi"/>
        </w:rPr>
        <w:t xml:space="preserve">farmyard injuries or highly contaminated wounds; </w:t>
      </w:r>
    </w:p>
    <w:p w14:paraId="1279788F"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rPr>
      </w:pPr>
      <w:r w:rsidRPr="00B14C4D">
        <w:rPr>
          <w:rFonts w:asciiTheme="minorHAnsi" w:hAnsiTheme="minorHAnsi" w:cstheme="minorHAnsi"/>
        </w:rPr>
        <w:t xml:space="preserve">high velocity gunshot wound; </w:t>
      </w:r>
    </w:p>
    <w:p w14:paraId="5912B2D4" w14:textId="77777777" w:rsidR="00BA206C" w:rsidRPr="00B14C4D" w:rsidRDefault="00BA206C" w:rsidP="00ED1A5D">
      <w:pPr>
        <w:pStyle w:val="ListParagraph"/>
        <w:numPr>
          <w:ilvl w:val="0"/>
          <w:numId w:val="5"/>
        </w:numPr>
        <w:spacing w:after="0" w:line="276" w:lineRule="auto"/>
        <w:ind w:left="1440"/>
        <w:rPr>
          <w:rFonts w:asciiTheme="minorHAnsi" w:hAnsiTheme="minorHAnsi" w:cstheme="minorHAnsi"/>
        </w:rPr>
      </w:pPr>
      <w:r w:rsidRPr="00B14C4D">
        <w:rPr>
          <w:rFonts w:asciiTheme="minorHAnsi" w:hAnsiTheme="minorHAnsi" w:cstheme="minorHAnsi"/>
        </w:rPr>
        <w:t>fracture caused by crushing force from fast moving vehicle;</w:t>
      </w:r>
    </w:p>
    <w:p w14:paraId="3D6367A7" w14:textId="77777777" w:rsidR="00BA206C" w:rsidRPr="00B14C4D" w:rsidRDefault="00BA206C" w:rsidP="0095444A">
      <w:pPr>
        <w:spacing w:after="0" w:line="276" w:lineRule="auto"/>
        <w:ind w:left="720"/>
        <w:jc w:val="both"/>
        <w:rPr>
          <w:rFonts w:asciiTheme="minorHAnsi" w:hAnsiTheme="minorHAnsi" w:cstheme="minorHAnsi"/>
        </w:rPr>
      </w:pPr>
    </w:p>
    <w:p w14:paraId="298C3614" w14:textId="77777777" w:rsidR="00BA206C" w:rsidRPr="00B14C4D" w:rsidRDefault="00BA206C" w:rsidP="0095444A">
      <w:pPr>
        <w:spacing w:after="0" w:line="276" w:lineRule="auto"/>
        <w:ind w:left="720"/>
        <w:jc w:val="both"/>
        <w:rPr>
          <w:rFonts w:asciiTheme="minorHAnsi" w:hAnsiTheme="minorHAnsi" w:cstheme="minorHAnsi"/>
        </w:rPr>
      </w:pPr>
      <w:r w:rsidRPr="00B14C4D">
        <w:rPr>
          <w:rFonts w:asciiTheme="minorHAnsi" w:hAnsiTheme="minorHAnsi" w:cstheme="minorHAnsi"/>
        </w:rPr>
        <w:t xml:space="preserve">The appropriate 7th character is to be added to all codes from category S52 (unless otherwise indicated). A initial encounter for closed fracture B initial encounter for open fracture type I or II initial encounter for open fracture NOS C initial encounter for open fracture type IIIA, IIIB, or IIIC D subsequent encounter for closed fracture with routine healing E subsequent encounter for open fracture type I or II with routine healing F subsequent encounter for open fracture type IIIA, IIIB, or IIIC with routine healing G subsequent encounter for closed fracture with delayed healing H subsequent encounter for open fracture type I or II with delayed healing J subsequent encounter for open fracture type IIIA, IIIB, or IIIC with delayed healing K subsequent encounter for closed fracture with nonunion M subsequent encounter for open fracture type I or II with nonunion N subsequent encounter for open fracture type IIIA, IIIB, or IIIC with nonunion P subsequent encounter for closed fracture with malunion Q subsequent encounter for open fracture type </w:t>
      </w:r>
      <w:r w:rsidRPr="00B14C4D">
        <w:rPr>
          <w:rFonts w:asciiTheme="minorHAnsi" w:hAnsiTheme="minorHAnsi" w:cstheme="minorHAnsi"/>
        </w:rPr>
        <w:lastRenderedPageBreak/>
        <w:t>I or II with malunion R subsequent encounter for open fracture type IIIA, IIIB, or IIIC with malunion S sequela.</w:t>
      </w:r>
    </w:p>
    <w:p w14:paraId="030370E4" w14:textId="77777777" w:rsidR="00BA206C" w:rsidRPr="00B14C4D" w:rsidRDefault="00BA206C" w:rsidP="0095444A">
      <w:pPr>
        <w:spacing w:after="0" w:line="276" w:lineRule="auto"/>
        <w:ind w:left="720"/>
        <w:rPr>
          <w:rFonts w:ascii="Arial Narrow" w:hAnsi="Arial Narrow" w:cs="Calibri"/>
          <w:b/>
        </w:rPr>
      </w:pPr>
    </w:p>
    <w:p w14:paraId="360E8337" w14:textId="77777777" w:rsidR="00BA206C" w:rsidRPr="00B14C4D" w:rsidRDefault="00BA206C" w:rsidP="0095444A">
      <w:pPr>
        <w:spacing w:after="0" w:line="276" w:lineRule="auto"/>
        <w:ind w:left="720"/>
        <w:rPr>
          <w:rFonts w:ascii="Arial Narrow" w:hAnsi="Arial Narrow" w:cs="Calibri"/>
          <w:b/>
        </w:rPr>
      </w:pPr>
      <w:r w:rsidRPr="00B14C4D">
        <w:rPr>
          <w:rFonts w:ascii="Arial Narrow" w:hAnsi="Arial Narrow" w:cs="Calibri"/>
          <w:b/>
        </w:rPr>
        <w:t xml:space="preserve">SNOMED CT </w:t>
      </w:r>
    </w:p>
    <w:p w14:paraId="65CCAB26" w14:textId="77777777" w:rsidR="00BA206C" w:rsidRPr="00B14C4D" w:rsidRDefault="00BA206C" w:rsidP="0095444A">
      <w:pPr>
        <w:spacing w:after="0" w:line="276" w:lineRule="auto"/>
        <w:ind w:left="720"/>
        <w:rPr>
          <w:rFonts w:ascii="Arial Narrow" w:eastAsia="Times New Roman" w:hAnsi="Arial Narrow" w:cs="Calibri"/>
          <w:color w:val="333333"/>
        </w:rPr>
      </w:pPr>
      <w:r w:rsidRPr="00B14C4D">
        <w:rPr>
          <w:rFonts w:ascii="Arial Narrow" w:eastAsia="Times New Roman" w:hAnsi="Arial Narrow" w:cs="Calibri"/>
          <w:color w:val="333333"/>
        </w:rPr>
        <w:t xml:space="preserve">Pre-coordinated Expression (*) </w:t>
      </w:r>
    </w:p>
    <w:p w14:paraId="77CEBD4C" w14:textId="77777777" w:rsidR="00BA206C" w:rsidRPr="00B14C4D" w:rsidRDefault="00BA206C" w:rsidP="0095444A">
      <w:pPr>
        <w:spacing w:after="0" w:line="276" w:lineRule="auto"/>
        <w:ind w:left="720"/>
        <w:rPr>
          <w:rFonts w:ascii="Arial Narrow" w:eastAsia="Times New Roman" w:hAnsi="Arial Narrow" w:cs="Calibri"/>
          <w:b/>
          <w:bCs/>
          <w:color w:val="333333"/>
        </w:rPr>
      </w:pPr>
      <w:r w:rsidRPr="00B14C4D">
        <w:rPr>
          <w:rFonts w:ascii="Arial Narrow" w:eastAsia="Times New Roman" w:hAnsi="Arial Narrow" w:cs="Calibri"/>
          <w:b/>
          <w:bCs/>
          <w:color w:val="333333"/>
        </w:rPr>
        <w:t xml:space="preserve">239284006 </w:t>
      </w:r>
      <w:r w:rsidRPr="00B14C4D">
        <w:rPr>
          <w:rFonts w:ascii="Arial Narrow" w:eastAsia="Times New Roman" w:hAnsi="Arial Narrow" w:cs="Calibri"/>
          <w:b/>
          <w:bCs/>
          <w:color w:val="086D11"/>
        </w:rPr>
        <w:t>|Primary open reduction of fracture of neck of femur and open fixation using Charnley compression screw (procedure)|</w:t>
      </w:r>
    </w:p>
    <w:p w14:paraId="51410D69" w14:textId="77777777" w:rsidR="00BA206C" w:rsidRPr="00B14C4D" w:rsidRDefault="00BA206C" w:rsidP="0095444A">
      <w:pPr>
        <w:spacing w:after="0" w:line="276" w:lineRule="auto"/>
        <w:ind w:left="720"/>
        <w:rPr>
          <w:rFonts w:ascii="Arial Narrow" w:eastAsia="Times New Roman" w:hAnsi="Arial Narrow" w:cs="Calibri"/>
          <w:color w:val="333333"/>
        </w:rPr>
      </w:pPr>
    </w:p>
    <w:p w14:paraId="47AC5846" w14:textId="77777777" w:rsidR="00BA206C" w:rsidRPr="00B14C4D" w:rsidRDefault="00BA206C" w:rsidP="0095444A">
      <w:pPr>
        <w:spacing w:after="0" w:line="276" w:lineRule="auto"/>
        <w:ind w:left="720"/>
        <w:rPr>
          <w:rFonts w:ascii="Arial Narrow" w:eastAsia="Times New Roman" w:hAnsi="Arial Narrow" w:cs="Calibri"/>
          <w:b/>
          <w:color w:val="333333"/>
        </w:rPr>
      </w:pPr>
      <w:r w:rsidRPr="00B14C4D">
        <w:rPr>
          <w:rFonts w:ascii="Arial Narrow" w:eastAsia="Times New Roman" w:hAnsi="Arial Narrow" w:cs="Calibri"/>
          <w:b/>
          <w:color w:val="333333"/>
        </w:rPr>
        <w:t xml:space="preserve">Expression from Stated Concept Definition (*) </w:t>
      </w:r>
    </w:p>
    <w:p w14:paraId="39C35B2F" w14:textId="77777777" w:rsidR="00BA206C" w:rsidRPr="00B14C4D" w:rsidRDefault="00BA206C" w:rsidP="0095444A">
      <w:pPr>
        <w:spacing w:after="0" w:line="276" w:lineRule="auto"/>
        <w:ind w:left="720"/>
        <w:rPr>
          <w:rFonts w:ascii="Arial Narrow" w:eastAsia="Times New Roman" w:hAnsi="Arial Narrow" w:cs="Calibri"/>
          <w:b/>
          <w:bCs/>
          <w:color w:val="333333"/>
        </w:rPr>
      </w:pPr>
      <w:r w:rsidRPr="00B14C4D">
        <w:rPr>
          <w:rFonts w:ascii="Arial Narrow" w:eastAsia="Times New Roman" w:hAnsi="Arial Narrow" w:cs="Calibri"/>
          <w:b/>
          <w:bCs/>
          <w:color w:val="A0522D"/>
        </w:rPr>
        <w:t>&lt;&lt;&lt;</w:t>
      </w:r>
      <w:r w:rsidRPr="00B14C4D">
        <w:rPr>
          <w:rFonts w:ascii="Arial Narrow" w:eastAsia="Times New Roman" w:hAnsi="Arial Narrow" w:cs="Calibri"/>
          <w:b/>
          <w:bCs/>
          <w:color w:val="333333"/>
        </w:rPr>
        <w:t xml:space="preserve"> 179035002 </w:t>
      </w:r>
      <w:r w:rsidRPr="00B14C4D">
        <w:rPr>
          <w:rFonts w:ascii="Arial Narrow" w:eastAsia="Times New Roman" w:hAnsi="Arial Narrow" w:cs="Calibri"/>
          <w:b/>
          <w:bCs/>
          <w:color w:val="086D11"/>
        </w:rPr>
        <w:t>|Primary open reduction of fracture and internal fixation with screw(s) (procedure)|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br/>
        <w:t xml:space="preserve"> </w:t>
      </w:r>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t xml:space="preserve"> 424226004 </w:t>
      </w:r>
      <w:r w:rsidRPr="00B14C4D">
        <w:rPr>
          <w:rFonts w:ascii="Arial Narrow" w:eastAsia="Times New Roman" w:hAnsi="Arial Narrow" w:cs="Calibri"/>
          <w:b/>
          <w:bCs/>
          <w:color w:val="086D11"/>
        </w:rPr>
        <w:t>|Using device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68183006 </w:t>
      </w:r>
      <w:r w:rsidRPr="00B14C4D">
        <w:rPr>
          <w:rFonts w:ascii="Arial Narrow" w:eastAsia="Times New Roman" w:hAnsi="Arial Narrow" w:cs="Calibri"/>
          <w:b/>
          <w:bCs/>
          <w:color w:val="086D11"/>
        </w:rPr>
        <w:t>|Bone screw, device (physical object)|</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260686004 </w:t>
      </w:r>
      <w:r w:rsidRPr="00B14C4D">
        <w:rPr>
          <w:rFonts w:ascii="Arial Narrow" w:eastAsia="Times New Roman" w:hAnsi="Arial Narrow" w:cs="Calibri"/>
          <w:b/>
          <w:bCs/>
          <w:color w:val="086D11"/>
        </w:rPr>
        <w:t>|Method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129371009 </w:t>
      </w:r>
      <w:r w:rsidRPr="00B14C4D">
        <w:rPr>
          <w:rFonts w:ascii="Arial Narrow" w:eastAsia="Times New Roman" w:hAnsi="Arial Narrow" w:cs="Calibri"/>
          <w:b/>
          <w:bCs/>
          <w:color w:val="086D11"/>
        </w:rPr>
        <w:t>|Fixation - action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363700003 </w:t>
      </w:r>
      <w:r w:rsidRPr="00B14C4D">
        <w:rPr>
          <w:rFonts w:ascii="Arial Narrow" w:eastAsia="Times New Roman" w:hAnsi="Arial Narrow" w:cs="Calibri"/>
          <w:b/>
          <w:bCs/>
          <w:color w:val="086D11"/>
        </w:rPr>
        <w:t>|Direct morphology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72704001 </w:t>
      </w:r>
      <w:r w:rsidRPr="00B14C4D">
        <w:rPr>
          <w:rFonts w:ascii="Arial Narrow" w:eastAsia="Times New Roman" w:hAnsi="Arial Narrow" w:cs="Calibri"/>
          <w:b/>
          <w:bCs/>
          <w:color w:val="086D11"/>
        </w:rPr>
        <w:t>|Fracture (morphologic abnormality)|</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246513007 </w:t>
      </w:r>
      <w:r w:rsidRPr="00B14C4D">
        <w:rPr>
          <w:rFonts w:ascii="Arial Narrow" w:eastAsia="Times New Roman" w:hAnsi="Arial Narrow" w:cs="Calibri"/>
          <w:b/>
          <w:bCs/>
          <w:color w:val="086D11"/>
        </w:rPr>
        <w:t>|Revision status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261424001 </w:t>
      </w:r>
      <w:r w:rsidRPr="00B14C4D">
        <w:rPr>
          <w:rFonts w:ascii="Arial Narrow" w:eastAsia="Times New Roman" w:hAnsi="Arial Narrow" w:cs="Calibri"/>
          <w:b/>
          <w:bCs/>
          <w:color w:val="086D11"/>
        </w:rPr>
        <w:t>|Primary operation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405813007 </w:t>
      </w:r>
      <w:r w:rsidRPr="00B14C4D">
        <w:rPr>
          <w:rFonts w:ascii="Arial Narrow" w:eastAsia="Times New Roman" w:hAnsi="Arial Narrow" w:cs="Calibri"/>
          <w:b/>
          <w:bCs/>
          <w:color w:val="086D11"/>
        </w:rPr>
        <w:t>|Procedure site - Direct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29627003 </w:t>
      </w:r>
      <w:r w:rsidRPr="00B14C4D">
        <w:rPr>
          <w:rFonts w:ascii="Arial Narrow" w:eastAsia="Times New Roman" w:hAnsi="Arial Narrow" w:cs="Calibri"/>
          <w:b/>
          <w:bCs/>
          <w:color w:val="086D11"/>
        </w:rPr>
        <w:t>|Structure of neck of femur (body structure)|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br/>
        <w:t xml:space="preserve"> </w:t>
      </w:r>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t xml:space="preserve"> 363700003 </w:t>
      </w:r>
      <w:r w:rsidRPr="00B14C4D">
        <w:rPr>
          <w:rFonts w:ascii="Arial Narrow" w:eastAsia="Times New Roman" w:hAnsi="Arial Narrow" w:cs="Calibri"/>
          <w:b/>
          <w:bCs/>
          <w:color w:val="086D11"/>
        </w:rPr>
        <w:t>|Direct morphology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72704001 </w:t>
      </w:r>
      <w:r w:rsidRPr="00B14C4D">
        <w:rPr>
          <w:rFonts w:ascii="Arial Narrow" w:eastAsia="Times New Roman" w:hAnsi="Arial Narrow" w:cs="Calibri"/>
          <w:b/>
          <w:bCs/>
          <w:color w:val="086D11"/>
        </w:rPr>
        <w:t>|Fracture (morphologic abnormality)|</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260686004 </w:t>
      </w:r>
      <w:r w:rsidRPr="00B14C4D">
        <w:rPr>
          <w:rFonts w:ascii="Arial Narrow" w:eastAsia="Times New Roman" w:hAnsi="Arial Narrow" w:cs="Calibri"/>
          <w:b/>
          <w:bCs/>
          <w:color w:val="086D11"/>
        </w:rPr>
        <w:t>|Method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426530000 </w:t>
      </w:r>
      <w:r w:rsidRPr="00B14C4D">
        <w:rPr>
          <w:rFonts w:ascii="Arial Narrow" w:eastAsia="Times New Roman" w:hAnsi="Arial Narrow" w:cs="Calibri"/>
          <w:b/>
          <w:bCs/>
          <w:color w:val="086D11"/>
        </w:rPr>
        <w:t>|Open reduction - action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246513007 </w:t>
      </w:r>
      <w:r w:rsidRPr="00B14C4D">
        <w:rPr>
          <w:rFonts w:ascii="Arial Narrow" w:eastAsia="Times New Roman" w:hAnsi="Arial Narrow" w:cs="Calibri"/>
          <w:b/>
          <w:bCs/>
          <w:color w:val="086D11"/>
        </w:rPr>
        <w:t>|Revision status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261424001 </w:t>
      </w:r>
      <w:r w:rsidRPr="00B14C4D">
        <w:rPr>
          <w:rFonts w:ascii="Arial Narrow" w:eastAsia="Times New Roman" w:hAnsi="Arial Narrow" w:cs="Calibri"/>
          <w:b/>
          <w:bCs/>
          <w:color w:val="086D11"/>
        </w:rPr>
        <w:t>|Primary operation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405813007 </w:t>
      </w:r>
      <w:r w:rsidRPr="00B14C4D">
        <w:rPr>
          <w:rFonts w:ascii="Arial Narrow" w:eastAsia="Times New Roman" w:hAnsi="Arial Narrow" w:cs="Calibri"/>
          <w:b/>
          <w:bCs/>
          <w:color w:val="086D11"/>
        </w:rPr>
        <w:t>|Procedure site - Direct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29627003 </w:t>
      </w:r>
      <w:r w:rsidRPr="00B14C4D">
        <w:rPr>
          <w:rFonts w:ascii="Arial Narrow" w:eastAsia="Times New Roman" w:hAnsi="Arial Narrow" w:cs="Calibri"/>
          <w:b/>
          <w:bCs/>
          <w:color w:val="086D11"/>
        </w:rPr>
        <w:t>|Structure of neck of femur (body structure)|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00AA"/>
        </w:rPr>
        <w:t>}</w:t>
      </w:r>
    </w:p>
    <w:p w14:paraId="168DE72E" w14:textId="77777777" w:rsidR="00BA206C" w:rsidRPr="00B14C4D" w:rsidRDefault="00BA206C" w:rsidP="0095444A">
      <w:pPr>
        <w:spacing w:after="0" w:line="276" w:lineRule="auto"/>
        <w:ind w:left="720"/>
        <w:rPr>
          <w:rFonts w:ascii="Arial Narrow" w:eastAsia="Times New Roman" w:hAnsi="Arial Narrow" w:cs="Calibri"/>
          <w:color w:val="333333"/>
        </w:rPr>
      </w:pPr>
    </w:p>
    <w:p w14:paraId="5CEA7FAA" w14:textId="77777777" w:rsidR="00BA206C" w:rsidRPr="00B14C4D" w:rsidRDefault="00BA206C" w:rsidP="0095444A">
      <w:pPr>
        <w:spacing w:after="0" w:line="276" w:lineRule="auto"/>
        <w:ind w:left="720"/>
        <w:rPr>
          <w:rFonts w:ascii="Arial Narrow" w:eastAsia="Times New Roman" w:hAnsi="Arial Narrow" w:cs="Calibri"/>
          <w:b/>
          <w:color w:val="333333"/>
        </w:rPr>
      </w:pPr>
      <w:r w:rsidRPr="00B14C4D">
        <w:rPr>
          <w:rFonts w:ascii="Arial Narrow" w:eastAsia="Times New Roman" w:hAnsi="Arial Narrow" w:cs="Calibri"/>
          <w:b/>
          <w:color w:val="333333"/>
        </w:rPr>
        <w:t xml:space="preserve">Expression from Inferred Concept Definition (*) </w:t>
      </w:r>
    </w:p>
    <w:p w14:paraId="2B308030" w14:textId="77777777" w:rsidR="00BA206C" w:rsidRPr="00B14C4D" w:rsidRDefault="00BA206C" w:rsidP="0095444A">
      <w:pPr>
        <w:spacing w:after="0" w:line="276" w:lineRule="auto"/>
        <w:ind w:left="720"/>
        <w:rPr>
          <w:rFonts w:ascii="Arial Narrow" w:eastAsia="Times New Roman" w:hAnsi="Arial Narrow" w:cs="Calibri"/>
          <w:b/>
          <w:bCs/>
          <w:color w:val="333333"/>
        </w:rPr>
      </w:pPr>
      <w:r w:rsidRPr="00B14C4D">
        <w:rPr>
          <w:rFonts w:ascii="Arial Narrow" w:eastAsia="Times New Roman" w:hAnsi="Arial Narrow" w:cs="Calibri"/>
          <w:b/>
          <w:bCs/>
          <w:color w:val="A0522D"/>
        </w:rPr>
        <w:t>&lt;&lt;&lt;</w:t>
      </w:r>
      <w:r w:rsidRPr="00B14C4D">
        <w:rPr>
          <w:rFonts w:ascii="Arial Narrow" w:eastAsia="Times New Roman" w:hAnsi="Arial Narrow" w:cs="Calibri"/>
          <w:b/>
          <w:bCs/>
          <w:color w:val="333333"/>
        </w:rPr>
        <w:t xml:space="preserve"> 57470004 </w:t>
      </w:r>
      <w:r w:rsidRPr="00B14C4D">
        <w:rPr>
          <w:rFonts w:ascii="Arial Narrow" w:eastAsia="Times New Roman" w:hAnsi="Arial Narrow" w:cs="Calibri"/>
          <w:b/>
          <w:bCs/>
          <w:color w:val="086D11"/>
        </w:rPr>
        <w:t>|Open reduction of fracture of femur with internal fixation (procedure)|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80742007 </w:t>
      </w:r>
      <w:r w:rsidRPr="00B14C4D">
        <w:rPr>
          <w:rFonts w:ascii="Arial Narrow" w:eastAsia="Times New Roman" w:hAnsi="Arial Narrow" w:cs="Calibri"/>
          <w:b/>
          <w:bCs/>
          <w:color w:val="086D11"/>
        </w:rPr>
        <w:t>|Fixation of hip (procedure)|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179035002 </w:t>
      </w:r>
      <w:r w:rsidRPr="00B14C4D">
        <w:rPr>
          <w:rFonts w:ascii="Arial Narrow" w:eastAsia="Times New Roman" w:hAnsi="Arial Narrow" w:cs="Calibri"/>
          <w:b/>
          <w:bCs/>
          <w:color w:val="086D11"/>
        </w:rPr>
        <w:t>|Primary open reduction of fracture and internal fixation with screw(s) (procedure)|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br/>
        <w:t xml:space="preserve"> </w:t>
      </w:r>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t xml:space="preserve"> 424226004 </w:t>
      </w:r>
      <w:r w:rsidRPr="00B14C4D">
        <w:rPr>
          <w:rFonts w:ascii="Arial Narrow" w:eastAsia="Times New Roman" w:hAnsi="Arial Narrow" w:cs="Calibri"/>
          <w:b/>
          <w:bCs/>
          <w:color w:val="086D11"/>
        </w:rPr>
        <w:t>|Using device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68183006 </w:t>
      </w:r>
      <w:r w:rsidRPr="00B14C4D">
        <w:rPr>
          <w:rFonts w:ascii="Arial Narrow" w:eastAsia="Times New Roman" w:hAnsi="Arial Narrow" w:cs="Calibri"/>
          <w:b/>
          <w:bCs/>
          <w:color w:val="086D11"/>
        </w:rPr>
        <w:t>|Bone screw, device (physical object)|</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260686004 </w:t>
      </w:r>
      <w:r w:rsidRPr="00B14C4D">
        <w:rPr>
          <w:rFonts w:ascii="Arial Narrow" w:eastAsia="Times New Roman" w:hAnsi="Arial Narrow" w:cs="Calibri"/>
          <w:b/>
          <w:bCs/>
          <w:color w:val="086D11"/>
        </w:rPr>
        <w:t>|Method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129371009 </w:t>
      </w:r>
      <w:r w:rsidRPr="00B14C4D">
        <w:rPr>
          <w:rFonts w:ascii="Arial Narrow" w:eastAsia="Times New Roman" w:hAnsi="Arial Narrow" w:cs="Calibri"/>
          <w:b/>
          <w:bCs/>
          <w:color w:val="086D11"/>
        </w:rPr>
        <w:t>|Fixation - action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700003 </w:t>
      </w:r>
      <w:r w:rsidRPr="00B14C4D">
        <w:rPr>
          <w:rFonts w:ascii="Arial Narrow" w:eastAsia="Times New Roman" w:hAnsi="Arial Narrow" w:cs="Calibri"/>
          <w:b/>
          <w:bCs/>
          <w:color w:val="086D11"/>
        </w:rPr>
        <w:t>|Direct morphology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72704001 </w:t>
      </w:r>
      <w:r w:rsidRPr="00B14C4D">
        <w:rPr>
          <w:rFonts w:ascii="Arial Narrow" w:eastAsia="Times New Roman" w:hAnsi="Arial Narrow" w:cs="Calibri"/>
          <w:b/>
          <w:bCs/>
          <w:color w:val="086D11"/>
        </w:rPr>
        <w:t>|Fracture (morphologic abnormality)|</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246513007 </w:t>
      </w:r>
      <w:r w:rsidRPr="00B14C4D">
        <w:rPr>
          <w:rFonts w:ascii="Arial Narrow" w:eastAsia="Times New Roman" w:hAnsi="Arial Narrow" w:cs="Calibri"/>
          <w:b/>
          <w:bCs/>
          <w:color w:val="086D11"/>
        </w:rPr>
        <w:t>|Revision status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261424001 </w:t>
      </w:r>
      <w:r w:rsidRPr="00B14C4D">
        <w:rPr>
          <w:rFonts w:ascii="Arial Narrow" w:eastAsia="Times New Roman" w:hAnsi="Arial Narrow" w:cs="Calibri"/>
          <w:b/>
          <w:bCs/>
          <w:color w:val="086D11"/>
        </w:rPr>
        <w:t>|Primary operation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405813007 </w:t>
      </w:r>
      <w:r w:rsidRPr="00B14C4D">
        <w:rPr>
          <w:rFonts w:ascii="Arial Narrow" w:eastAsia="Times New Roman" w:hAnsi="Arial Narrow" w:cs="Calibri"/>
          <w:b/>
          <w:bCs/>
          <w:color w:val="086D11"/>
        </w:rPr>
        <w:t>|Procedure site - Direct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29627003 </w:t>
      </w:r>
      <w:r w:rsidRPr="00B14C4D">
        <w:rPr>
          <w:rFonts w:ascii="Arial Narrow" w:eastAsia="Times New Roman" w:hAnsi="Arial Narrow" w:cs="Calibri"/>
          <w:b/>
          <w:bCs/>
          <w:color w:val="086D11"/>
        </w:rPr>
        <w:t>|Structure of neck of femur (body structure)|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br/>
        <w:t xml:space="preserve"> </w:t>
      </w:r>
    </w:p>
    <w:p w14:paraId="7EB28CB2" w14:textId="77777777" w:rsidR="00BA206C" w:rsidRPr="00B14C4D" w:rsidRDefault="00BA206C" w:rsidP="0095444A">
      <w:pPr>
        <w:spacing w:after="0" w:line="276" w:lineRule="auto"/>
        <w:ind w:left="720"/>
        <w:rPr>
          <w:rFonts w:ascii="Arial Narrow" w:eastAsia="Times New Roman" w:hAnsi="Arial Narrow" w:cs="Calibri"/>
          <w:b/>
          <w:bCs/>
          <w:color w:val="3300AA"/>
        </w:rPr>
      </w:pPr>
      <w:r w:rsidRPr="00B14C4D">
        <w:rPr>
          <w:rFonts w:ascii="Arial Narrow" w:eastAsia="Times New Roman" w:hAnsi="Arial Narrow" w:cs="Calibri"/>
          <w:b/>
          <w:bCs/>
          <w:color w:val="333333"/>
        </w:rPr>
        <w:t> </w:t>
      </w:r>
      <w:proofErr w:type="gramStart"/>
      <w:r w:rsidRPr="00B14C4D">
        <w:rPr>
          <w:rFonts w:ascii="Arial Narrow" w:eastAsia="Times New Roman" w:hAnsi="Arial Narrow" w:cs="Calibri"/>
          <w:b/>
          <w:bCs/>
          <w:color w:val="3300AA"/>
        </w:rPr>
        <w:t>{</w:t>
      </w:r>
      <w:r w:rsidRPr="00B14C4D">
        <w:rPr>
          <w:rFonts w:ascii="Arial Narrow" w:eastAsia="Times New Roman" w:hAnsi="Arial Narrow" w:cs="Calibri"/>
          <w:b/>
          <w:bCs/>
          <w:color w:val="333333"/>
        </w:rPr>
        <w:t xml:space="preserve"> 363700003</w:t>
      </w:r>
      <w:proofErr w:type="gramEnd"/>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086D11"/>
        </w:rPr>
        <w:t>|Direct morphology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72704001 </w:t>
      </w:r>
      <w:r w:rsidRPr="00B14C4D">
        <w:rPr>
          <w:rFonts w:ascii="Arial Narrow" w:eastAsia="Times New Roman" w:hAnsi="Arial Narrow" w:cs="Calibri"/>
          <w:b/>
          <w:bCs/>
          <w:color w:val="086D11"/>
        </w:rPr>
        <w:t>|Fracture (morphologic abnormality)|</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260686004 </w:t>
      </w:r>
      <w:r w:rsidRPr="00B14C4D">
        <w:rPr>
          <w:rFonts w:ascii="Arial Narrow" w:eastAsia="Times New Roman" w:hAnsi="Arial Narrow" w:cs="Calibri"/>
          <w:b/>
          <w:bCs/>
          <w:color w:val="086D11"/>
        </w:rPr>
        <w:t>|Method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426530000 </w:t>
      </w:r>
      <w:r w:rsidRPr="00B14C4D">
        <w:rPr>
          <w:rFonts w:ascii="Arial Narrow" w:eastAsia="Times New Roman" w:hAnsi="Arial Narrow" w:cs="Calibri"/>
          <w:b/>
          <w:bCs/>
          <w:color w:val="086D11"/>
        </w:rPr>
        <w:t>|Open reduction - action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246513007 </w:t>
      </w:r>
      <w:r w:rsidRPr="00B14C4D">
        <w:rPr>
          <w:rFonts w:ascii="Arial Narrow" w:eastAsia="Times New Roman" w:hAnsi="Arial Narrow" w:cs="Calibri"/>
          <w:b/>
          <w:bCs/>
          <w:color w:val="086D11"/>
        </w:rPr>
        <w:t>|Revision status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261424001 </w:t>
      </w:r>
      <w:r w:rsidRPr="00B14C4D">
        <w:rPr>
          <w:rFonts w:ascii="Arial Narrow" w:eastAsia="Times New Roman" w:hAnsi="Arial Narrow" w:cs="Calibri"/>
          <w:b/>
          <w:bCs/>
          <w:color w:val="086D11"/>
        </w:rPr>
        <w:t>|Primary operation (qualifier value)|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3333"/>
        </w:rPr>
        <w:br/>
        <w:t xml:space="preserve"> 405813007 </w:t>
      </w:r>
      <w:r w:rsidRPr="00B14C4D">
        <w:rPr>
          <w:rFonts w:ascii="Arial Narrow" w:eastAsia="Times New Roman" w:hAnsi="Arial Narrow" w:cs="Calibri"/>
          <w:b/>
          <w:bCs/>
          <w:color w:val="086D11"/>
        </w:rPr>
        <w:t>|Procedure site - Direct (attribute)|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A0522D"/>
        </w:rPr>
        <w:t>=</w:t>
      </w:r>
      <w:r w:rsidRPr="00B14C4D">
        <w:rPr>
          <w:rFonts w:ascii="Arial Narrow" w:eastAsia="Times New Roman" w:hAnsi="Arial Narrow" w:cs="Calibri"/>
          <w:b/>
          <w:bCs/>
          <w:color w:val="333333"/>
        </w:rPr>
        <w:t xml:space="preserve"> 29627003 </w:t>
      </w:r>
      <w:r w:rsidRPr="00B14C4D">
        <w:rPr>
          <w:rFonts w:ascii="Arial Narrow" w:eastAsia="Times New Roman" w:hAnsi="Arial Narrow" w:cs="Calibri"/>
          <w:b/>
          <w:bCs/>
          <w:color w:val="086D11"/>
        </w:rPr>
        <w:t>|Structure of neck of femur (body structure)|</w:t>
      </w:r>
      <w:r w:rsidRPr="00B14C4D">
        <w:rPr>
          <w:rFonts w:ascii="Arial Narrow" w:eastAsia="Times New Roman" w:hAnsi="Arial Narrow" w:cs="Calibri"/>
          <w:b/>
          <w:bCs/>
          <w:color w:val="333333"/>
        </w:rPr>
        <w:t xml:space="preserve"> </w:t>
      </w:r>
      <w:r w:rsidRPr="00B14C4D">
        <w:rPr>
          <w:rFonts w:ascii="Arial Narrow" w:eastAsia="Times New Roman" w:hAnsi="Arial Narrow" w:cs="Calibri"/>
          <w:b/>
          <w:bCs/>
          <w:color w:val="3300AA"/>
        </w:rPr>
        <w:t>}</w:t>
      </w:r>
    </w:p>
    <w:p w14:paraId="419F7D59" w14:textId="05D3DC58" w:rsidR="00556260" w:rsidRPr="00B14C4D" w:rsidRDefault="00556260" w:rsidP="007D7280">
      <w:pPr>
        <w:spacing w:after="0" w:line="240" w:lineRule="auto"/>
        <w:rPr>
          <w:rFonts w:ascii="Arial Narrow" w:eastAsia="Times New Roman" w:hAnsi="Arial Narrow" w:cs="Calibri"/>
          <w:b/>
          <w:bCs/>
        </w:rPr>
      </w:pPr>
    </w:p>
    <w:sectPr w:rsidR="00556260" w:rsidRPr="00B14C4D" w:rsidSect="00E36F75">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11814" w14:textId="77777777" w:rsidR="000459C5" w:rsidRDefault="000459C5" w:rsidP="0028121C">
      <w:pPr>
        <w:spacing w:after="0" w:line="240" w:lineRule="auto"/>
      </w:pPr>
      <w:r>
        <w:separator/>
      </w:r>
    </w:p>
  </w:endnote>
  <w:endnote w:type="continuationSeparator" w:id="0">
    <w:p w14:paraId="25D4612C" w14:textId="77777777" w:rsidR="000459C5" w:rsidRDefault="000459C5" w:rsidP="0028121C">
      <w:pPr>
        <w:spacing w:after="0" w:line="240" w:lineRule="auto"/>
      </w:pPr>
      <w:r>
        <w:continuationSeparator/>
      </w:r>
    </w:p>
  </w:endnote>
  <w:endnote w:type="continuationNotice" w:id="1">
    <w:p w14:paraId="3131D3E8" w14:textId="77777777" w:rsidR="000459C5" w:rsidRDefault="000459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6BDF2" w14:textId="071652C1" w:rsidR="00C55057" w:rsidRPr="00935EAB" w:rsidRDefault="00235BA7" w:rsidP="00935EAB">
    <w:pPr>
      <w:spacing w:after="0" w:line="276" w:lineRule="auto"/>
      <w:jc w:val="center"/>
      <w:rPr>
        <w:rFonts w:ascii="Arial Narrow" w:hAnsi="Arial Narrow"/>
        <w:sz w:val="18"/>
      </w:rPr>
    </w:pPr>
    <w:r w:rsidRPr="00235BA7">
      <w:rPr>
        <w:rFonts w:ascii="Arial Narrow" w:hAnsi="Arial Narrow"/>
        <w:sz w:val="18"/>
      </w:rPr>
      <w:t xml:space="preserve">TEFCA-USCDI </w:t>
    </w:r>
    <w:r w:rsidR="00CE7E18" w:rsidRPr="00235BA7">
      <w:rPr>
        <w:rFonts w:ascii="Arial Narrow" w:hAnsi="Arial Narrow"/>
        <w:sz w:val="18"/>
      </w:rPr>
      <w:t>Healthcare IT</w:t>
    </w:r>
    <w:r w:rsidRPr="00235BA7">
      <w:rPr>
        <w:rFonts w:ascii="Arial Narrow" w:hAnsi="Arial Narrow"/>
        <w:sz w:val="18"/>
      </w:rPr>
      <w:t xml:space="preserve"> </w:t>
    </w:r>
    <w:r w:rsidR="00FF469F">
      <w:rPr>
        <w:rFonts w:ascii="Arial Narrow" w:hAnsi="Arial Narrow"/>
        <w:sz w:val="18"/>
      </w:rPr>
      <w:t>Data-</w:t>
    </w:r>
    <w:r w:rsidR="00946A68">
      <w:rPr>
        <w:rFonts w:ascii="Arial Narrow" w:hAnsi="Arial Narrow"/>
        <w:sz w:val="18"/>
      </w:rPr>
      <w:t>Quality</w:t>
    </w:r>
    <w:r w:rsidR="00FF469F">
      <w:rPr>
        <w:rFonts w:ascii="Arial Narrow" w:hAnsi="Arial Narrow"/>
        <w:sz w:val="18"/>
      </w:rPr>
      <w:t xml:space="preserve"> </w:t>
    </w:r>
    <w:r w:rsidR="00E14CB8">
      <w:rPr>
        <w:rFonts w:ascii="Arial Narrow" w:hAnsi="Arial Narrow"/>
        <w:sz w:val="18"/>
      </w:rPr>
      <w:t>Risk-M</w:t>
    </w:r>
    <w:r w:rsidR="009F5633">
      <w:rPr>
        <w:rFonts w:ascii="Arial Narrow" w:hAnsi="Arial Narrow"/>
        <w:sz w:val="18"/>
      </w:rPr>
      <w:t>itigation</w:t>
    </w:r>
    <w:r w:rsidR="00E14CB8">
      <w:rPr>
        <w:rFonts w:ascii="Arial Narrow" w:hAnsi="Arial Narrow"/>
        <w:sz w:val="18"/>
      </w:rPr>
      <w:t xml:space="preserve"> </w:t>
    </w:r>
    <w:r w:rsidR="00065731">
      <w:rPr>
        <w:rFonts w:ascii="Arial Narrow" w:hAnsi="Arial Narrow"/>
        <w:sz w:val="18"/>
      </w:rPr>
      <w:t>Strategy</w:t>
    </w:r>
    <w:r w:rsidR="00FF469F">
      <w:rPr>
        <w:rFonts w:ascii="Arial Narrow" w:hAnsi="Arial Narrow"/>
        <w:sz w:val="18"/>
      </w:rPr>
      <w:t xml:space="preserve"> </w:t>
    </w:r>
    <w:r w:rsidR="00065731" w:rsidRPr="0029100E">
      <w:rPr>
        <w:rFonts w:ascii="Arial Narrow" w:eastAsia="Times New Roman" w:hAnsi="Arial Narrow" w:cs="Calibri"/>
        <w:sz w:val="18"/>
      </w:rPr>
      <w:tab/>
    </w:r>
    <w:r w:rsidR="00DF2D1E">
      <w:rPr>
        <w:rFonts w:ascii="Arial Narrow" w:eastAsia="Times New Roman" w:hAnsi="Arial Narrow" w:cs="Calibri"/>
        <w:sz w:val="18"/>
      </w:rPr>
      <w:tab/>
    </w:r>
    <w:r w:rsidR="005A749C" w:rsidRPr="0029100E">
      <w:rPr>
        <w:rFonts w:ascii="Arial Narrow" w:eastAsia="Times New Roman" w:hAnsi="Arial Narrow" w:cs="Calibri"/>
        <w:sz w:val="18"/>
      </w:rPr>
      <w:tab/>
    </w:r>
    <w:r w:rsidR="005A749C" w:rsidRPr="0029100E">
      <w:rPr>
        <w:rFonts w:ascii="Arial Narrow" w:eastAsia="Times New Roman" w:hAnsi="Arial Narrow" w:cs="Calibri"/>
        <w:sz w:val="18"/>
      </w:rPr>
      <w:tab/>
    </w:r>
    <w:r w:rsidR="00065731" w:rsidRPr="0029100E">
      <w:rPr>
        <w:rFonts w:ascii="Arial Narrow" w:eastAsia="Times New Roman" w:hAnsi="Arial Narrow" w:cs="Calibri"/>
        <w:sz w:val="18"/>
      </w:rPr>
      <w:tab/>
    </w:r>
    <w:r w:rsidR="007F4E87" w:rsidRPr="0029100E">
      <w:rPr>
        <w:rFonts w:ascii="Arial Narrow" w:eastAsia="Times New Roman" w:hAnsi="Arial Narrow" w:cs="Calibri"/>
        <w:sz w:val="18"/>
      </w:rPr>
      <w:tab/>
    </w:r>
    <w:r w:rsidR="004052D8" w:rsidRPr="0029100E">
      <w:rPr>
        <w:rFonts w:ascii="Arial Narrow" w:eastAsia="Times New Roman" w:hAnsi="Arial Narrow" w:cs="Calibri"/>
        <w:sz w:val="18"/>
      </w:rPr>
      <w:t>2018</w:t>
    </w:r>
    <w:r w:rsidR="00C55057" w:rsidRPr="00B93203">
      <w:rPr>
        <w:rFonts w:ascii="Arial Narrow" w:hAnsi="Arial Narrow"/>
        <w:sz w:val="18"/>
      </w:rPr>
      <w:t>-0</w:t>
    </w:r>
    <w:r w:rsidR="00BD5E99">
      <w:rPr>
        <w:rFonts w:ascii="Arial Narrow" w:hAnsi="Arial Narrow"/>
        <w:sz w:val="18"/>
      </w:rPr>
      <w:t>2</w:t>
    </w:r>
    <w:r w:rsidR="00C55057" w:rsidRPr="00B93203">
      <w:rPr>
        <w:rFonts w:ascii="Arial Narrow" w:hAnsi="Arial Narrow"/>
        <w:sz w:val="18"/>
      </w:rPr>
      <w:t>-</w:t>
    </w:r>
    <w:r w:rsidR="002E02B7">
      <w:rPr>
        <w:rFonts w:ascii="Arial Narrow" w:hAnsi="Arial Narrow"/>
        <w:sz w:val="18"/>
      </w:rPr>
      <w:t>2</w:t>
    </w:r>
    <w:r w:rsidR="00856BC5">
      <w:rPr>
        <w:rFonts w:ascii="Arial Narrow" w:hAnsi="Arial Narrow"/>
        <w:sz w:val="18"/>
      </w:rPr>
      <w:t>6</w:t>
    </w:r>
    <w:r w:rsidR="00B34C9B">
      <w:rPr>
        <w:rFonts w:ascii="Arial Narrow" w:hAnsi="Arial Narrow"/>
        <w:sz w:val="18"/>
      </w:rPr>
      <w:t xml:space="preserve"> - </w:t>
    </w:r>
    <w:r w:rsidR="00CD4E49">
      <w:rPr>
        <w:rFonts w:ascii="Arial Narrow" w:hAnsi="Arial Narrow"/>
        <w:sz w:val="18"/>
      </w:rPr>
      <w:t>Page</w:t>
    </w:r>
    <w:r w:rsidR="006B230C" w:rsidRPr="00B93203">
      <w:rPr>
        <w:rFonts w:ascii="Arial Narrow" w:hAnsi="Arial Narrow"/>
        <w:sz w:val="18"/>
      </w:rPr>
      <w:t xml:space="preserve"> </w:t>
    </w:r>
    <w:r w:rsidR="00C55057" w:rsidRPr="00B93203">
      <w:rPr>
        <w:rFonts w:ascii="Arial Narrow" w:hAnsi="Arial Narrow"/>
        <w:sz w:val="18"/>
      </w:rPr>
      <w:fldChar w:fldCharType="begin"/>
    </w:r>
    <w:r w:rsidR="00C55057" w:rsidRPr="00B93203">
      <w:rPr>
        <w:rFonts w:ascii="Arial Narrow" w:hAnsi="Arial Narrow"/>
        <w:sz w:val="18"/>
      </w:rPr>
      <w:instrText xml:space="preserve"> PAGE   \* MERGEFORMAT </w:instrText>
    </w:r>
    <w:r w:rsidR="00C55057" w:rsidRPr="00B93203">
      <w:rPr>
        <w:rFonts w:ascii="Arial Narrow" w:hAnsi="Arial Narrow"/>
        <w:sz w:val="18"/>
      </w:rPr>
      <w:fldChar w:fldCharType="separate"/>
    </w:r>
    <w:r w:rsidR="00C7238E">
      <w:rPr>
        <w:rFonts w:ascii="Arial Narrow" w:hAnsi="Arial Narrow"/>
        <w:noProof/>
        <w:sz w:val="18"/>
      </w:rPr>
      <w:t>11</w:t>
    </w:r>
    <w:r w:rsidR="00C55057" w:rsidRPr="00B93203">
      <w:rPr>
        <w:rFonts w:ascii="Arial Narrow" w:hAnsi="Arial Narrow"/>
        <w:noProof/>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5CC7E" w14:textId="77777777" w:rsidR="000459C5" w:rsidRDefault="000459C5" w:rsidP="0028121C">
      <w:pPr>
        <w:spacing w:after="0" w:line="240" w:lineRule="auto"/>
      </w:pPr>
      <w:r>
        <w:separator/>
      </w:r>
    </w:p>
  </w:footnote>
  <w:footnote w:type="continuationSeparator" w:id="0">
    <w:p w14:paraId="63A974AF" w14:textId="77777777" w:rsidR="000459C5" w:rsidRDefault="000459C5" w:rsidP="0028121C">
      <w:pPr>
        <w:spacing w:after="0" w:line="240" w:lineRule="auto"/>
      </w:pPr>
      <w:r>
        <w:continuationSeparator/>
      </w:r>
    </w:p>
  </w:footnote>
  <w:footnote w:type="continuationNotice" w:id="1">
    <w:p w14:paraId="2E0135F6" w14:textId="77777777" w:rsidR="000459C5" w:rsidRDefault="000459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692D"/>
    <w:multiLevelType w:val="hybridMultilevel"/>
    <w:tmpl w:val="0E5430E2"/>
    <w:lvl w:ilvl="0" w:tplc="0CA8C97C">
      <w:start w:val="1"/>
      <w:numFmt w:val="decimal"/>
      <w:lvlText w:val="%1."/>
      <w:lvlJc w:val="left"/>
      <w:pPr>
        <w:ind w:left="458" w:hanging="360"/>
      </w:pPr>
      <w:rPr>
        <w:rFonts w:hint="default"/>
      </w:rPr>
    </w:lvl>
    <w:lvl w:ilvl="1" w:tplc="04090019" w:tentative="1">
      <w:start w:val="1"/>
      <w:numFmt w:val="lowerLetter"/>
      <w:lvlText w:val="%2."/>
      <w:lvlJc w:val="left"/>
      <w:pPr>
        <w:ind w:left="1178" w:hanging="360"/>
      </w:pPr>
    </w:lvl>
    <w:lvl w:ilvl="2" w:tplc="0409001B" w:tentative="1">
      <w:start w:val="1"/>
      <w:numFmt w:val="lowerRoman"/>
      <w:lvlText w:val="%3."/>
      <w:lvlJc w:val="right"/>
      <w:pPr>
        <w:ind w:left="1898" w:hanging="180"/>
      </w:pPr>
    </w:lvl>
    <w:lvl w:ilvl="3" w:tplc="0409000F" w:tentative="1">
      <w:start w:val="1"/>
      <w:numFmt w:val="decimal"/>
      <w:lvlText w:val="%4."/>
      <w:lvlJc w:val="left"/>
      <w:pPr>
        <w:ind w:left="2618" w:hanging="360"/>
      </w:pPr>
    </w:lvl>
    <w:lvl w:ilvl="4" w:tplc="04090019" w:tentative="1">
      <w:start w:val="1"/>
      <w:numFmt w:val="lowerLetter"/>
      <w:lvlText w:val="%5."/>
      <w:lvlJc w:val="left"/>
      <w:pPr>
        <w:ind w:left="3338" w:hanging="360"/>
      </w:pPr>
    </w:lvl>
    <w:lvl w:ilvl="5" w:tplc="0409001B" w:tentative="1">
      <w:start w:val="1"/>
      <w:numFmt w:val="lowerRoman"/>
      <w:lvlText w:val="%6."/>
      <w:lvlJc w:val="right"/>
      <w:pPr>
        <w:ind w:left="4058" w:hanging="180"/>
      </w:pPr>
    </w:lvl>
    <w:lvl w:ilvl="6" w:tplc="0409000F" w:tentative="1">
      <w:start w:val="1"/>
      <w:numFmt w:val="decimal"/>
      <w:lvlText w:val="%7."/>
      <w:lvlJc w:val="left"/>
      <w:pPr>
        <w:ind w:left="4778" w:hanging="360"/>
      </w:pPr>
    </w:lvl>
    <w:lvl w:ilvl="7" w:tplc="04090019" w:tentative="1">
      <w:start w:val="1"/>
      <w:numFmt w:val="lowerLetter"/>
      <w:lvlText w:val="%8."/>
      <w:lvlJc w:val="left"/>
      <w:pPr>
        <w:ind w:left="5498" w:hanging="360"/>
      </w:pPr>
    </w:lvl>
    <w:lvl w:ilvl="8" w:tplc="0409001B" w:tentative="1">
      <w:start w:val="1"/>
      <w:numFmt w:val="lowerRoman"/>
      <w:lvlText w:val="%9."/>
      <w:lvlJc w:val="right"/>
      <w:pPr>
        <w:ind w:left="6218" w:hanging="180"/>
      </w:pPr>
    </w:lvl>
  </w:abstractNum>
  <w:abstractNum w:abstractNumId="1" w15:restartNumberingAfterBreak="0">
    <w:nsid w:val="05105368"/>
    <w:multiLevelType w:val="hybridMultilevel"/>
    <w:tmpl w:val="F34E9C86"/>
    <w:lvl w:ilvl="0" w:tplc="2C366538">
      <w:start w:val="1"/>
      <w:numFmt w:val="bullet"/>
      <w:lvlText w:val="•"/>
      <w:lvlJc w:val="left"/>
      <w:pPr>
        <w:tabs>
          <w:tab w:val="num" w:pos="720"/>
        </w:tabs>
        <w:ind w:left="720" w:hanging="360"/>
      </w:pPr>
      <w:rPr>
        <w:rFonts w:ascii="Arial" w:hAnsi="Arial" w:hint="default"/>
      </w:rPr>
    </w:lvl>
    <w:lvl w:ilvl="1" w:tplc="916C6B56">
      <w:start w:val="1"/>
      <w:numFmt w:val="bullet"/>
      <w:lvlText w:val="•"/>
      <w:lvlJc w:val="left"/>
      <w:pPr>
        <w:tabs>
          <w:tab w:val="num" w:pos="1440"/>
        </w:tabs>
        <w:ind w:left="1440" w:hanging="360"/>
      </w:pPr>
      <w:rPr>
        <w:rFonts w:ascii="Arial" w:hAnsi="Arial" w:hint="default"/>
      </w:rPr>
    </w:lvl>
    <w:lvl w:ilvl="2" w:tplc="27F65B78">
      <w:numFmt w:val="bullet"/>
      <w:lvlText w:val="o"/>
      <w:lvlJc w:val="left"/>
      <w:pPr>
        <w:tabs>
          <w:tab w:val="num" w:pos="2160"/>
        </w:tabs>
        <w:ind w:left="2160" w:hanging="360"/>
      </w:pPr>
      <w:rPr>
        <w:rFonts w:ascii="Courier New" w:hAnsi="Courier New" w:hint="default"/>
      </w:rPr>
    </w:lvl>
    <w:lvl w:ilvl="3" w:tplc="6882C204" w:tentative="1">
      <w:start w:val="1"/>
      <w:numFmt w:val="bullet"/>
      <w:lvlText w:val="•"/>
      <w:lvlJc w:val="left"/>
      <w:pPr>
        <w:tabs>
          <w:tab w:val="num" w:pos="2880"/>
        </w:tabs>
        <w:ind w:left="2880" w:hanging="360"/>
      </w:pPr>
      <w:rPr>
        <w:rFonts w:ascii="Arial" w:hAnsi="Arial" w:hint="default"/>
      </w:rPr>
    </w:lvl>
    <w:lvl w:ilvl="4" w:tplc="C0E22BE4" w:tentative="1">
      <w:start w:val="1"/>
      <w:numFmt w:val="bullet"/>
      <w:lvlText w:val="•"/>
      <w:lvlJc w:val="left"/>
      <w:pPr>
        <w:tabs>
          <w:tab w:val="num" w:pos="3600"/>
        </w:tabs>
        <w:ind w:left="3600" w:hanging="360"/>
      </w:pPr>
      <w:rPr>
        <w:rFonts w:ascii="Arial" w:hAnsi="Arial" w:hint="default"/>
      </w:rPr>
    </w:lvl>
    <w:lvl w:ilvl="5" w:tplc="3C5E2FCA" w:tentative="1">
      <w:start w:val="1"/>
      <w:numFmt w:val="bullet"/>
      <w:lvlText w:val="•"/>
      <w:lvlJc w:val="left"/>
      <w:pPr>
        <w:tabs>
          <w:tab w:val="num" w:pos="4320"/>
        </w:tabs>
        <w:ind w:left="4320" w:hanging="360"/>
      </w:pPr>
      <w:rPr>
        <w:rFonts w:ascii="Arial" w:hAnsi="Arial" w:hint="default"/>
      </w:rPr>
    </w:lvl>
    <w:lvl w:ilvl="6" w:tplc="B768C4F2" w:tentative="1">
      <w:start w:val="1"/>
      <w:numFmt w:val="bullet"/>
      <w:lvlText w:val="•"/>
      <w:lvlJc w:val="left"/>
      <w:pPr>
        <w:tabs>
          <w:tab w:val="num" w:pos="5040"/>
        </w:tabs>
        <w:ind w:left="5040" w:hanging="360"/>
      </w:pPr>
      <w:rPr>
        <w:rFonts w:ascii="Arial" w:hAnsi="Arial" w:hint="default"/>
      </w:rPr>
    </w:lvl>
    <w:lvl w:ilvl="7" w:tplc="22207F6E" w:tentative="1">
      <w:start w:val="1"/>
      <w:numFmt w:val="bullet"/>
      <w:lvlText w:val="•"/>
      <w:lvlJc w:val="left"/>
      <w:pPr>
        <w:tabs>
          <w:tab w:val="num" w:pos="5760"/>
        </w:tabs>
        <w:ind w:left="5760" w:hanging="360"/>
      </w:pPr>
      <w:rPr>
        <w:rFonts w:ascii="Arial" w:hAnsi="Arial" w:hint="default"/>
      </w:rPr>
    </w:lvl>
    <w:lvl w:ilvl="8" w:tplc="3A1EE6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C6273B"/>
    <w:multiLevelType w:val="hybridMultilevel"/>
    <w:tmpl w:val="D924BAB2"/>
    <w:lvl w:ilvl="0" w:tplc="0409000F">
      <w:start w:val="1"/>
      <w:numFmt w:val="decimal"/>
      <w:lvlText w:val="%1."/>
      <w:lvlJc w:val="left"/>
      <w:pPr>
        <w:ind w:left="360" w:hanging="360"/>
      </w:pPr>
    </w:lvl>
    <w:lvl w:ilvl="1" w:tplc="04090019">
      <w:start w:val="1"/>
      <w:numFmt w:val="lowerLetter"/>
      <w:lvlText w:val="%2."/>
      <w:lvlJc w:val="left"/>
      <w:pPr>
        <w:ind w:left="612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36E0D"/>
    <w:multiLevelType w:val="hybridMultilevel"/>
    <w:tmpl w:val="777EB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952031"/>
    <w:multiLevelType w:val="hybridMultilevel"/>
    <w:tmpl w:val="6D327142"/>
    <w:lvl w:ilvl="0" w:tplc="0409000F">
      <w:start w:val="1"/>
      <w:numFmt w:val="decimal"/>
      <w:lvlText w:val="%1."/>
      <w:lvlJc w:val="left"/>
      <w:pPr>
        <w:ind w:left="360" w:hanging="360"/>
      </w:pPr>
    </w:lvl>
    <w:lvl w:ilvl="1" w:tplc="04090019">
      <w:start w:val="1"/>
      <w:numFmt w:val="lowerLetter"/>
      <w:lvlText w:val="%2."/>
      <w:lvlJc w:val="left"/>
      <w:pPr>
        <w:ind w:left="612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070F51"/>
    <w:multiLevelType w:val="hybridMultilevel"/>
    <w:tmpl w:val="5BF0A11C"/>
    <w:lvl w:ilvl="0" w:tplc="29BEE460">
      <w:start w:val="1"/>
      <w:numFmt w:val="decimal"/>
      <w:lvlText w:val="%1."/>
      <w:lvlJc w:val="left"/>
      <w:pPr>
        <w:tabs>
          <w:tab w:val="num" w:pos="720"/>
        </w:tabs>
        <w:ind w:left="720" w:hanging="360"/>
      </w:pPr>
    </w:lvl>
    <w:lvl w:ilvl="1" w:tplc="F3C0AECC">
      <w:numFmt w:val="bullet"/>
      <w:lvlText w:val="•"/>
      <w:lvlJc w:val="left"/>
      <w:pPr>
        <w:tabs>
          <w:tab w:val="num" w:pos="1440"/>
        </w:tabs>
        <w:ind w:left="1440" w:hanging="360"/>
      </w:pPr>
      <w:rPr>
        <w:rFonts w:ascii="Arial" w:hAnsi="Arial" w:hint="default"/>
      </w:rPr>
    </w:lvl>
    <w:lvl w:ilvl="2" w:tplc="445AB048">
      <w:numFmt w:val="bullet"/>
      <w:lvlText w:val="•"/>
      <w:lvlJc w:val="left"/>
      <w:pPr>
        <w:tabs>
          <w:tab w:val="num" w:pos="2160"/>
        </w:tabs>
        <w:ind w:left="2160" w:hanging="360"/>
      </w:pPr>
      <w:rPr>
        <w:rFonts w:ascii="Arial" w:hAnsi="Arial" w:hint="default"/>
      </w:rPr>
    </w:lvl>
    <w:lvl w:ilvl="3" w:tplc="6152E1E6">
      <w:numFmt w:val="bullet"/>
      <w:lvlText w:val="•"/>
      <w:lvlJc w:val="left"/>
      <w:pPr>
        <w:tabs>
          <w:tab w:val="num" w:pos="2880"/>
        </w:tabs>
        <w:ind w:left="2880" w:hanging="360"/>
      </w:pPr>
      <w:rPr>
        <w:rFonts w:ascii="Arial" w:hAnsi="Arial" w:hint="default"/>
      </w:rPr>
    </w:lvl>
    <w:lvl w:ilvl="4" w:tplc="D80E12E8" w:tentative="1">
      <w:start w:val="1"/>
      <w:numFmt w:val="decimal"/>
      <w:lvlText w:val="%5."/>
      <w:lvlJc w:val="left"/>
      <w:pPr>
        <w:tabs>
          <w:tab w:val="num" w:pos="3600"/>
        </w:tabs>
        <w:ind w:left="3600" w:hanging="360"/>
      </w:pPr>
    </w:lvl>
    <w:lvl w:ilvl="5" w:tplc="C18CB8A2" w:tentative="1">
      <w:start w:val="1"/>
      <w:numFmt w:val="decimal"/>
      <w:lvlText w:val="%6."/>
      <w:lvlJc w:val="left"/>
      <w:pPr>
        <w:tabs>
          <w:tab w:val="num" w:pos="4320"/>
        </w:tabs>
        <w:ind w:left="4320" w:hanging="360"/>
      </w:pPr>
    </w:lvl>
    <w:lvl w:ilvl="6" w:tplc="C0087C8C" w:tentative="1">
      <w:start w:val="1"/>
      <w:numFmt w:val="decimal"/>
      <w:lvlText w:val="%7."/>
      <w:lvlJc w:val="left"/>
      <w:pPr>
        <w:tabs>
          <w:tab w:val="num" w:pos="5040"/>
        </w:tabs>
        <w:ind w:left="5040" w:hanging="360"/>
      </w:pPr>
    </w:lvl>
    <w:lvl w:ilvl="7" w:tplc="890AD770" w:tentative="1">
      <w:start w:val="1"/>
      <w:numFmt w:val="decimal"/>
      <w:lvlText w:val="%8."/>
      <w:lvlJc w:val="left"/>
      <w:pPr>
        <w:tabs>
          <w:tab w:val="num" w:pos="5760"/>
        </w:tabs>
        <w:ind w:left="5760" w:hanging="360"/>
      </w:pPr>
    </w:lvl>
    <w:lvl w:ilvl="8" w:tplc="7C5E9A36" w:tentative="1">
      <w:start w:val="1"/>
      <w:numFmt w:val="decimal"/>
      <w:lvlText w:val="%9."/>
      <w:lvlJc w:val="left"/>
      <w:pPr>
        <w:tabs>
          <w:tab w:val="num" w:pos="6480"/>
        </w:tabs>
        <w:ind w:left="6480" w:hanging="360"/>
      </w:pPr>
    </w:lvl>
  </w:abstractNum>
  <w:abstractNum w:abstractNumId="6" w15:restartNumberingAfterBreak="0">
    <w:nsid w:val="1047217C"/>
    <w:multiLevelType w:val="hybridMultilevel"/>
    <w:tmpl w:val="A290EA3C"/>
    <w:lvl w:ilvl="0" w:tplc="B448E4B8">
      <w:start w:val="1"/>
      <w:numFmt w:val="bullet"/>
      <w:lvlText w:val="•"/>
      <w:lvlJc w:val="left"/>
      <w:pPr>
        <w:tabs>
          <w:tab w:val="num" w:pos="720"/>
        </w:tabs>
        <w:ind w:left="720" w:hanging="360"/>
      </w:pPr>
      <w:rPr>
        <w:rFonts w:ascii="Arial" w:hAnsi="Arial" w:hint="default"/>
      </w:rPr>
    </w:lvl>
    <w:lvl w:ilvl="1" w:tplc="13A26F9A">
      <w:start w:val="1"/>
      <w:numFmt w:val="bullet"/>
      <w:lvlText w:val="•"/>
      <w:lvlJc w:val="left"/>
      <w:pPr>
        <w:tabs>
          <w:tab w:val="num" w:pos="1440"/>
        </w:tabs>
        <w:ind w:left="1440" w:hanging="360"/>
      </w:pPr>
      <w:rPr>
        <w:rFonts w:ascii="Arial" w:hAnsi="Arial" w:hint="default"/>
      </w:rPr>
    </w:lvl>
    <w:lvl w:ilvl="2" w:tplc="08D4F4B2">
      <w:numFmt w:val="bullet"/>
      <w:lvlText w:val="o"/>
      <w:lvlJc w:val="left"/>
      <w:pPr>
        <w:tabs>
          <w:tab w:val="num" w:pos="2160"/>
        </w:tabs>
        <w:ind w:left="2160" w:hanging="360"/>
      </w:pPr>
      <w:rPr>
        <w:rFonts w:ascii="Courier New" w:hAnsi="Courier New" w:hint="default"/>
      </w:rPr>
    </w:lvl>
    <w:lvl w:ilvl="3" w:tplc="FAAC5610" w:tentative="1">
      <w:start w:val="1"/>
      <w:numFmt w:val="bullet"/>
      <w:lvlText w:val="•"/>
      <w:lvlJc w:val="left"/>
      <w:pPr>
        <w:tabs>
          <w:tab w:val="num" w:pos="2880"/>
        </w:tabs>
        <w:ind w:left="2880" w:hanging="360"/>
      </w:pPr>
      <w:rPr>
        <w:rFonts w:ascii="Arial" w:hAnsi="Arial" w:hint="default"/>
      </w:rPr>
    </w:lvl>
    <w:lvl w:ilvl="4" w:tplc="05EEBC28" w:tentative="1">
      <w:start w:val="1"/>
      <w:numFmt w:val="bullet"/>
      <w:lvlText w:val="•"/>
      <w:lvlJc w:val="left"/>
      <w:pPr>
        <w:tabs>
          <w:tab w:val="num" w:pos="3600"/>
        </w:tabs>
        <w:ind w:left="3600" w:hanging="360"/>
      </w:pPr>
      <w:rPr>
        <w:rFonts w:ascii="Arial" w:hAnsi="Arial" w:hint="default"/>
      </w:rPr>
    </w:lvl>
    <w:lvl w:ilvl="5" w:tplc="FCAAAEC6" w:tentative="1">
      <w:start w:val="1"/>
      <w:numFmt w:val="bullet"/>
      <w:lvlText w:val="•"/>
      <w:lvlJc w:val="left"/>
      <w:pPr>
        <w:tabs>
          <w:tab w:val="num" w:pos="4320"/>
        </w:tabs>
        <w:ind w:left="4320" w:hanging="360"/>
      </w:pPr>
      <w:rPr>
        <w:rFonts w:ascii="Arial" w:hAnsi="Arial" w:hint="default"/>
      </w:rPr>
    </w:lvl>
    <w:lvl w:ilvl="6" w:tplc="887EC64E" w:tentative="1">
      <w:start w:val="1"/>
      <w:numFmt w:val="bullet"/>
      <w:lvlText w:val="•"/>
      <w:lvlJc w:val="left"/>
      <w:pPr>
        <w:tabs>
          <w:tab w:val="num" w:pos="5040"/>
        </w:tabs>
        <w:ind w:left="5040" w:hanging="360"/>
      </w:pPr>
      <w:rPr>
        <w:rFonts w:ascii="Arial" w:hAnsi="Arial" w:hint="default"/>
      </w:rPr>
    </w:lvl>
    <w:lvl w:ilvl="7" w:tplc="3A264E72" w:tentative="1">
      <w:start w:val="1"/>
      <w:numFmt w:val="bullet"/>
      <w:lvlText w:val="•"/>
      <w:lvlJc w:val="left"/>
      <w:pPr>
        <w:tabs>
          <w:tab w:val="num" w:pos="5760"/>
        </w:tabs>
        <w:ind w:left="5760" w:hanging="360"/>
      </w:pPr>
      <w:rPr>
        <w:rFonts w:ascii="Arial" w:hAnsi="Arial" w:hint="default"/>
      </w:rPr>
    </w:lvl>
    <w:lvl w:ilvl="8" w:tplc="D95C59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E73BF0"/>
    <w:multiLevelType w:val="multilevel"/>
    <w:tmpl w:val="6C0CA87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Wingdings" w:hAnsi="Wingdings"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1F720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B14B2C"/>
    <w:multiLevelType w:val="multilevel"/>
    <w:tmpl w:val="5D40C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E10014"/>
    <w:multiLevelType w:val="hybridMultilevel"/>
    <w:tmpl w:val="68E8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910C3"/>
    <w:multiLevelType w:val="hybridMultilevel"/>
    <w:tmpl w:val="6798A9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8845FD"/>
    <w:multiLevelType w:val="hybridMultilevel"/>
    <w:tmpl w:val="7048F8CC"/>
    <w:lvl w:ilvl="0" w:tplc="29BEE460">
      <w:start w:val="1"/>
      <w:numFmt w:val="decimal"/>
      <w:lvlText w:val="%1."/>
      <w:lvlJc w:val="left"/>
      <w:pPr>
        <w:tabs>
          <w:tab w:val="num" w:pos="720"/>
        </w:tabs>
        <w:ind w:left="720" w:hanging="360"/>
      </w:pPr>
    </w:lvl>
    <w:lvl w:ilvl="1" w:tplc="F3C0AECC">
      <w:numFmt w:val="bullet"/>
      <w:lvlText w:val="•"/>
      <w:lvlJc w:val="left"/>
      <w:pPr>
        <w:tabs>
          <w:tab w:val="num" w:pos="1440"/>
        </w:tabs>
        <w:ind w:left="1440" w:hanging="360"/>
      </w:pPr>
      <w:rPr>
        <w:rFonts w:ascii="Arial" w:hAnsi="Arial" w:hint="default"/>
      </w:rPr>
    </w:lvl>
    <w:lvl w:ilvl="2" w:tplc="445AB048">
      <w:numFmt w:val="bullet"/>
      <w:lvlText w:val="•"/>
      <w:lvlJc w:val="left"/>
      <w:pPr>
        <w:tabs>
          <w:tab w:val="num" w:pos="2160"/>
        </w:tabs>
        <w:ind w:left="2160" w:hanging="360"/>
      </w:pPr>
      <w:rPr>
        <w:rFonts w:ascii="Arial" w:hAnsi="Arial" w:hint="default"/>
      </w:rPr>
    </w:lvl>
    <w:lvl w:ilvl="3" w:tplc="04090005">
      <w:start w:val="1"/>
      <w:numFmt w:val="bullet"/>
      <w:lvlText w:val=""/>
      <w:lvlJc w:val="left"/>
      <w:pPr>
        <w:tabs>
          <w:tab w:val="num" w:pos="2880"/>
        </w:tabs>
        <w:ind w:left="2880" w:hanging="360"/>
      </w:pPr>
      <w:rPr>
        <w:rFonts w:ascii="Wingdings" w:hAnsi="Wingdings" w:hint="default"/>
      </w:rPr>
    </w:lvl>
    <w:lvl w:ilvl="4" w:tplc="D80E12E8" w:tentative="1">
      <w:start w:val="1"/>
      <w:numFmt w:val="decimal"/>
      <w:lvlText w:val="%5."/>
      <w:lvlJc w:val="left"/>
      <w:pPr>
        <w:tabs>
          <w:tab w:val="num" w:pos="3600"/>
        </w:tabs>
        <w:ind w:left="3600" w:hanging="360"/>
      </w:pPr>
    </w:lvl>
    <w:lvl w:ilvl="5" w:tplc="C18CB8A2" w:tentative="1">
      <w:start w:val="1"/>
      <w:numFmt w:val="decimal"/>
      <w:lvlText w:val="%6."/>
      <w:lvlJc w:val="left"/>
      <w:pPr>
        <w:tabs>
          <w:tab w:val="num" w:pos="4320"/>
        </w:tabs>
        <w:ind w:left="4320" w:hanging="360"/>
      </w:pPr>
    </w:lvl>
    <w:lvl w:ilvl="6" w:tplc="C0087C8C" w:tentative="1">
      <w:start w:val="1"/>
      <w:numFmt w:val="decimal"/>
      <w:lvlText w:val="%7."/>
      <w:lvlJc w:val="left"/>
      <w:pPr>
        <w:tabs>
          <w:tab w:val="num" w:pos="5040"/>
        </w:tabs>
        <w:ind w:left="5040" w:hanging="360"/>
      </w:pPr>
    </w:lvl>
    <w:lvl w:ilvl="7" w:tplc="890AD770" w:tentative="1">
      <w:start w:val="1"/>
      <w:numFmt w:val="decimal"/>
      <w:lvlText w:val="%8."/>
      <w:lvlJc w:val="left"/>
      <w:pPr>
        <w:tabs>
          <w:tab w:val="num" w:pos="5760"/>
        </w:tabs>
        <w:ind w:left="5760" w:hanging="360"/>
      </w:pPr>
    </w:lvl>
    <w:lvl w:ilvl="8" w:tplc="7C5E9A36" w:tentative="1">
      <w:start w:val="1"/>
      <w:numFmt w:val="decimal"/>
      <w:lvlText w:val="%9."/>
      <w:lvlJc w:val="left"/>
      <w:pPr>
        <w:tabs>
          <w:tab w:val="num" w:pos="6480"/>
        </w:tabs>
        <w:ind w:left="6480" w:hanging="360"/>
      </w:pPr>
    </w:lvl>
  </w:abstractNum>
  <w:abstractNum w:abstractNumId="13" w15:restartNumberingAfterBreak="0">
    <w:nsid w:val="2D6A6B43"/>
    <w:multiLevelType w:val="hybridMultilevel"/>
    <w:tmpl w:val="6476879E"/>
    <w:lvl w:ilvl="0" w:tplc="29BEE460">
      <w:start w:val="1"/>
      <w:numFmt w:val="decimal"/>
      <w:lvlText w:val="%1."/>
      <w:lvlJc w:val="left"/>
      <w:pPr>
        <w:tabs>
          <w:tab w:val="num" w:pos="720"/>
        </w:tabs>
        <w:ind w:left="720" w:hanging="360"/>
      </w:pPr>
    </w:lvl>
    <w:lvl w:ilvl="1" w:tplc="F3C0AECC">
      <w:numFmt w:val="bullet"/>
      <w:lvlText w:val="•"/>
      <w:lvlJc w:val="left"/>
      <w:pPr>
        <w:tabs>
          <w:tab w:val="num" w:pos="1440"/>
        </w:tabs>
        <w:ind w:left="1440" w:hanging="360"/>
      </w:pPr>
      <w:rPr>
        <w:rFonts w:ascii="Arial"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6152E1E6">
      <w:numFmt w:val="bullet"/>
      <w:lvlText w:val="•"/>
      <w:lvlJc w:val="left"/>
      <w:pPr>
        <w:tabs>
          <w:tab w:val="num" w:pos="2880"/>
        </w:tabs>
        <w:ind w:left="2880" w:hanging="360"/>
      </w:pPr>
      <w:rPr>
        <w:rFonts w:ascii="Arial" w:hAnsi="Arial" w:hint="default"/>
      </w:rPr>
    </w:lvl>
    <w:lvl w:ilvl="4" w:tplc="D80E12E8" w:tentative="1">
      <w:start w:val="1"/>
      <w:numFmt w:val="decimal"/>
      <w:lvlText w:val="%5."/>
      <w:lvlJc w:val="left"/>
      <w:pPr>
        <w:tabs>
          <w:tab w:val="num" w:pos="3600"/>
        </w:tabs>
        <w:ind w:left="3600" w:hanging="360"/>
      </w:pPr>
    </w:lvl>
    <w:lvl w:ilvl="5" w:tplc="C18CB8A2" w:tentative="1">
      <w:start w:val="1"/>
      <w:numFmt w:val="decimal"/>
      <w:lvlText w:val="%6."/>
      <w:lvlJc w:val="left"/>
      <w:pPr>
        <w:tabs>
          <w:tab w:val="num" w:pos="4320"/>
        </w:tabs>
        <w:ind w:left="4320" w:hanging="360"/>
      </w:pPr>
    </w:lvl>
    <w:lvl w:ilvl="6" w:tplc="C0087C8C" w:tentative="1">
      <w:start w:val="1"/>
      <w:numFmt w:val="decimal"/>
      <w:lvlText w:val="%7."/>
      <w:lvlJc w:val="left"/>
      <w:pPr>
        <w:tabs>
          <w:tab w:val="num" w:pos="5040"/>
        </w:tabs>
        <w:ind w:left="5040" w:hanging="360"/>
      </w:pPr>
    </w:lvl>
    <w:lvl w:ilvl="7" w:tplc="890AD770" w:tentative="1">
      <w:start w:val="1"/>
      <w:numFmt w:val="decimal"/>
      <w:lvlText w:val="%8."/>
      <w:lvlJc w:val="left"/>
      <w:pPr>
        <w:tabs>
          <w:tab w:val="num" w:pos="5760"/>
        </w:tabs>
        <w:ind w:left="5760" w:hanging="360"/>
      </w:pPr>
    </w:lvl>
    <w:lvl w:ilvl="8" w:tplc="7C5E9A36" w:tentative="1">
      <w:start w:val="1"/>
      <w:numFmt w:val="decimal"/>
      <w:lvlText w:val="%9."/>
      <w:lvlJc w:val="left"/>
      <w:pPr>
        <w:tabs>
          <w:tab w:val="num" w:pos="6480"/>
        </w:tabs>
        <w:ind w:left="6480" w:hanging="360"/>
      </w:pPr>
    </w:lvl>
  </w:abstractNum>
  <w:abstractNum w:abstractNumId="14" w15:restartNumberingAfterBreak="0">
    <w:nsid w:val="33A74432"/>
    <w:multiLevelType w:val="hybridMultilevel"/>
    <w:tmpl w:val="F7122084"/>
    <w:lvl w:ilvl="0" w:tplc="04090013">
      <w:start w:val="1"/>
      <w:numFmt w:val="upperRoman"/>
      <w:lvlText w:val="%1."/>
      <w:lvlJc w:val="right"/>
      <w:pPr>
        <w:tabs>
          <w:tab w:val="num" w:pos="1080"/>
        </w:tabs>
        <w:ind w:left="1080" w:hanging="360"/>
      </w:pPr>
    </w:lvl>
    <w:lvl w:ilvl="1" w:tplc="04090017">
      <w:start w:val="1"/>
      <w:numFmt w:val="lowerLetter"/>
      <w:lvlText w:val="%2)"/>
      <w:lvlJc w:val="left"/>
      <w:pPr>
        <w:tabs>
          <w:tab w:val="num" w:pos="1800"/>
        </w:tabs>
        <w:ind w:left="1800" w:hanging="360"/>
      </w:pPr>
      <w:rPr>
        <w:rFonts w:hint="default"/>
      </w:rPr>
    </w:lvl>
    <w:lvl w:ilvl="2" w:tplc="445AB048">
      <w:numFmt w:val="bullet"/>
      <w:lvlText w:val="•"/>
      <w:lvlJc w:val="left"/>
      <w:pPr>
        <w:tabs>
          <w:tab w:val="num" w:pos="2520"/>
        </w:tabs>
        <w:ind w:left="2520" w:hanging="360"/>
      </w:pPr>
      <w:rPr>
        <w:rFonts w:ascii="Arial" w:hAnsi="Arial" w:hint="default"/>
      </w:rPr>
    </w:lvl>
    <w:lvl w:ilvl="3" w:tplc="6152E1E6">
      <w:numFmt w:val="bullet"/>
      <w:lvlText w:val="•"/>
      <w:lvlJc w:val="left"/>
      <w:pPr>
        <w:tabs>
          <w:tab w:val="num" w:pos="3240"/>
        </w:tabs>
        <w:ind w:left="3240" w:hanging="360"/>
      </w:pPr>
      <w:rPr>
        <w:rFonts w:ascii="Arial" w:hAnsi="Arial" w:hint="default"/>
      </w:rPr>
    </w:lvl>
    <w:lvl w:ilvl="4" w:tplc="D80E12E8" w:tentative="1">
      <w:start w:val="1"/>
      <w:numFmt w:val="decimal"/>
      <w:lvlText w:val="%5."/>
      <w:lvlJc w:val="left"/>
      <w:pPr>
        <w:tabs>
          <w:tab w:val="num" w:pos="3960"/>
        </w:tabs>
        <w:ind w:left="3960" w:hanging="360"/>
      </w:pPr>
    </w:lvl>
    <w:lvl w:ilvl="5" w:tplc="C18CB8A2" w:tentative="1">
      <w:start w:val="1"/>
      <w:numFmt w:val="decimal"/>
      <w:lvlText w:val="%6."/>
      <w:lvlJc w:val="left"/>
      <w:pPr>
        <w:tabs>
          <w:tab w:val="num" w:pos="4680"/>
        </w:tabs>
        <w:ind w:left="4680" w:hanging="360"/>
      </w:pPr>
    </w:lvl>
    <w:lvl w:ilvl="6" w:tplc="C0087C8C" w:tentative="1">
      <w:start w:val="1"/>
      <w:numFmt w:val="decimal"/>
      <w:lvlText w:val="%7."/>
      <w:lvlJc w:val="left"/>
      <w:pPr>
        <w:tabs>
          <w:tab w:val="num" w:pos="5400"/>
        </w:tabs>
        <w:ind w:left="5400" w:hanging="360"/>
      </w:pPr>
    </w:lvl>
    <w:lvl w:ilvl="7" w:tplc="890AD770" w:tentative="1">
      <w:start w:val="1"/>
      <w:numFmt w:val="decimal"/>
      <w:lvlText w:val="%8."/>
      <w:lvlJc w:val="left"/>
      <w:pPr>
        <w:tabs>
          <w:tab w:val="num" w:pos="6120"/>
        </w:tabs>
        <w:ind w:left="6120" w:hanging="360"/>
      </w:pPr>
    </w:lvl>
    <w:lvl w:ilvl="8" w:tplc="7C5E9A36" w:tentative="1">
      <w:start w:val="1"/>
      <w:numFmt w:val="decimal"/>
      <w:lvlText w:val="%9."/>
      <w:lvlJc w:val="left"/>
      <w:pPr>
        <w:tabs>
          <w:tab w:val="num" w:pos="6840"/>
        </w:tabs>
        <w:ind w:left="6840" w:hanging="360"/>
      </w:pPr>
    </w:lvl>
  </w:abstractNum>
  <w:abstractNum w:abstractNumId="15" w15:restartNumberingAfterBreak="0">
    <w:nsid w:val="371B55C8"/>
    <w:multiLevelType w:val="hybridMultilevel"/>
    <w:tmpl w:val="2F06550A"/>
    <w:lvl w:ilvl="0" w:tplc="C83AD360">
      <w:start w:val="1"/>
      <w:numFmt w:val="bullet"/>
      <w:lvlText w:val="•"/>
      <w:lvlJc w:val="left"/>
      <w:pPr>
        <w:tabs>
          <w:tab w:val="num" w:pos="720"/>
        </w:tabs>
        <w:ind w:left="720" w:hanging="360"/>
      </w:pPr>
      <w:rPr>
        <w:rFonts w:ascii="Arial" w:hAnsi="Arial" w:hint="default"/>
      </w:rPr>
    </w:lvl>
    <w:lvl w:ilvl="1" w:tplc="980EFF6C">
      <w:start w:val="1"/>
      <w:numFmt w:val="bullet"/>
      <w:lvlText w:val="•"/>
      <w:lvlJc w:val="left"/>
      <w:pPr>
        <w:tabs>
          <w:tab w:val="num" w:pos="1440"/>
        </w:tabs>
        <w:ind w:left="1440" w:hanging="360"/>
      </w:pPr>
      <w:rPr>
        <w:rFonts w:ascii="Arial" w:hAnsi="Arial" w:hint="default"/>
      </w:rPr>
    </w:lvl>
    <w:lvl w:ilvl="2" w:tplc="57E2CC62" w:tentative="1">
      <w:start w:val="1"/>
      <w:numFmt w:val="bullet"/>
      <w:lvlText w:val="•"/>
      <w:lvlJc w:val="left"/>
      <w:pPr>
        <w:tabs>
          <w:tab w:val="num" w:pos="2160"/>
        </w:tabs>
        <w:ind w:left="2160" w:hanging="360"/>
      </w:pPr>
      <w:rPr>
        <w:rFonts w:ascii="Arial" w:hAnsi="Arial" w:hint="default"/>
      </w:rPr>
    </w:lvl>
    <w:lvl w:ilvl="3" w:tplc="7E286B74" w:tentative="1">
      <w:start w:val="1"/>
      <w:numFmt w:val="bullet"/>
      <w:lvlText w:val="•"/>
      <w:lvlJc w:val="left"/>
      <w:pPr>
        <w:tabs>
          <w:tab w:val="num" w:pos="2880"/>
        </w:tabs>
        <w:ind w:left="2880" w:hanging="360"/>
      </w:pPr>
      <w:rPr>
        <w:rFonts w:ascii="Arial" w:hAnsi="Arial" w:hint="default"/>
      </w:rPr>
    </w:lvl>
    <w:lvl w:ilvl="4" w:tplc="B8064562" w:tentative="1">
      <w:start w:val="1"/>
      <w:numFmt w:val="bullet"/>
      <w:lvlText w:val="•"/>
      <w:lvlJc w:val="left"/>
      <w:pPr>
        <w:tabs>
          <w:tab w:val="num" w:pos="3600"/>
        </w:tabs>
        <w:ind w:left="3600" w:hanging="360"/>
      </w:pPr>
      <w:rPr>
        <w:rFonts w:ascii="Arial" w:hAnsi="Arial" w:hint="default"/>
      </w:rPr>
    </w:lvl>
    <w:lvl w:ilvl="5" w:tplc="1A024268" w:tentative="1">
      <w:start w:val="1"/>
      <w:numFmt w:val="bullet"/>
      <w:lvlText w:val="•"/>
      <w:lvlJc w:val="left"/>
      <w:pPr>
        <w:tabs>
          <w:tab w:val="num" w:pos="4320"/>
        </w:tabs>
        <w:ind w:left="4320" w:hanging="360"/>
      </w:pPr>
      <w:rPr>
        <w:rFonts w:ascii="Arial" w:hAnsi="Arial" w:hint="default"/>
      </w:rPr>
    </w:lvl>
    <w:lvl w:ilvl="6" w:tplc="E9EC927C" w:tentative="1">
      <w:start w:val="1"/>
      <w:numFmt w:val="bullet"/>
      <w:lvlText w:val="•"/>
      <w:lvlJc w:val="left"/>
      <w:pPr>
        <w:tabs>
          <w:tab w:val="num" w:pos="5040"/>
        </w:tabs>
        <w:ind w:left="5040" w:hanging="360"/>
      </w:pPr>
      <w:rPr>
        <w:rFonts w:ascii="Arial" w:hAnsi="Arial" w:hint="default"/>
      </w:rPr>
    </w:lvl>
    <w:lvl w:ilvl="7" w:tplc="0B368DFA" w:tentative="1">
      <w:start w:val="1"/>
      <w:numFmt w:val="bullet"/>
      <w:lvlText w:val="•"/>
      <w:lvlJc w:val="left"/>
      <w:pPr>
        <w:tabs>
          <w:tab w:val="num" w:pos="5760"/>
        </w:tabs>
        <w:ind w:left="5760" w:hanging="360"/>
      </w:pPr>
      <w:rPr>
        <w:rFonts w:ascii="Arial" w:hAnsi="Arial" w:hint="default"/>
      </w:rPr>
    </w:lvl>
    <w:lvl w:ilvl="8" w:tplc="33303C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B92F7C"/>
    <w:multiLevelType w:val="hybridMultilevel"/>
    <w:tmpl w:val="E6F01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3F11AE"/>
    <w:multiLevelType w:val="hybridMultilevel"/>
    <w:tmpl w:val="FD203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3E4B"/>
    <w:multiLevelType w:val="hybridMultilevel"/>
    <w:tmpl w:val="5BBCAB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5340"/>
    <w:multiLevelType w:val="hybridMultilevel"/>
    <w:tmpl w:val="F1D89F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C974D49"/>
    <w:multiLevelType w:val="hybridMultilevel"/>
    <w:tmpl w:val="73E8EF5A"/>
    <w:lvl w:ilvl="0" w:tplc="29BEE460">
      <w:start w:val="1"/>
      <w:numFmt w:val="decimal"/>
      <w:lvlText w:val="%1."/>
      <w:lvlJc w:val="left"/>
      <w:pPr>
        <w:tabs>
          <w:tab w:val="num" w:pos="720"/>
        </w:tabs>
        <w:ind w:left="720" w:hanging="360"/>
      </w:pPr>
    </w:lvl>
    <w:lvl w:ilvl="1" w:tplc="F3C0AECC">
      <w:numFmt w:val="bullet"/>
      <w:lvlText w:val="•"/>
      <w:lvlJc w:val="left"/>
      <w:pPr>
        <w:tabs>
          <w:tab w:val="num" w:pos="1440"/>
        </w:tabs>
        <w:ind w:left="1440" w:hanging="360"/>
      </w:pPr>
      <w:rPr>
        <w:rFonts w:ascii="Arial"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6152E1E6">
      <w:numFmt w:val="bullet"/>
      <w:lvlText w:val="•"/>
      <w:lvlJc w:val="left"/>
      <w:pPr>
        <w:tabs>
          <w:tab w:val="num" w:pos="2880"/>
        </w:tabs>
        <w:ind w:left="2880" w:hanging="360"/>
      </w:pPr>
      <w:rPr>
        <w:rFonts w:ascii="Arial" w:hAnsi="Arial" w:hint="default"/>
      </w:rPr>
    </w:lvl>
    <w:lvl w:ilvl="4" w:tplc="D80E12E8" w:tentative="1">
      <w:start w:val="1"/>
      <w:numFmt w:val="decimal"/>
      <w:lvlText w:val="%5."/>
      <w:lvlJc w:val="left"/>
      <w:pPr>
        <w:tabs>
          <w:tab w:val="num" w:pos="3600"/>
        </w:tabs>
        <w:ind w:left="3600" w:hanging="360"/>
      </w:pPr>
    </w:lvl>
    <w:lvl w:ilvl="5" w:tplc="C18CB8A2" w:tentative="1">
      <w:start w:val="1"/>
      <w:numFmt w:val="decimal"/>
      <w:lvlText w:val="%6."/>
      <w:lvlJc w:val="left"/>
      <w:pPr>
        <w:tabs>
          <w:tab w:val="num" w:pos="4320"/>
        </w:tabs>
        <w:ind w:left="4320" w:hanging="360"/>
      </w:pPr>
    </w:lvl>
    <w:lvl w:ilvl="6" w:tplc="C0087C8C" w:tentative="1">
      <w:start w:val="1"/>
      <w:numFmt w:val="decimal"/>
      <w:lvlText w:val="%7."/>
      <w:lvlJc w:val="left"/>
      <w:pPr>
        <w:tabs>
          <w:tab w:val="num" w:pos="5040"/>
        </w:tabs>
        <w:ind w:left="5040" w:hanging="360"/>
      </w:pPr>
    </w:lvl>
    <w:lvl w:ilvl="7" w:tplc="890AD770" w:tentative="1">
      <w:start w:val="1"/>
      <w:numFmt w:val="decimal"/>
      <w:lvlText w:val="%8."/>
      <w:lvlJc w:val="left"/>
      <w:pPr>
        <w:tabs>
          <w:tab w:val="num" w:pos="5760"/>
        </w:tabs>
        <w:ind w:left="5760" w:hanging="360"/>
      </w:pPr>
    </w:lvl>
    <w:lvl w:ilvl="8" w:tplc="7C5E9A36" w:tentative="1">
      <w:start w:val="1"/>
      <w:numFmt w:val="decimal"/>
      <w:lvlText w:val="%9."/>
      <w:lvlJc w:val="left"/>
      <w:pPr>
        <w:tabs>
          <w:tab w:val="num" w:pos="6480"/>
        </w:tabs>
        <w:ind w:left="6480" w:hanging="360"/>
      </w:pPr>
    </w:lvl>
  </w:abstractNum>
  <w:abstractNum w:abstractNumId="21" w15:restartNumberingAfterBreak="0">
    <w:nsid w:val="5E2620E8"/>
    <w:multiLevelType w:val="hybridMultilevel"/>
    <w:tmpl w:val="13BA369C"/>
    <w:lvl w:ilvl="0" w:tplc="5D22588E">
      <w:start w:val="1"/>
      <w:numFmt w:val="bullet"/>
      <w:lvlText w:val=""/>
      <w:lvlJc w:val="left"/>
      <w:pPr>
        <w:tabs>
          <w:tab w:val="num" w:pos="720"/>
        </w:tabs>
        <w:ind w:left="720" w:hanging="360"/>
      </w:pPr>
      <w:rPr>
        <w:rFonts w:ascii="Wingdings" w:hAnsi="Wingdings" w:hint="default"/>
      </w:rPr>
    </w:lvl>
    <w:lvl w:ilvl="1" w:tplc="BB3A3294" w:tentative="1">
      <w:start w:val="1"/>
      <w:numFmt w:val="bullet"/>
      <w:lvlText w:val=""/>
      <w:lvlJc w:val="left"/>
      <w:pPr>
        <w:tabs>
          <w:tab w:val="num" w:pos="1440"/>
        </w:tabs>
        <w:ind w:left="1440" w:hanging="360"/>
      </w:pPr>
      <w:rPr>
        <w:rFonts w:ascii="Wingdings" w:hAnsi="Wingdings" w:hint="default"/>
      </w:rPr>
    </w:lvl>
    <w:lvl w:ilvl="2" w:tplc="B05EA6D0" w:tentative="1">
      <w:start w:val="1"/>
      <w:numFmt w:val="bullet"/>
      <w:lvlText w:val=""/>
      <w:lvlJc w:val="left"/>
      <w:pPr>
        <w:tabs>
          <w:tab w:val="num" w:pos="2160"/>
        </w:tabs>
        <w:ind w:left="2160" w:hanging="360"/>
      </w:pPr>
      <w:rPr>
        <w:rFonts w:ascii="Wingdings" w:hAnsi="Wingdings" w:hint="default"/>
      </w:rPr>
    </w:lvl>
    <w:lvl w:ilvl="3" w:tplc="FA18261A" w:tentative="1">
      <w:start w:val="1"/>
      <w:numFmt w:val="bullet"/>
      <w:lvlText w:val=""/>
      <w:lvlJc w:val="left"/>
      <w:pPr>
        <w:tabs>
          <w:tab w:val="num" w:pos="2880"/>
        </w:tabs>
        <w:ind w:left="2880" w:hanging="360"/>
      </w:pPr>
      <w:rPr>
        <w:rFonts w:ascii="Wingdings" w:hAnsi="Wingdings" w:hint="default"/>
      </w:rPr>
    </w:lvl>
    <w:lvl w:ilvl="4" w:tplc="144CF476" w:tentative="1">
      <w:start w:val="1"/>
      <w:numFmt w:val="bullet"/>
      <w:lvlText w:val=""/>
      <w:lvlJc w:val="left"/>
      <w:pPr>
        <w:tabs>
          <w:tab w:val="num" w:pos="3600"/>
        </w:tabs>
        <w:ind w:left="3600" w:hanging="360"/>
      </w:pPr>
      <w:rPr>
        <w:rFonts w:ascii="Wingdings" w:hAnsi="Wingdings" w:hint="default"/>
      </w:rPr>
    </w:lvl>
    <w:lvl w:ilvl="5" w:tplc="F88E12AE" w:tentative="1">
      <w:start w:val="1"/>
      <w:numFmt w:val="bullet"/>
      <w:lvlText w:val=""/>
      <w:lvlJc w:val="left"/>
      <w:pPr>
        <w:tabs>
          <w:tab w:val="num" w:pos="4320"/>
        </w:tabs>
        <w:ind w:left="4320" w:hanging="360"/>
      </w:pPr>
      <w:rPr>
        <w:rFonts w:ascii="Wingdings" w:hAnsi="Wingdings" w:hint="default"/>
      </w:rPr>
    </w:lvl>
    <w:lvl w:ilvl="6" w:tplc="DF9AB77E" w:tentative="1">
      <w:start w:val="1"/>
      <w:numFmt w:val="bullet"/>
      <w:lvlText w:val=""/>
      <w:lvlJc w:val="left"/>
      <w:pPr>
        <w:tabs>
          <w:tab w:val="num" w:pos="5040"/>
        </w:tabs>
        <w:ind w:left="5040" w:hanging="360"/>
      </w:pPr>
      <w:rPr>
        <w:rFonts w:ascii="Wingdings" w:hAnsi="Wingdings" w:hint="default"/>
      </w:rPr>
    </w:lvl>
    <w:lvl w:ilvl="7" w:tplc="DDDE3F9E" w:tentative="1">
      <w:start w:val="1"/>
      <w:numFmt w:val="bullet"/>
      <w:lvlText w:val=""/>
      <w:lvlJc w:val="left"/>
      <w:pPr>
        <w:tabs>
          <w:tab w:val="num" w:pos="5760"/>
        </w:tabs>
        <w:ind w:left="5760" w:hanging="360"/>
      </w:pPr>
      <w:rPr>
        <w:rFonts w:ascii="Wingdings" w:hAnsi="Wingdings" w:hint="default"/>
      </w:rPr>
    </w:lvl>
    <w:lvl w:ilvl="8" w:tplc="ECA6305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317518"/>
    <w:multiLevelType w:val="hybridMultilevel"/>
    <w:tmpl w:val="CAE89D6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B48E0"/>
    <w:multiLevelType w:val="multilevel"/>
    <w:tmpl w:val="E3FCF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E32C03"/>
    <w:multiLevelType w:val="hybridMultilevel"/>
    <w:tmpl w:val="772E9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3F3BE1"/>
    <w:multiLevelType w:val="hybridMultilevel"/>
    <w:tmpl w:val="BF3E2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80AA0"/>
    <w:multiLevelType w:val="multilevel"/>
    <w:tmpl w:val="B53E7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1D6913"/>
    <w:multiLevelType w:val="hybridMultilevel"/>
    <w:tmpl w:val="7952B068"/>
    <w:lvl w:ilvl="0" w:tplc="4344FF32">
      <w:start w:val="1"/>
      <w:numFmt w:val="decimal"/>
      <w:pStyle w:val="Heading5-BoldNumbered"/>
      <w:lvlText w:val="%1."/>
      <w:lvlJc w:val="left"/>
      <w:pPr>
        <w:tabs>
          <w:tab w:val="num" w:pos="360"/>
        </w:tabs>
        <w:ind w:left="360" w:hanging="360"/>
      </w:pPr>
    </w:lvl>
    <w:lvl w:ilvl="1" w:tplc="BD3C510E">
      <w:start w:val="1"/>
      <w:numFmt w:val="decimal"/>
      <w:lvlText w:val="%2."/>
      <w:lvlJc w:val="left"/>
      <w:pPr>
        <w:tabs>
          <w:tab w:val="num" w:pos="-4140"/>
        </w:tabs>
        <w:ind w:left="-4140" w:hanging="360"/>
      </w:pPr>
      <w:rPr>
        <w:rFonts w:hint="default"/>
      </w:rPr>
    </w:lvl>
    <w:lvl w:ilvl="2" w:tplc="04090001">
      <w:start w:val="1"/>
      <w:numFmt w:val="bullet"/>
      <w:pStyle w:val="TableBulletList"/>
      <w:lvlText w:val=""/>
      <w:lvlJc w:val="left"/>
      <w:pPr>
        <w:tabs>
          <w:tab w:val="num" w:pos="-2520"/>
        </w:tabs>
        <w:ind w:left="-2520" w:hanging="360"/>
      </w:pPr>
      <w:rPr>
        <w:rFonts w:ascii="Symbol" w:hAnsi="Symbol" w:hint="default"/>
      </w:rPr>
    </w:lvl>
    <w:lvl w:ilvl="3" w:tplc="0409000F">
      <w:start w:val="1"/>
      <w:numFmt w:val="decimal"/>
      <w:lvlText w:val="%4."/>
      <w:lvlJc w:val="left"/>
      <w:pPr>
        <w:tabs>
          <w:tab w:val="num" w:pos="-1980"/>
        </w:tabs>
        <w:ind w:left="-1980" w:hanging="360"/>
      </w:pPr>
    </w:lvl>
    <w:lvl w:ilvl="4" w:tplc="04090019">
      <w:start w:val="1"/>
      <w:numFmt w:val="lowerLetter"/>
      <w:lvlText w:val="%5."/>
      <w:lvlJc w:val="left"/>
      <w:pPr>
        <w:tabs>
          <w:tab w:val="num" w:pos="-1260"/>
        </w:tabs>
        <w:ind w:left="-1260" w:hanging="360"/>
      </w:pPr>
    </w:lvl>
    <w:lvl w:ilvl="5" w:tplc="0409001B">
      <w:start w:val="1"/>
      <w:numFmt w:val="lowerRoman"/>
      <w:lvlText w:val="%6."/>
      <w:lvlJc w:val="right"/>
      <w:pPr>
        <w:tabs>
          <w:tab w:val="num" w:pos="-540"/>
        </w:tabs>
        <w:ind w:left="-540" w:hanging="180"/>
      </w:pPr>
    </w:lvl>
    <w:lvl w:ilvl="6" w:tplc="0409000F">
      <w:start w:val="1"/>
      <w:numFmt w:val="decimal"/>
      <w:lvlText w:val="%7."/>
      <w:lvlJc w:val="left"/>
      <w:pPr>
        <w:tabs>
          <w:tab w:val="num" w:pos="180"/>
        </w:tabs>
        <w:ind w:left="180" w:hanging="360"/>
      </w:pPr>
    </w:lvl>
    <w:lvl w:ilvl="7" w:tplc="04090019">
      <w:start w:val="1"/>
      <w:numFmt w:val="lowerLetter"/>
      <w:lvlText w:val="%8."/>
      <w:lvlJc w:val="left"/>
      <w:pPr>
        <w:tabs>
          <w:tab w:val="num" w:pos="900"/>
        </w:tabs>
        <w:ind w:left="900" w:hanging="360"/>
      </w:pPr>
    </w:lvl>
    <w:lvl w:ilvl="8" w:tplc="0409001B" w:tentative="1">
      <w:start w:val="1"/>
      <w:numFmt w:val="lowerRoman"/>
      <w:lvlText w:val="%9."/>
      <w:lvlJc w:val="right"/>
      <w:pPr>
        <w:tabs>
          <w:tab w:val="num" w:pos="1620"/>
        </w:tabs>
        <w:ind w:left="1620" w:hanging="180"/>
      </w:pPr>
    </w:lvl>
  </w:abstractNum>
  <w:abstractNum w:abstractNumId="28" w15:restartNumberingAfterBreak="0">
    <w:nsid w:val="72F73EB5"/>
    <w:multiLevelType w:val="hybridMultilevel"/>
    <w:tmpl w:val="F03834AE"/>
    <w:lvl w:ilvl="0" w:tplc="29BEE460">
      <w:start w:val="1"/>
      <w:numFmt w:val="decimal"/>
      <w:lvlText w:val="%1."/>
      <w:lvlJc w:val="left"/>
      <w:pPr>
        <w:tabs>
          <w:tab w:val="num" w:pos="1080"/>
        </w:tabs>
        <w:ind w:left="1080" w:hanging="360"/>
      </w:pPr>
    </w:lvl>
    <w:lvl w:ilvl="1" w:tplc="04090017">
      <w:start w:val="1"/>
      <w:numFmt w:val="lowerLetter"/>
      <w:lvlText w:val="%2)"/>
      <w:lvlJc w:val="left"/>
      <w:pPr>
        <w:tabs>
          <w:tab w:val="num" w:pos="1800"/>
        </w:tabs>
        <w:ind w:left="1800" w:hanging="360"/>
      </w:pPr>
      <w:rPr>
        <w:rFonts w:hint="default"/>
      </w:rPr>
    </w:lvl>
    <w:lvl w:ilvl="2" w:tplc="445AB048">
      <w:numFmt w:val="bullet"/>
      <w:lvlText w:val="•"/>
      <w:lvlJc w:val="left"/>
      <w:pPr>
        <w:tabs>
          <w:tab w:val="num" w:pos="2520"/>
        </w:tabs>
        <w:ind w:left="2520" w:hanging="360"/>
      </w:pPr>
      <w:rPr>
        <w:rFonts w:ascii="Arial" w:hAnsi="Arial" w:hint="default"/>
      </w:rPr>
    </w:lvl>
    <w:lvl w:ilvl="3" w:tplc="6152E1E6">
      <w:numFmt w:val="bullet"/>
      <w:lvlText w:val="•"/>
      <w:lvlJc w:val="left"/>
      <w:pPr>
        <w:tabs>
          <w:tab w:val="num" w:pos="3240"/>
        </w:tabs>
        <w:ind w:left="3240" w:hanging="360"/>
      </w:pPr>
      <w:rPr>
        <w:rFonts w:ascii="Arial" w:hAnsi="Arial" w:hint="default"/>
      </w:rPr>
    </w:lvl>
    <w:lvl w:ilvl="4" w:tplc="D80E12E8" w:tentative="1">
      <w:start w:val="1"/>
      <w:numFmt w:val="decimal"/>
      <w:lvlText w:val="%5."/>
      <w:lvlJc w:val="left"/>
      <w:pPr>
        <w:tabs>
          <w:tab w:val="num" w:pos="3960"/>
        </w:tabs>
        <w:ind w:left="3960" w:hanging="360"/>
      </w:pPr>
    </w:lvl>
    <w:lvl w:ilvl="5" w:tplc="C18CB8A2" w:tentative="1">
      <w:start w:val="1"/>
      <w:numFmt w:val="decimal"/>
      <w:lvlText w:val="%6."/>
      <w:lvlJc w:val="left"/>
      <w:pPr>
        <w:tabs>
          <w:tab w:val="num" w:pos="4680"/>
        </w:tabs>
        <w:ind w:left="4680" w:hanging="360"/>
      </w:pPr>
    </w:lvl>
    <w:lvl w:ilvl="6" w:tplc="C0087C8C" w:tentative="1">
      <w:start w:val="1"/>
      <w:numFmt w:val="decimal"/>
      <w:lvlText w:val="%7."/>
      <w:lvlJc w:val="left"/>
      <w:pPr>
        <w:tabs>
          <w:tab w:val="num" w:pos="5400"/>
        </w:tabs>
        <w:ind w:left="5400" w:hanging="360"/>
      </w:pPr>
    </w:lvl>
    <w:lvl w:ilvl="7" w:tplc="890AD770" w:tentative="1">
      <w:start w:val="1"/>
      <w:numFmt w:val="decimal"/>
      <w:lvlText w:val="%8."/>
      <w:lvlJc w:val="left"/>
      <w:pPr>
        <w:tabs>
          <w:tab w:val="num" w:pos="6120"/>
        </w:tabs>
        <w:ind w:left="6120" w:hanging="360"/>
      </w:pPr>
    </w:lvl>
    <w:lvl w:ilvl="8" w:tplc="7C5E9A36" w:tentative="1">
      <w:start w:val="1"/>
      <w:numFmt w:val="decimal"/>
      <w:lvlText w:val="%9."/>
      <w:lvlJc w:val="left"/>
      <w:pPr>
        <w:tabs>
          <w:tab w:val="num" w:pos="6840"/>
        </w:tabs>
        <w:ind w:left="6840" w:hanging="360"/>
      </w:pPr>
    </w:lvl>
  </w:abstractNum>
  <w:abstractNum w:abstractNumId="29" w15:restartNumberingAfterBreak="0">
    <w:nsid w:val="77E568E8"/>
    <w:multiLevelType w:val="hybridMultilevel"/>
    <w:tmpl w:val="C30C273C"/>
    <w:lvl w:ilvl="0" w:tplc="04090017">
      <w:start w:val="1"/>
      <w:numFmt w:val="lowerLetter"/>
      <w:lvlText w:val="%1)"/>
      <w:lvlJc w:val="left"/>
      <w:pPr>
        <w:tabs>
          <w:tab w:val="num" w:pos="1080"/>
        </w:tabs>
        <w:ind w:left="1080" w:hanging="360"/>
      </w:pPr>
    </w:lvl>
    <w:lvl w:ilvl="1" w:tplc="04090017">
      <w:start w:val="1"/>
      <w:numFmt w:val="lowerLetter"/>
      <w:lvlText w:val="%2)"/>
      <w:lvlJc w:val="left"/>
      <w:pPr>
        <w:tabs>
          <w:tab w:val="num" w:pos="1800"/>
        </w:tabs>
        <w:ind w:left="1800" w:hanging="360"/>
      </w:pPr>
      <w:rPr>
        <w:rFonts w:hint="default"/>
      </w:rPr>
    </w:lvl>
    <w:lvl w:ilvl="2" w:tplc="445AB048">
      <w:numFmt w:val="bullet"/>
      <w:lvlText w:val="•"/>
      <w:lvlJc w:val="left"/>
      <w:pPr>
        <w:tabs>
          <w:tab w:val="num" w:pos="2520"/>
        </w:tabs>
        <w:ind w:left="2520" w:hanging="360"/>
      </w:pPr>
      <w:rPr>
        <w:rFonts w:ascii="Arial" w:hAnsi="Arial" w:hint="default"/>
      </w:rPr>
    </w:lvl>
    <w:lvl w:ilvl="3" w:tplc="6152E1E6">
      <w:numFmt w:val="bullet"/>
      <w:lvlText w:val="•"/>
      <w:lvlJc w:val="left"/>
      <w:pPr>
        <w:tabs>
          <w:tab w:val="num" w:pos="3240"/>
        </w:tabs>
        <w:ind w:left="3240" w:hanging="360"/>
      </w:pPr>
      <w:rPr>
        <w:rFonts w:ascii="Arial" w:hAnsi="Arial" w:hint="default"/>
      </w:rPr>
    </w:lvl>
    <w:lvl w:ilvl="4" w:tplc="D80E12E8" w:tentative="1">
      <w:start w:val="1"/>
      <w:numFmt w:val="decimal"/>
      <w:lvlText w:val="%5."/>
      <w:lvlJc w:val="left"/>
      <w:pPr>
        <w:tabs>
          <w:tab w:val="num" w:pos="3960"/>
        </w:tabs>
        <w:ind w:left="3960" w:hanging="360"/>
      </w:pPr>
    </w:lvl>
    <w:lvl w:ilvl="5" w:tplc="C18CB8A2" w:tentative="1">
      <w:start w:val="1"/>
      <w:numFmt w:val="decimal"/>
      <w:lvlText w:val="%6."/>
      <w:lvlJc w:val="left"/>
      <w:pPr>
        <w:tabs>
          <w:tab w:val="num" w:pos="4680"/>
        </w:tabs>
        <w:ind w:left="4680" w:hanging="360"/>
      </w:pPr>
    </w:lvl>
    <w:lvl w:ilvl="6" w:tplc="C0087C8C" w:tentative="1">
      <w:start w:val="1"/>
      <w:numFmt w:val="decimal"/>
      <w:lvlText w:val="%7."/>
      <w:lvlJc w:val="left"/>
      <w:pPr>
        <w:tabs>
          <w:tab w:val="num" w:pos="5400"/>
        </w:tabs>
        <w:ind w:left="5400" w:hanging="360"/>
      </w:pPr>
    </w:lvl>
    <w:lvl w:ilvl="7" w:tplc="890AD770" w:tentative="1">
      <w:start w:val="1"/>
      <w:numFmt w:val="decimal"/>
      <w:lvlText w:val="%8."/>
      <w:lvlJc w:val="left"/>
      <w:pPr>
        <w:tabs>
          <w:tab w:val="num" w:pos="6120"/>
        </w:tabs>
        <w:ind w:left="6120" w:hanging="360"/>
      </w:pPr>
    </w:lvl>
    <w:lvl w:ilvl="8" w:tplc="7C5E9A36" w:tentative="1">
      <w:start w:val="1"/>
      <w:numFmt w:val="decimal"/>
      <w:lvlText w:val="%9."/>
      <w:lvlJc w:val="left"/>
      <w:pPr>
        <w:tabs>
          <w:tab w:val="num" w:pos="6840"/>
        </w:tabs>
        <w:ind w:left="6840" w:hanging="360"/>
      </w:pPr>
    </w:lvl>
  </w:abstractNum>
  <w:num w:numId="1">
    <w:abstractNumId w:val="23"/>
  </w:num>
  <w:num w:numId="2">
    <w:abstractNumId w:val="26"/>
  </w:num>
  <w:num w:numId="3">
    <w:abstractNumId w:val="9"/>
  </w:num>
  <w:num w:numId="4">
    <w:abstractNumId w:val="7"/>
  </w:num>
  <w:num w:numId="5">
    <w:abstractNumId w:val="10"/>
  </w:num>
  <w:num w:numId="6">
    <w:abstractNumId w:val="2"/>
  </w:num>
  <w:num w:numId="7">
    <w:abstractNumId w:val="0"/>
  </w:num>
  <w:num w:numId="8">
    <w:abstractNumId w:val="18"/>
  </w:num>
  <w:num w:numId="9">
    <w:abstractNumId w:val="19"/>
  </w:num>
  <w:num w:numId="10">
    <w:abstractNumId w:val="11"/>
  </w:num>
  <w:num w:numId="11">
    <w:abstractNumId w:val="24"/>
  </w:num>
  <w:num w:numId="12">
    <w:abstractNumId w:val="27"/>
  </w:num>
  <w:num w:numId="13">
    <w:abstractNumId w:val="21"/>
  </w:num>
  <w:num w:numId="14">
    <w:abstractNumId w:val="25"/>
  </w:num>
  <w:num w:numId="15">
    <w:abstractNumId w:val="4"/>
  </w:num>
  <w:num w:numId="16">
    <w:abstractNumId w:val="5"/>
  </w:num>
  <w:num w:numId="17">
    <w:abstractNumId w:val="3"/>
  </w:num>
  <w:num w:numId="18">
    <w:abstractNumId w:val="16"/>
  </w:num>
  <w:num w:numId="19">
    <w:abstractNumId w:val="28"/>
  </w:num>
  <w:num w:numId="20">
    <w:abstractNumId w:val="1"/>
  </w:num>
  <w:num w:numId="21">
    <w:abstractNumId w:val="15"/>
  </w:num>
  <w:num w:numId="22">
    <w:abstractNumId w:val="6"/>
  </w:num>
  <w:num w:numId="23">
    <w:abstractNumId w:val="8"/>
  </w:num>
  <w:num w:numId="24">
    <w:abstractNumId w:val="13"/>
  </w:num>
  <w:num w:numId="25">
    <w:abstractNumId w:val="12"/>
  </w:num>
  <w:num w:numId="26">
    <w:abstractNumId w:val="14"/>
  </w:num>
  <w:num w:numId="27">
    <w:abstractNumId w:val="29"/>
  </w:num>
  <w:num w:numId="28">
    <w:abstractNumId w:val="22"/>
  </w:num>
  <w:num w:numId="29">
    <w:abstractNumId w:val="17"/>
  </w:num>
  <w:num w:numId="30">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autoHyphenation/>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E07"/>
    <w:rsid w:val="00000340"/>
    <w:rsid w:val="00000B3B"/>
    <w:rsid w:val="0000171C"/>
    <w:rsid w:val="0000175C"/>
    <w:rsid w:val="00001785"/>
    <w:rsid w:val="00002EF5"/>
    <w:rsid w:val="00003126"/>
    <w:rsid w:val="00003158"/>
    <w:rsid w:val="00003183"/>
    <w:rsid w:val="00004B44"/>
    <w:rsid w:val="00005578"/>
    <w:rsid w:val="00007072"/>
    <w:rsid w:val="0000735D"/>
    <w:rsid w:val="0001065F"/>
    <w:rsid w:val="00011561"/>
    <w:rsid w:val="0001175F"/>
    <w:rsid w:val="00014718"/>
    <w:rsid w:val="00015D42"/>
    <w:rsid w:val="00016699"/>
    <w:rsid w:val="00020019"/>
    <w:rsid w:val="000219EA"/>
    <w:rsid w:val="0002299A"/>
    <w:rsid w:val="00024206"/>
    <w:rsid w:val="00024F01"/>
    <w:rsid w:val="000253D3"/>
    <w:rsid w:val="0002546D"/>
    <w:rsid w:val="000270AA"/>
    <w:rsid w:val="000313DB"/>
    <w:rsid w:val="000327EE"/>
    <w:rsid w:val="0003392E"/>
    <w:rsid w:val="000340E4"/>
    <w:rsid w:val="00034446"/>
    <w:rsid w:val="000348DA"/>
    <w:rsid w:val="00034F73"/>
    <w:rsid w:val="00036867"/>
    <w:rsid w:val="00041DD7"/>
    <w:rsid w:val="00042137"/>
    <w:rsid w:val="000438D0"/>
    <w:rsid w:val="0004459D"/>
    <w:rsid w:val="00044694"/>
    <w:rsid w:val="00044DDE"/>
    <w:rsid w:val="000454F8"/>
    <w:rsid w:val="000459C5"/>
    <w:rsid w:val="0005011F"/>
    <w:rsid w:val="00051321"/>
    <w:rsid w:val="00051CBA"/>
    <w:rsid w:val="0005267E"/>
    <w:rsid w:val="000526B0"/>
    <w:rsid w:val="00053073"/>
    <w:rsid w:val="000536B9"/>
    <w:rsid w:val="0005498C"/>
    <w:rsid w:val="00054DBF"/>
    <w:rsid w:val="00055336"/>
    <w:rsid w:val="00056DE3"/>
    <w:rsid w:val="00057620"/>
    <w:rsid w:val="00061BEE"/>
    <w:rsid w:val="000625A0"/>
    <w:rsid w:val="000625D1"/>
    <w:rsid w:val="00062C10"/>
    <w:rsid w:val="0006302B"/>
    <w:rsid w:val="000633BA"/>
    <w:rsid w:val="00064EBC"/>
    <w:rsid w:val="00065731"/>
    <w:rsid w:val="00066AB1"/>
    <w:rsid w:val="00066B1D"/>
    <w:rsid w:val="00071712"/>
    <w:rsid w:val="00071A71"/>
    <w:rsid w:val="00073412"/>
    <w:rsid w:val="00073622"/>
    <w:rsid w:val="00074AC1"/>
    <w:rsid w:val="00074DE4"/>
    <w:rsid w:val="00075AB7"/>
    <w:rsid w:val="00081005"/>
    <w:rsid w:val="00082BDD"/>
    <w:rsid w:val="00083AAE"/>
    <w:rsid w:val="00084714"/>
    <w:rsid w:val="00084D91"/>
    <w:rsid w:val="00086DD8"/>
    <w:rsid w:val="00087BB6"/>
    <w:rsid w:val="000915AD"/>
    <w:rsid w:val="00092E7A"/>
    <w:rsid w:val="00093101"/>
    <w:rsid w:val="000936F6"/>
    <w:rsid w:val="00095196"/>
    <w:rsid w:val="000951B3"/>
    <w:rsid w:val="00095331"/>
    <w:rsid w:val="0009581E"/>
    <w:rsid w:val="00096954"/>
    <w:rsid w:val="00096FFF"/>
    <w:rsid w:val="0009738E"/>
    <w:rsid w:val="000977CB"/>
    <w:rsid w:val="000A03DF"/>
    <w:rsid w:val="000A0D96"/>
    <w:rsid w:val="000A1C86"/>
    <w:rsid w:val="000A215C"/>
    <w:rsid w:val="000A25F0"/>
    <w:rsid w:val="000A299B"/>
    <w:rsid w:val="000A436D"/>
    <w:rsid w:val="000A5225"/>
    <w:rsid w:val="000A5D39"/>
    <w:rsid w:val="000B02C3"/>
    <w:rsid w:val="000B0C48"/>
    <w:rsid w:val="000B0F91"/>
    <w:rsid w:val="000B13D8"/>
    <w:rsid w:val="000B1568"/>
    <w:rsid w:val="000B187C"/>
    <w:rsid w:val="000B1886"/>
    <w:rsid w:val="000B1EFC"/>
    <w:rsid w:val="000B2322"/>
    <w:rsid w:val="000B2F02"/>
    <w:rsid w:val="000B3931"/>
    <w:rsid w:val="000B3ACD"/>
    <w:rsid w:val="000B4490"/>
    <w:rsid w:val="000B5B17"/>
    <w:rsid w:val="000B704F"/>
    <w:rsid w:val="000C057A"/>
    <w:rsid w:val="000C064C"/>
    <w:rsid w:val="000C069E"/>
    <w:rsid w:val="000C0FBC"/>
    <w:rsid w:val="000C11A7"/>
    <w:rsid w:val="000C1E75"/>
    <w:rsid w:val="000C383D"/>
    <w:rsid w:val="000C41B1"/>
    <w:rsid w:val="000C4BCD"/>
    <w:rsid w:val="000C4BDD"/>
    <w:rsid w:val="000C5039"/>
    <w:rsid w:val="000C60E4"/>
    <w:rsid w:val="000C637B"/>
    <w:rsid w:val="000D0297"/>
    <w:rsid w:val="000D0FFB"/>
    <w:rsid w:val="000D1859"/>
    <w:rsid w:val="000D18B7"/>
    <w:rsid w:val="000D2C08"/>
    <w:rsid w:val="000D44F7"/>
    <w:rsid w:val="000D6300"/>
    <w:rsid w:val="000D74E8"/>
    <w:rsid w:val="000D7A50"/>
    <w:rsid w:val="000E0271"/>
    <w:rsid w:val="000E05D8"/>
    <w:rsid w:val="000E05E9"/>
    <w:rsid w:val="000E0B28"/>
    <w:rsid w:val="000E2718"/>
    <w:rsid w:val="000E2A22"/>
    <w:rsid w:val="000E304B"/>
    <w:rsid w:val="000E49CB"/>
    <w:rsid w:val="000E538D"/>
    <w:rsid w:val="000E555D"/>
    <w:rsid w:val="000E6626"/>
    <w:rsid w:val="000E6880"/>
    <w:rsid w:val="000F05AA"/>
    <w:rsid w:val="000F0C24"/>
    <w:rsid w:val="000F0F5A"/>
    <w:rsid w:val="000F250A"/>
    <w:rsid w:val="000F2943"/>
    <w:rsid w:val="000F3137"/>
    <w:rsid w:val="000F4036"/>
    <w:rsid w:val="000F59FF"/>
    <w:rsid w:val="000F6697"/>
    <w:rsid w:val="000F71C2"/>
    <w:rsid w:val="000F721F"/>
    <w:rsid w:val="000F7878"/>
    <w:rsid w:val="000F7D87"/>
    <w:rsid w:val="00100C76"/>
    <w:rsid w:val="00102D9A"/>
    <w:rsid w:val="00103D32"/>
    <w:rsid w:val="0010581E"/>
    <w:rsid w:val="00105A49"/>
    <w:rsid w:val="0010670A"/>
    <w:rsid w:val="001111D1"/>
    <w:rsid w:val="001111F7"/>
    <w:rsid w:val="00111575"/>
    <w:rsid w:val="00111866"/>
    <w:rsid w:val="00113FEC"/>
    <w:rsid w:val="001151E6"/>
    <w:rsid w:val="00115244"/>
    <w:rsid w:val="00115552"/>
    <w:rsid w:val="0011591F"/>
    <w:rsid w:val="00116903"/>
    <w:rsid w:val="00116914"/>
    <w:rsid w:val="0011692E"/>
    <w:rsid w:val="00116D9F"/>
    <w:rsid w:val="001232B0"/>
    <w:rsid w:val="001246FA"/>
    <w:rsid w:val="00124BA9"/>
    <w:rsid w:val="0012522F"/>
    <w:rsid w:val="0012566B"/>
    <w:rsid w:val="00126EC5"/>
    <w:rsid w:val="001302E7"/>
    <w:rsid w:val="00130639"/>
    <w:rsid w:val="00130AB9"/>
    <w:rsid w:val="001312DB"/>
    <w:rsid w:val="00132921"/>
    <w:rsid w:val="00132EE6"/>
    <w:rsid w:val="0013429C"/>
    <w:rsid w:val="00134309"/>
    <w:rsid w:val="00134E39"/>
    <w:rsid w:val="001359DC"/>
    <w:rsid w:val="00137F2E"/>
    <w:rsid w:val="00141B25"/>
    <w:rsid w:val="00143495"/>
    <w:rsid w:val="001437AF"/>
    <w:rsid w:val="0014387D"/>
    <w:rsid w:val="00143EBB"/>
    <w:rsid w:val="00144EA4"/>
    <w:rsid w:val="00145CD8"/>
    <w:rsid w:val="00146A15"/>
    <w:rsid w:val="00146BCF"/>
    <w:rsid w:val="00150367"/>
    <w:rsid w:val="001507FB"/>
    <w:rsid w:val="00150AEE"/>
    <w:rsid w:val="00150CAC"/>
    <w:rsid w:val="00151522"/>
    <w:rsid w:val="001525B9"/>
    <w:rsid w:val="00154563"/>
    <w:rsid w:val="001551A8"/>
    <w:rsid w:val="001556AD"/>
    <w:rsid w:val="001559BF"/>
    <w:rsid w:val="00156F13"/>
    <w:rsid w:val="001577B7"/>
    <w:rsid w:val="00157D54"/>
    <w:rsid w:val="00160D55"/>
    <w:rsid w:val="001613A5"/>
    <w:rsid w:val="00161C09"/>
    <w:rsid w:val="001626E3"/>
    <w:rsid w:val="00164B5F"/>
    <w:rsid w:val="0016799A"/>
    <w:rsid w:val="00167A0B"/>
    <w:rsid w:val="00171C5B"/>
    <w:rsid w:val="00171D11"/>
    <w:rsid w:val="00171DD3"/>
    <w:rsid w:val="001732D1"/>
    <w:rsid w:val="00173552"/>
    <w:rsid w:val="00173869"/>
    <w:rsid w:val="0017491B"/>
    <w:rsid w:val="001756C5"/>
    <w:rsid w:val="00180278"/>
    <w:rsid w:val="001826BB"/>
    <w:rsid w:val="00182935"/>
    <w:rsid w:val="0018305B"/>
    <w:rsid w:val="0018447F"/>
    <w:rsid w:val="001844B1"/>
    <w:rsid w:val="0018473F"/>
    <w:rsid w:val="00186924"/>
    <w:rsid w:val="001869D3"/>
    <w:rsid w:val="00186C15"/>
    <w:rsid w:val="001906C5"/>
    <w:rsid w:val="00192076"/>
    <w:rsid w:val="0019240C"/>
    <w:rsid w:val="00192446"/>
    <w:rsid w:val="00192B5E"/>
    <w:rsid w:val="00192BD5"/>
    <w:rsid w:val="00193205"/>
    <w:rsid w:val="00193CE9"/>
    <w:rsid w:val="0019465D"/>
    <w:rsid w:val="00194731"/>
    <w:rsid w:val="00197AD9"/>
    <w:rsid w:val="001A0A29"/>
    <w:rsid w:val="001A1598"/>
    <w:rsid w:val="001A25B6"/>
    <w:rsid w:val="001A2D57"/>
    <w:rsid w:val="001A2D86"/>
    <w:rsid w:val="001A3016"/>
    <w:rsid w:val="001A37A4"/>
    <w:rsid w:val="001A3B30"/>
    <w:rsid w:val="001A488C"/>
    <w:rsid w:val="001A4E14"/>
    <w:rsid w:val="001A559D"/>
    <w:rsid w:val="001A55A7"/>
    <w:rsid w:val="001A60A4"/>
    <w:rsid w:val="001A62BA"/>
    <w:rsid w:val="001A6611"/>
    <w:rsid w:val="001A7057"/>
    <w:rsid w:val="001B01D7"/>
    <w:rsid w:val="001B0607"/>
    <w:rsid w:val="001B0A5C"/>
    <w:rsid w:val="001B132C"/>
    <w:rsid w:val="001B1A71"/>
    <w:rsid w:val="001B2024"/>
    <w:rsid w:val="001B3373"/>
    <w:rsid w:val="001B35D9"/>
    <w:rsid w:val="001B361C"/>
    <w:rsid w:val="001B429F"/>
    <w:rsid w:val="001B4435"/>
    <w:rsid w:val="001B4E19"/>
    <w:rsid w:val="001B5A00"/>
    <w:rsid w:val="001B78C9"/>
    <w:rsid w:val="001B7C77"/>
    <w:rsid w:val="001C0006"/>
    <w:rsid w:val="001C08F1"/>
    <w:rsid w:val="001C0D28"/>
    <w:rsid w:val="001C1162"/>
    <w:rsid w:val="001C16AE"/>
    <w:rsid w:val="001C2944"/>
    <w:rsid w:val="001C34C3"/>
    <w:rsid w:val="001C4D83"/>
    <w:rsid w:val="001C4DEC"/>
    <w:rsid w:val="001C567E"/>
    <w:rsid w:val="001C5A48"/>
    <w:rsid w:val="001C5D88"/>
    <w:rsid w:val="001C70D4"/>
    <w:rsid w:val="001D1F00"/>
    <w:rsid w:val="001D288A"/>
    <w:rsid w:val="001D3B0A"/>
    <w:rsid w:val="001D5BC1"/>
    <w:rsid w:val="001D5F27"/>
    <w:rsid w:val="001D7CC9"/>
    <w:rsid w:val="001E13C3"/>
    <w:rsid w:val="001E1BA9"/>
    <w:rsid w:val="001E2303"/>
    <w:rsid w:val="001E23C2"/>
    <w:rsid w:val="001E36F5"/>
    <w:rsid w:val="001E3F70"/>
    <w:rsid w:val="001E40ED"/>
    <w:rsid w:val="001E4EBB"/>
    <w:rsid w:val="001E62F7"/>
    <w:rsid w:val="001E6461"/>
    <w:rsid w:val="001E6B13"/>
    <w:rsid w:val="001E743A"/>
    <w:rsid w:val="001E7655"/>
    <w:rsid w:val="001F0AB7"/>
    <w:rsid w:val="001F0D03"/>
    <w:rsid w:val="001F0DED"/>
    <w:rsid w:val="001F1ADF"/>
    <w:rsid w:val="001F239F"/>
    <w:rsid w:val="001F3344"/>
    <w:rsid w:val="001F40AD"/>
    <w:rsid w:val="001F4355"/>
    <w:rsid w:val="001F4DDC"/>
    <w:rsid w:val="001F6050"/>
    <w:rsid w:val="001F6206"/>
    <w:rsid w:val="001F656F"/>
    <w:rsid w:val="001F6F5A"/>
    <w:rsid w:val="002017DB"/>
    <w:rsid w:val="00202898"/>
    <w:rsid w:val="0020320F"/>
    <w:rsid w:val="00203244"/>
    <w:rsid w:val="0020389A"/>
    <w:rsid w:val="0020406D"/>
    <w:rsid w:val="00205EE4"/>
    <w:rsid w:val="00206C9F"/>
    <w:rsid w:val="0020749E"/>
    <w:rsid w:val="002074B5"/>
    <w:rsid w:val="00207F17"/>
    <w:rsid w:val="0021039A"/>
    <w:rsid w:val="002104D9"/>
    <w:rsid w:val="00210EA9"/>
    <w:rsid w:val="00210EC8"/>
    <w:rsid w:val="00211DAE"/>
    <w:rsid w:val="00213061"/>
    <w:rsid w:val="00214C74"/>
    <w:rsid w:val="002151C7"/>
    <w:rsid w:val="002164B5"/>
    <w:rsid w:val="002165DC"/>
    <w:rsid w:val="00217C4A"/>
    <w:rsid w:val="002207C1"/>
    <w:rsid w:val="00220BE6"/>
    <w:rsid w:val="00221089"/>
    <w:rsid w:val="0022205A"/>
    <w:rsid w:val="00222E9A"/>
    <w:rsid w:val="00223438"/>
    <w:rsid w:val="002255F7"/>
    <w:rsid w:val="002269F5"/>
    <w:rsid w:val="00226BE4"/>
    <w:rsid w:val="00231734"/>
    <w:rsid w:val="00234B3E"/>
    <w:rsid w:val="00235165"/>
    <w:rsid w:val="00235976"/>
    <w:rsid w:val="00235BA7"/>
    <w:rsid w:val="0023647B"/>
    <w:rsid w:val="002401D5"/>
    <w:rsid w:val="002404AC"/>
    <w:rsid w:val="00240C02"/>
    <w:rsid w:val="00241F0C"/>
    <w:rsid w:val="00242125"/>
    <w:rsid w:val="00242C00"/>
    <w:rsid w:val="00244C8A"/>
    <w:rsid w:val="00244F7E"/>
    <w:rsid w:val="002455CC"/>
    <w:rsid w:val="00246014"/>
    <w:rsid w:val="002462C5"/>
    <w:rsid w:val="002508A7"/>
    <w:rsid w:val="002516B1"/>
    <w:rsid w:val="0025587D"/>
    <w:rsid w:val="00257233"/>
    <w:rsid w:val="002575EE"/>
    <w:rsid w:val="002576C5"/>
    <w:rsid w:val="00257AA0"/>
    <w:rsid w:val="0026007C"/>
    <w:rsid w:val="002605EF"/>
    <w:rsid w:val="0026071F"/>
    <w:rsid w:val="00260D4B"/>
    <w:rsid w:val="0026144F"/>
    <w:rsid w:val="002615DE"/>
    <w:rsid w:val="00262360"/>
    <w:rsid w:val="002638EE"/>
    <w:rsid w:val="002652EE"/>
    <w:rsid w:val="00265406"/>
    <w:rsid w:val="002658F0"/>
    <w:rsid w:val="00265F72"/>
    <w:rsid w:val="00266783"/>
    <w:rsid w:val="00266EB7"/>
    <w:rsid w:val="00267D89"/>
    <w:rsid w:val="00271518"/>
    <w:rsid w:val="00271F66"/>
    <w:rsid w:val="00272602"/>
    <w:rsid w:val="00273F30"/>
    <w:rsid w:val="00275A36"/>
    <w:rsid w:val="00275DC2"/>
    <w:rsid w:val="00280780"/>
    <w:rsid w:val="00280B0A"/>
    <w:rsid w:val="0028121C"/>
    <w:rsid w:val="00281DD3"/>
    <w:rsid w:val="00282775"/>
    <w:rsid w:val="00283418"/>
    <w:rsid w:val="00285059"/>
    <w:rsid w:val="00286212"/>
    <w:rsid w:val="002867BF"/>
    <w:rsid w:val="00286E69"/>
    <w:rsid w:val="00287208"/>
    <w:rsid w:val="002906D3"/>
    <w:rsid w:val="00290E03"/>
    <w:rsid w:val="00290ED7"/>
    <w:rsid w:val="0029100E"/>
    <w:rsid w:val="00291767"/>
    <w:rsid w:val="002917A6"/>
    <w:rsid w:val="00292236"/>
    <w:rsid w:val="00292966"/>
    <w:rsid w:val="00292BF8"/>
    <w:rsid w:val="00292C02"/>
    <w:rsid w:val="00294BA0"/>
    <w:rsid w:val="00295632"/>
    <w:rsid w:val="00295F7A"/>
    <w:rsid w:val="002960A2"/>
    <w:rsid w:val="00297E4B"/>
    <w:rsid w:val="002A00FB"/>
    <w:rsid w:val="002A175A"/>
    <w:rsid w:val="002A28CE"/>
    <w:rsid w:val="002A2E4F"/>
    <w:rsid w:val="002A2F1B"/>
    <w:rsid w:val="002A39DB"/>
    <w:rsid w:val="002A39F5"/>
    <w:rsid w:val="002A3C66"/>
    <w:rsid w:val="002A4F5F"/>
    <w:rsid w:val="002A622E"/>
    <w:rsid w:val="002A717B"/>
    <w:rsid w:val="002A725C"/>
    <w:rsid w:val="002A72AA"/>
    <w:rsid w:val="002A7FF5"/>
    <w:rsid w:val="002B2297"/>
    <w:rsid w:val="002B53DC"/>
    <w:rsid w:val="002B56C1"/>
    <w:rsid w:val="002C06C2"/>
    <w:rsid w:val="002C1368"/>
    <w:rsid w:val="002C1DFD"/>
    <w:rsid w:val="002C2581"/>
    <w:rsid w:val="002C27D4"/>
    <w:rsid w:val="002C4633"/>
    <w:rsid w:val="002C5145"/>
    <w:rsid w:val="002C5169"/>
    <w:rsid w:val="002C7B81"/>
    <w:rsid w:val="002C7DD5"/>
    <w:rsid w:val="002D01FD"/>
    <w:rsid w:val="002D02E7"/>
    <w:rsid w:val="002D0BE7"/>
    <w:rsid w:val="002D0E07"/>
    <w:rsid w:val="002D1C79"/>
    <w:rsid w:val="002D26EE"/>
    <w:rsid w:val="002D2C0C"/>
    <w:rsid w:val="002D389B"/>
    <w:rsid w:val="002D3A87"/>
    <w:rsid w:val="002D3DFA"/>
    <w:rsid w:val="002D44FA"/>
    <w:rsid w:val="002D495D"/>
    <w:rsid w:val="002D6063"/>
    <w:rsid w:val="002D617D"/>
    <w:rsid w:val="002D61A1"/>
    <w:rsid w:val="002D6B2D"/>
    <w:rsid w:val="002D7DDA"/>
    <w:rsid w:val="002E02B7"/>
    <w:rsid w:val="002E1683"/>
    <w:rsid w:val="002E180C"/>
    <w:rsid w:val="002E1D8C"/>
    <w:rsid w:val="002E38D3"/>
    <w:rsid w:val="002E3981"/>
    <w:rsid w:val="002E63B4"/>
    <w:rsid w:val="002E644A"/>
    <w:rsid w:val="002E6CE5"/>
    <w:rsid w:val="002E703C"/>
    <w:rsid w:val="002F094B"/>
    <w:rsid w:val="002F25AE"/>
    <w:rsid w:val="002F2982"/>
    <w:rsid w:val="002F29DE"/>
    <w:rsid w:val="002F49D1"/>
    <w:rsid w:val="002F5098"/>
    <w:rsid w:val="002F6683"/>
    <w:rsid w:val="002F755C"/>
    <w:rsid w:val="002F7B69"/>
    <w:rsid w:val="002F7D43"/>
    <w:rsid w:val="00300152"/>
    <w:rsid w:val="003013DD"/>
    <w:rsid w:val="003016E3"/>
    <w:rsid w:val="00301776"/>
    <w:rsid w:val="00301E73"/>
    <w:rsid w:val="00302425"/>
    <w:rsid w:val="00302BC5"/>
    <w:rsid w:val="00303102"/>
    <w:rsid w:val="003037E2"/>
    <w:rsid w:val="0030407A"/>
    <w:rsid w:val="003058A2"/>
    <w:rsid w:val="0030670B"/>
    <w:rsid w:val="003106F6"/>
    <w:rsid w:val="00310CA9"/>
    <w:rsid w:val="00313ABB"/>
    <w:rsid w:val="003145D3"/>
    <w:rsid w:val="00315195"/>
    <w:rsid w:val="00315211"/>
    <w:rsid w:val="00317A05"/>
    <w:rsid w:val="00317CDA"/>
    <w:rsid w:val="003216F7"/>
    <w:rsid w:val="0032279A"/>
    <w:rsid w:val="00322FC2"/>
    <w:rsid w:val="003231F9"/>
    <w:rsid w:val="003232D0"/>
    <w:rsid w:val="003233EA"/>
    <w:rsid w:val="00324663"/>
    <w:rsid w:val="00324AEC"/>
    <w:rsid w:val="00324B67"/>
    <w:rsid w:val="00331250"/>
    <w:rsid w:val="00331BBB"/>
    <w:rsid w:val="0033283E"/>
    <w:rsid w:val="00333467"/>
    <w:rsid w:val="003341A4"/>
    <w:rsid w:val="00335049"/>
    <w:rsid w:val="003354AA"/>
    <w:rsid w:val="003356D7"/>
    <w:rsid w:val="00336AEB"/>
    <w:rsid w:val="003402ED"/>
    <w:rsid w:val="00341475"/>
    <w:rsid w:val="003414C3"/>
    <w:rsid w:val="00341833"/>
    <w:rsid w:val="00341F65"/>
    <w:rsid w:val="00342656"/>
    <w:rsid w:val="003427FA"/>
    <w:rsid w:val="00344C95"/>
    <w:rsid w:val="00344D0D"/>
    <w:rsid w:val="0034537A"/>
    <w:rsid w:val="0034543B"/>
    <w:rsid w:val="0034552E"/>
    <w:rsid w:val="00345DB1"/>
    <w:rsid w:val="003460B5"/>
    <w:rsid w:val="00346858"/>
    <w:rsid w:val="00347426"/>
    <w:rsid w:val="00350C14"/>
    <w:rsid w:val="00351D9B"/>
    <w:rsid w:val="003525CF"/>
    <w:rsid w:val="003535CC"/>
    <w:rsid w:val="00354849"/>
    <w:rsid w:val="003563CA"/>
    <w:rsid w:val="0036014E"/>
    <w:rsid w:val="003601FB"/>
    <w:rsid w:val="00362D9E"/>
    <w:rsid w:val="00365BF2"/>
    <w:rsid w:val="00366580"/>
    <w:rsid w:val="00366A41"/>
    <w:rsid w:val="00366EBE"/>
    <w:rsid w:val="00367138"/>
    <w:rsid w:val="00367761"/>
    <w:rsid w:val="00370369"/>
    <w:rsid w:val="0037062F"/>
    <w:rsid w:val="00372349"/>
    <w:rsid w:val="003729CE"/>
    <w:rsid w:val="00372FA5"/>
    <w:rsid w:val="003735EC"/>
    <w:rsid w:val="0037395D"/>
    <w:rsid w:val="00373C77"/>
    <w:rsid w:val="00374F17"/>
    <w:rsid w:val="00375415"/>
    <w:rsid w:val="003764C1"/>
    <w:rsid w:val="00380D5C"/>
    <w:rsid w:val="00380F6E"/>
    <w:rsid w:val="00382769"/>
    <w:rsid w:val="00383333"/>
    <w:rsid w:val="00383914"/>
    <w:rsid w:val="00383CA7"/>
    <w:rsid w:val="00385A67"/>
    <w:rsid w:val="00385AAC"/>
    <w:rsid w:val="00385B5E"/>
    <w:rsid w:val="0038615F"/>
    <w:rsid w:val="0038625A"/>
    <w:rsid w:val="00390B25"/>
    <w:rsid w:val="00390F22"/>
    <w:rsid w:val="00391E18"/>
    <w:rsid w:val="00391EEB"/>
    <w:rsid w:val="00391F1D"/>
    <w:rsid w:val="00392871"/>
    <w:rsid w:val="0039298B"/>
    <w:rsid w:val="003945AB"/>
    <w:rsid w:val="00394860"/>
    <w:rsid w:val="00394D3C"/>
    <w:rsid w:val="00396B52"/>
    <w:rsid w:val="00396E7D"/>
    <w:rsid w:val="003A15B3"/>
    <w:rsid w:val="003A1BDB"/>
    <w:rsid w:val="003A1F35"/>
    <w:rsid w:val="003A386B"/>
    <w:rsid w:val="003A3E43"/>
    <w:rsid w:val="003A46C3"/>
    <w:rsid w:val="003A5647"/>
    <w:rsid w:val="003A65BD"/>
    <w:rsid w:val="003A6FF5"/>
    <w:rsid w:val="003A7224"/>
    <w:rsid w:val="003A76EE"/>
    <w:rsid w:val="003B09A9"/>
    <w:rsid w:val="003B0CF0"/>
    <w:rsid w:val="003B0D0F"/>
    <w:rsid w:val="003B1687"/>
    <w:rsid w:val="003B1C16"/>
    <w:rsid w:val="003B34F8"/>
    <w:rsid w:val="003B359D"/>
    <w:rsid w:val="003B4AE8"/>
    <w:rsid w:val="003B4C52"/>
    <w:rsid w:val="003B538B"/>
    <w:rsid w:val="003B79BC"/>
    <w:rsid w:val="003B7D57"/>
    <w:rsid w:val="003C070B"/>
    <w:rsid w:val="003C28DF"/>
    <w:rsid w:val="003C3B1A"/>
    <w:rsid w:val="003C3CA9"/>
    <w:rsid w:val="003C423D"/>
    <w:rsid w:val="003C54AC"/>
    <w:rsid w:val="003C6292"/>
    <w:rsid w:val="003C6BDD"/>
    <w:rsid w:val="003D137B"/>
    <w:rsid w:val="003D19D0"/>
    <w:rsid w:val="003D1FA9"/>
    <w:rsid w:val="003D3B7D"/>
    <w:rsid w:val="003D4E04"/>
    <w:rsid w:val="003D5EE4"/>
    <w:rsid w:val="003D688A"/>
    <w:rsid w:val="003D6BC5"/>
    <w:rsid w:val="003D7A79"/>
    <w:rsid w:val="003D7D64"/>
    <w:rsid w:val="003E05A3"/>
    <w:rsid w:val="003E05DB"/>
    <w:rsid w:val="003E0770"/>
    <w:rsid w:val="003E07BB"/>
    <w:rsid w:val="003E16B8"/>
    <w:rsid w:val="003E1A23"/>
    <w:rsid w:val="003E3022"/>
    <w:rsid w:val="003E4133"/>
    <w:rsid w:val="003E42D1"/>
    <w:rsid w:val="003E5B6D"/>
    <w:rsid w:val="003E5DB1"/>
    <w:rsid w:val="003E652F"/>
    <w:rsid w:val="003E6EDD"/>
    <w:rsid w:val="003F072A"/>
    <w:rsid w:val="003F279F"/>
    <w:rsid w:val="003F2B98"/>
    <w:rsid w:val="003F2E33"/>
    <w:rsid w:val="003F41DA"/>
    <w:rsid w:val="003F4B06"/>
    <w:rsid w:val="003F578E"/>
    <w:rsid w:val="003F6054"/>
    <w:rsid w:val="003F7303"/>
    <w:rsid w:val="003F7A8C"/>
    <w:rsid w:val="0040044E"/>
    <w:rsid w:val="004030CE"/>
    <w:rsid w:val="004032D1"/>
    <w:rsid w:val="004032F5"/>
    <w:rsid w:val="00403548"/>
    <w:rsid w:val="00403A6B"/>
    <w:rsid w:val="00403ABB"/>
    <w:rsid w:val="004045C9"/>
    <w:rsid w:val="0040520C"/>
    <w:rsid w:val="004052D8"/>
    <w:rsid w:val="00405984"/>
    <w:rsid w:val="00405FFC"/>
    <w:rsid w:val="004074B6"/>
    <w:rsid w:val="00407B01"/>
    <w:rsid w:val="00410464"/>
    <w:rsid w:val="004113D1"/>
    <w:rsid w:val="00411E52"/>
    <w:rsid w:val="00411E95"/>
    <w:rsid w:val="004131CE"/>
    <w:rsid w:val="0041535C"/>
    <w:rsid w:val="00416052"/>
    <w:rsid w:val="00420F14"/>
    <w:rsid w:val="00421B47"/>
    <w:rsid w:val="00422438"/>
    <w:rsid w:val="0042295F"/>
    <w:rsid w:val="00424B47"/>
    <w:rsid w:val="00424EF2"/>
    <w:rsid w:val="0042659A"/>
    <w:rsid w:val="004305E1"/>
    <w:rsid w:val="004314C2"/>
    <w:rsid w:val="00431ACE"/>
    <w:rsid w:val="0043413E"/>
    <w:rsid w:val="00436455"/>
    <w:rsid w:val="00436CC0"/>
    <w:rsid w:val="00437B56"/>
    <w:rsid w:val="004407F6"/>
    <w:rsid w:val="00440F57"/>
    <w:rsid w:val="004416AE"/>
    <w:rsid w:val="00441791"/>
    <w:rsid w:val="00443460"/>
    <w:rsid w:val="0044380E"/>
    <w:rsid w:val="00443912"/>
    <w:rsid w:val="00443F59"/>
    <w:rsid w:val="004443E3"/>
    <w:rsid w:val="00444ACD"/>
    <w:rsid w:val="00444C06"/>
    <w:rsid w:val="0044614B"/>
    <w:rsid w:val="0044614E"/>
    <w:rsid w:val="00446C4D"/>
    <w:rsid w:val="004472D6"/>
    <w:rsid w:val="00450745"/>
    <w:rsid w:val="00451698"/>
    <w:rsid w:val="00452A9E"/>
    <w:rsid w:val="00452F0E"/>
    <w:rsid w:val="00454262"/>
    <w:rsid w:val="004543F6"/>
    <w:rsid w:val="00454901"/>
    <w:rsid w:val="00456116"/>
    <w:rsid w:val="00456265"/>
    <w:rsid w:val="004565C1"/>
    <w:rsid w:val="00456A31"/>
    <w:rsid w:val="00456F3E"/>
    <w:rsid w:val="00457A5C"/>
    <w:rsid w:val="004602AF"/>
    <w:rsid w:val="00462161"/>
    <w:rsid w:val="0046234D"/>
    <w:rsid w:val="00462B74"/>
    <w:rsid w:val="00463AFE"/>
    <w:rsid w:val="0046521B"/>
    <w:rsid w:val="004653E9"/>
    <w:rsid w:val="00465A8E"/>
    <w:rsid w:val="0046629E"/>
    <w:rsid w:val="00467285"/>
    <w:rsid w:val="00470D3B"/>
    <w:rsid w:val="00471818"/>
    <w:rsid w:val="00471A98"/>
    <w:rsid w:val="00471FE0"/>
    <w:rsid w:val="0047200B"/>
    <w:rsid w:val="00473AB4"/>
    <w:rsid w:val="0047438F"/>
    <w:rsid w:val="00474657"/>
    <w:rsid w:val="004749A3"/>
    <w:rsid w:val="004759D4"/>
    <w:rsid w:val="00475AF1"/>
    <w:rsid w:val="00476ABC"/>
    <w:rsid w:val="00476B76"/>
    <w:rsid w:val="00477133"/>
    <w:rsid w:val="00477EAD"/>
    <w:rsid w:val="004806E7"/>
    <w:rsid w:val="00481B3E"/>
    <w:rsid w:val="00481D12"/>
    <w:rsid w:val="00482AF4"/>
    <w:rsid w:val="004831DD"/>
    <w:rsid w:val="004839B8"/>
    <w:rsid w:val="00484145"/>
    <w:rsid w:val="0048448D"/>
    <w:rsid w:val="004854FD"/>
    <w:rsid w:val="0048557C"/>
    <w:rsid w:val="004859B6"/>
    <w:rsid w:val="00485CD6"/>
    <w:rsid w:val="00485EBF"/>
    <w:rsid w:val="00486B79"/>
    <w:rsid w:val="00487F1D"/>
    <w:rsid w:val="0049159C"/>
    <w:rsid w:val="00493F18"/>
    <w:rsid w:val="004947BA"/>
    <w:rsid w:val="0049639F"/>
    <w:rsid w:val="00496502"/>
    <w:rsid w:val="004973EA"/>
    <w:rsid w:val="004A04F9"/>
    <w:rsid w:val="004A0A07"/>
    <w:rsid w:val="004A0BA6"/>
    <w:rsid w:val="004A188E"/>
    <w:rsid w:val="004A1F4A"/>
    <w:rsid w:val="004A1F71"/>
    <w:rsid w:val="004A3225"/>
    <w:rsid w:val="004A359A"/>
    <w:rsid w:val="004A3B70"/>
    <w:rsid w:val="004A465C"/>
    <w:rsid w:val="004A4AC7"/>
    <w:rsid w:val="004A4F3A"/>
    <w:rsid w:val="004A5098"/>
    <w:rsid w:val="004A5302"/>
    <w:rsid w:val="004A56B8"/>
    <w:rsid w:val="004A5C3C"/>
    <w:rsid w:val="004B0FFD"/>
    <w:rsid w:val="004B1632"/>
    <w:rsid w:val="004B27D6"/>
    <w:rsid w:val="004B2D9C"/>
    <w:rsid w:val="004B30F1"/>
    <w:rsid w:val="004B3C24"/>
    <w:rsid w:val="004B449F"/>
    <w:rsid w:val="004B5C3B"/>
    <w:rsid w:val="004B6857"/>
    <w:rsid w:val="004C0BCF"/>
    <w:rsid w:val="004C0D21"/>
    <w:rsid w:val="004C0F18"/>
    <w:rsid w:val="004C114A"/>
    <w:rsid w:val="004C1C2C"/>
    <w:rsid w:val="004C2394"/>
    <w:rsid w:val="004C2CBF"/>
    <w:rsid w:val="004C38CC"/>
    <w:rsid w:val="004C7641"/>
    <w:rsid w:val="004C77DC"/>
    <w:rsid w:val="004C7B88"/>
    <w:rsid w:val="004D00B0"/>
    <w:rsid w:val="004D1212"/>
    <w:rsid w:val="004D1619"/>
    <w:rsid w:val="004D3160"/>
    <w:rsid w:val="004D31C6"/>
    <w:rsid w:val="004D4CD2"/>
    <w:rsid w:val="004D638E"/>
    <w:rsid w:val="004D672D"/>
    <w:rsid w:val="004D6E62"/>
    <w:rsid w:val="004E0478"/>
    <w:rsid w:val="004E11C9"/>
    <w:rsid w:val="004E165B"/>
    <w:rsid w:val="004E2238"/>
    <w:rsid w:val="004E268B"/>
    <w:rsid w:val="004E290A"/>
    <w:rsid w:val="004E2AE3"/>
    <w:rsid w:val="004E2C67"/>
    <w:rsid w:val="004E2C88"/>
    <w:rsid w:val="004E4651"/>
    <w:rsid w:val="004E4A75"/>
    <w:rsid w:val="004E4D29"/>
    <w:rsid w:val="004E5503"/>
    <w:rsid w:val="004E645D"/>
    <w:rsid w:val="004E6A58"/>
    <w:rsid w:val="004E6C69"/>
    <w:rsid w:val="004F08AA"/>
    <w:rsid w:val="004F0E57"/>
    <w:rsid w:val="004F1474"/>
    <w:rsid w:val="004F25F6"/>
    <w:rsid w:val="004F26A7"/>
    <w:rsid w:val="004F2E25"/>
    <w:rsid w:val="004F3343"/>
    <w:rsid w:val="005009C7"/>
    <w:rsid w:val="00500C0B"/>
    <w:rsid w:val="00500CDA"/>
    <w:rsid w:val="00501E95"/>
    <w:rsid w:val="005021C8"/>
    <w:rsid w:val="00502221"/>
    <w:rsid w:val="00504773"/>
    <w:rsid w:val="00504B81"/>
    <w:rsid w:val="00504D4E"/>
    <w:rsid w:val="00504E16"/>
    <w:rsid w:val="005055B2"/>
    <w:rsid w:val="005057A3"/>
    <w:rsid w:val="005057BE"/>
    <w:rsid w:val="00506BB6"/>
    <w:rsid w:val="00507266"/>
    <w:rsid w:val="00507334"/>
    <w:rsid w:val="00507BE2"/>
    <w:rsid w:val="00507C24"/>
    <w:rsid w:val="00510AC3"/>
    <w:rsid w:val="0051350F"/>
    <w:rsid w:val="00515DFD"/>
    <w:rsid w:val="005172EC"/>
    <w:rsid w:val="00517BB9"/>
    <w:rsid w:val="005214B7"/>
    <w:rsid w:val="005233D2"/>
    <w:rsid w:val="005245E3"/>
    <w:rsid w:val="00524D41"/>
    <w:rsid w:val="00525604"/>
    <w:rsid w:val="00525613"/>
    <w:rsid w:val="00526F2D"/>
    <w:rsid w:val="00526FA4"/>
    <w:rsid w:val="0052782D"/>
    <w:rsid w:val="00527B04"/>
    <w:rsid w:val="00530125"/>
    <w:rsid w:val="0053022F"/>
    <w:rsid w:val="005304B4"/>
    <w:rsid w:val="00530B3B"/>
    <w:rsid w:val="00532E98"/>
    <w:rsid w:val="00533366"/>
    <w:rsid w:val="00533641"/>
    <w:rsid w:val="005336B6"/>
    <w:rsid w:val="00533A22"/>
    <w:rsid w:val="00533EAE"/>
    <w:rsid w:val="005354BF"/>
    <w:rsid w:val="005359C5"/>
    <w:rsid w:val="00535F7E"/>
    <w:rsid w:val="0053637D"/>
    <w:rsid w:val="00536626"/>
    <w:rsid w:val="00537046"/>
    <w:rsid w:val="00537563"/>
    <w:rsid w:val="005409C9"/>
    <w:rsid w:val="00541556"/>
    <w:rsid w:val="0054224F"/>
    <w:rsid w:val="00542837"/>
    <w:rsid w:val="005439FA"/>
    <w:rsid w:val="00543D7E"/>
    <w:rsid w:val="00543EC7"/>
    <w:rsid w:val="00546239"/>
    <w:rsid w:val="0054730F"/>
    <w:rsid w:val="005473ED"/>
    <w:rsid w:val="00547806"/>
    <w:rsid w:val="00550053"/>
    <w:rsid w:val="005502AC"/>
    <w:rsid w:val="005502BD"/>
    <w:rsid w:val="0055031A"/>
    <w:rsid w:val="005514F9"/>
    <w:rsid w:val="00553A72"/>
    <w:rsid w:val="005547BE"/>
    <w:rsid w:val="00554ED4"/>
    <w:rsid w:val="00555D68"/>
    <w:rsid w:val="00556260"/>
    <w:rsid w:val="005562AE"/>
    <w:rsid w:val="00556F66"/>
    <w:rsid w:val="005570F6"/>
    <w:rsid w:val="005574DE"/>
    <w:rsid w:val="00557D2E"/>
    <w:rsid w:val="00561D07"/>
    <w:rsid w:val="005627CC"/>
    <w:rsid w:val="00562A0F"/>
    <w:rsid w:val="00563287"/>
    <w:rsid w:val="005662FC"/>
    <w:rsid w:val="005669A9"/>
    <w:rsid w:val="00566B74"/>
    <w:rsid w:val="00566D51"/>
    <w:rsid w:val="00567C98"/>
    <w:rsid w:val="005712DC"/>
    <w:rsid w:val="0057142A"/>
    <w:rsid w:val="0057153D"/>
    <w:rsid w:val="00571584"/>
    <w:rsid w:val="00571603"/>
    <w:rsid w:val="005729E7"/>
    <w:rsid w:val="005739B2"/>
    <w:rsid w:val="005755D8"/>
    <w:rsid w:val="005763C0"/>
    <w:rsid w:val="0057648A"/>
    <w:rsid w:val="00576630"/>
    <w:rsid w:val="005769A5"/>
    <w:rsid w:val="00577D55"/>
    <w:rsid w:val="00580365"/>
    <w:rsid w:val="005805DA"/>
    <w:rsid w:val="00580609"/>
    <w:rsid w:val="005808C9"/>
    <w:rsid w:val="00581DE7"/>
    <w:rsid w:val="00584344"/>
    <w:rsid w:val="00585966"/>
    <w:rsid w:val="00585F42"/>
    <w:rsid w:val="00591B6E"/>
    <w:rsid w:val="00591B7E"/>
    <w:rsid w:val="005939C1"/>
    <w:rsid w:val="00596166"/>
    <w:rsid w:val="00596D24"/>
    <w:rsid w:val="0059758C"/>
    <w:rsid w:val="00597949"/>
    <w:rsid w:val="00597A32"/>
    <w:rsid w:val="005A05E9"/>
    <w:rsid w:val="005A1817"/>
    <w:rsid w:val="005A19F5"/>
    <w:rsid w:val="005A36C6"/>
    <w:rsid w:val="005A4D86"/>
    <w:rsid w:val="005A547F"/>
    <w:rsid w:val="005A6F0C"/>
    <w:rsid w:val="005A749C"/>
    <w:rsid w:val="005B131F"/>
    <w:rsid w:val="005B146F"/>
    <w:rsid w:val="005B1583"/>
    <w:rsid w:val="005B1B22"/>
    <w:rsid w:val="005B372F"/>
    <w:rsid w:val="005B63C4"/>
    <w:rsid w:val="005B6DE3"/>
    <w:rsid w:val="005B74C3"/>
    <w:rsid w:val="005B77C1"/>
    <w:rsid w:val="005B7E3C"/>
    <w:rsid w:val="005C025B"/>
    <w:rsid w:val="005C0B1E"/>
    <w:rsid w:val="005C0E60"/>
    <w:rsid w:val="005C1A01"/>
    <w:rsid w:val="005C3E17"/>
    <w:rsid w:val="005C45DE"/>
    <w:rsid w:val="005C5686"/>
    <w:rsid w:val="005C56DB"/>
    <w:rsid w:val="005C5E9C"/>
    <w:rsid w:val="005D132F"/>
    <w:rsid w:val="005D1338"/>
    <w:rsid w:val="005D15E1"/>
    <w:rsid w:val="005D2554"/>
    <w:rsid w:val="005D3709"/>
    <w:rsid w:val="005D3D7E"/>
    <w:rsid w:val="005D430D"/>
    <w:rsid w:val="005D4673"/>
    <w:rsid w:val="005D4D7A"/>
    <w:rsid w:val="005D574F"/>
    <w:rsid w:val="005D5C67"/>
    <w:rsid w:val="005D5F5B"/>
    <w:rsid w:val="005D6D9B"/>
    <w:rsid w:val="005D756A"/>
    <w:rsid w:val="005D7FA9"/>
    <w:rsid w:val="005E0066"/>
    <w:rsid w:val="005E1A8C"/>
    <w:rsid w:val="005E3809"/>
    <w:rsid w:val="005E3D16"/>
    <w:rsid w:val="005E5944"/>
    <w:rsid w:val="005E5A8D"/>
    <w:rsid w:val="005E5B9C"/>
    <w:rsid w:val="005E6046"/>
    <w:rsid w:val="005F183D"/>
    <w:rsid w:val="005F1C2A"/>
    <w:rsid w:val="005F2B50"/>
    <w:rsid w:val="005F3585"/>
    <w:rsid w:val="005F5D72"/>
    <w:rsid w:val="005F6D70"/>
    <w:rsid w:val="005F7A65"/>
    <w:rsid w:val="0060009C"/>
    <w:rsid w:val="0060113B"/>
    <w:rsid w:val="00601CF1"/>
    <w:rsid w:val="00601EF0"/>
    <w:rsid w:val="006024CB"/>
    <w:rsid w:val="00602594"/>
    <w:rsid w:val="0060275E"/>
    <w:rsid w:val="006027F9"/>
    <w:rsid w:val="00602F34"/>
    <w:rsid w:val="006036D3"/>
    <w:rsid w:val="006038FF"/>
    <w:rsid w:val="00603C72"/>
    <w:rsid w:val="00604A94"/>
    <w:rsid w:val="0060584C"/>
    <w:rsid w:val="006062EE"/>
    <w:rsid w:val="0060638D"/>
    <w:rsid w:val="0060672E"/>
    <w:rsid w:val="006068F1"/>
    <w:rsid w:val="0060724A"/>
    <w:rsid w:val="006074A0"/>
    <w:rsid w:val="00610D78"/>
    <w:rsid w:val="006111D2"/>
    <w:rsid w:val="00611CC4"/>
    <w:rsid w:val="00611FE5"/>
    <w:rsid w:val="006120A6"/>
    <w:rsid w:val="00613724"/>
    <w:rsid w:val="00614469"/>
    <w:rsid w:val="0061502F"/>
    <w:rsid w:val="00615F1D"/>
    <w:rsid w:val="0062134F"/>
    <w:rsid w:val="00622020"/>
    <w:rsid w:val="00622181"/>
    <w:rsid w:val="00622F38"/>
    <w:rsid w:val="00623E16"/>
    <w:rsid w:val="0062669A"/>
    <w:rsid w:val="00626934"/>
    <w:rsid w:val="006270FC"/>
    <w:rsid w:val="00627C76"/>
    <w:rsid w:val="00627FFE"/>
    <w:rsid w:val="00630A0B"/>
    <w:rsid w:val="00632972"/>
    <w:rsid w:val="00632F0F"/>
    <w:rsid w:val="006341BC"/>
    <w:rsid w:val="006345CD"/>
    <w:rsid w:val="0063594B"/>
    <w:rsid w:val="00636168"/>
    <w:rsid w:val="00636D25"/>
    <w:rsid w:val="00636D7A"/>
    <w:rsid w:val="00637412"/>
    <w:rsid w:val="00640111"/>
    <w:rsid w:val="00640925"/>
    <w:rsid w:val="00641A1B"/>
    <w:rsid w:val="00642012"/>
    <w:rsid w:val="006422DF"/>
    <w:rsid w:val="0064266F"/>
    <w:rsid w:val="0064351A"/>
    <w:rsid w:val="00644118"/>
    <w:rsid w:val="00644534"/>
    <w:rsid w:val="00646040"/>
    <w:rsid w:val="00646509"/>
    <w:rsid w:val="00646D55"/>
    <w:rsid w:val="00650147"/>
    <w:rsid w:val="00650BCD"/>
    <w:rsid w:val="00650F3E"/>
    <w:rsid w:val="00651670"/>
    <w:rsid w:val="00651B62"/>
    <w:rsid w:val="00651E7E"/>
    <w:rsid w:val="00654624"/>
    <w:rsid w:val="00654E14"/>
    <w:rsid w:val="00655B9E"/>
    <w:rsid w:val="00656140"/>
    <w:rsid w:val="00657099"/>
    <w:rsid w:val="0065786B"/>
    <w:rsid w:val="00657E47"/>
    <w:rsid w:val="00660F49"/>
    <w:rsid w:val="0066268A"/>
    <w:rsid w:val="00663C87"/>
    <w:rsid w:val="006656F6"/>
    <w:rsid w:val="006656F8"/>
    <w:rsid w:val="00665D6E"/>
    <w:rsid w:val="0066610D"/>
    <w:rsid w:val="006679A3"/>
    <w:rsid w:val="00667D4C"/>
    <w:rsid w:val="00670103"/>
    <w:rsid w:val="006701BB"/>
    <w:rsid w:val="006733D7"/>
    <w:rsid w:val="006738B5"/>
    <w:rsid w:val="0067533D"/>
    <w:rsid w:val="00675C13"/>
    <w:rsid w:val="00676205"/>
    <w:rsid w:val="006767A0"/>
    <w:rsid w:val="00676A47"/>
    <w:rsid w:val="00680BA2"/>
    <w:rsid w:val="006824BD"/>
    <w:rsid w:val="0068286D"/>
    <w:rsid w:val="00682C09"/>
    <w:rsid w:val="00683CAB"/>
    <w:rsid w:val="00685B49"/>
    <w:rsid w:val="00687CA7"/>
    <w:rsid w:val="0069008E"/>
    <w:rsid w:val="00691569"/>
    <w:rsid w:val="00692515"/>
    <w:rsid w:val="0069259D"/>
    <w:rsid w:val="00692D65"/>
    <w:rsid w:val="00692DAF"/>
    <w:rsid w:val="00693168"/>
    <w:rsid w:val="00693C7D"/>
    <w:rsid w:val="00695ACE"/>
    <w:rsid w:val="00696A05"/>
    <w:rsid w:val="00697161"/>
    <w:rsid w:val="006979F2"/>
    <w:rsid w:val="00697CBF"/>
    <w:rsid w:val="006A0658"/>
    <w:rsid w:val="006A0BAA"/>
    <w:rsid w:val="006A2B62"/>
    <w:rsid w:val="006A3A29"/>
    <w:rsid w:val="006A3B21"/>
    <w:rsid w:val="006A3D79"/>
    <w:rsid w:val="006A5744"/>
    <w:rsid w:val="006A7AB8"/>
    <w:rsid w:val="006B03FF"/>
    <w:rsid w:val="006B1318"/>
    <w:rsid w:val="006B2263"/>
    <w:rsid w:val="006B230C"/>
    <w:rsid w:val="006B265A"/>
    <w:rsid w:val="006B3C97"/>
    <w:rsid w:val="006B42A4"/>
    <w:rsid w:val="006B6364"/>
    <w:rsid w:val="006B6489"/>
    <w:rsid w:val="006B7713"/>
    <w:rsid w:val="006C0001"/>
    <w:rsid w:val="006C0585"/>
    <w:rsid w:val="006C202F"/>
    <w:rsid w:val="006C2124"/>
    <w:rsid w:val="006C3941"/>
    <w:rsid w:val="006C3DE5"/>
    <w:rsid w:val="006C5242"/>
    <w:rsid w:val="006C62BD"/>
    <w:rsid w:val="006C6BE1"/>
    <w:rsid w:val="006D2023"/>
    <w:rsid w:val="006D2AD2"/>
    <w:rsid w:val="006D3AE5"/>
    <w:rsid w:val="006D43E7"/>
    <w:rsid w:val="006D4820"/>
    <w:rsid w:val="006D539C"/>
    <w:rsid w:val="006D5A4A"/>
    <w:rsid w:val="006D5BCC"/>
    <w:rsid w:val="006D5C0C"/>
    <w:rsid w:val="006D6892"/>
    <w:rsid w:val="006D6AC2"/>
    <w:rsid w:val="006D6B07"/>
    <w:rsid w:val="006D7D6A"/>
    <w:rsid w:val="006E0EC5"/>
    <w:rsid w:val="006E223A"/>
    <w:rsid w:val="006E354B"/>
    <w:rsid w:val="006E5021"/>
    <w:rsid w:val="006E5096"/>
    <w:rsid w:val="006E5568"/>
    <w:rsid w:val="006E55AB"/>
    <w:rsid w:val="006E6669"/>
    <w:rsid w:val="006E7308"/>
    <w:rsid w:val="006E7A63"/>
    <w:rsid w:val="006F18D0"/>
    <w:rsid w:val="006F1CF6"/>
    <w:rsid w:val="006F1D97"/>
    <w:rsid w:val="006F2EA1"/>
    <w:rsid w:val="006F2FC9"/>
    <w:rsid w:val="006F4E4D"/>
    <w:rsid w:val="006F51B1"/>
    <w:rsid w:val="006F69D6"/>
    <w:rsid w:val="006F703B"/>
    <w:rsid w:val="007016DC"/>
    <w:rsid w:val="00702DC8"/>
    <w:rsid w:val="00704F4E"/>
    <w:rsid w:val="00706B8C"/>
    <w:rsid w:val="00710477"/>
    <w:rsid w:val="00711381"/>
    <w:rsid w:val="007116EB"/>
    <w:rsid w:val="00713B2E"/>
    <w:rsid w:val="007146E4"/>
    <w:rsid w:val="0071706D"/>
    <w:rsid w:val="00717402"/>
    <w:rsid w:val="0071777D"/>
    <w:rsid w:val="00717D9C"/>
    <w:rsid w:val="00721C84"/>
    <w:rsid w:val="00722192"/>
    <w:rsid w:val="007223E9"/>
    <w:rsid w:val="007245D2"/>
    <w:rsid w:val="00725219"/>
    <w:rsid w:val="007254C8"/>
    <w:rsid w:val="00725529"/>
    <w:rsid w:val="00726BD4"/>
    <w:rsid w:val="007275AF"/>
    <w:rsid w:val="00727B26"/>
    <w:rsid w:val="00730057"/>
    <w:rsid w:val="007302E5"/>
    <w:rsid w:val="00730C65"/>
    <w:rsid w:val="00730F69"/>
    <w:rsid w:val="0073176C"/>
    <w:rsid w:val="0073233F"/>
    <w:rsid w:val="00732F8C"/>
    <w:rsid w:val="007337E5"/>
    <w:rsid w:val="00733CC8"/>
    <w:rsid w:val="00734D5E"/>
    <w:rsid w:val="00736E11"/>
    <w:rsid w:val="00737707"/>
    <w:rsid w:val="0074016E"/>
    <w:rsid w:val="007414AC"/>
    <w:rsid w:val="00741AEA"/>
    <w:rsid w:val="00742261"/>
    <w:rsid w:val="007424A8"/>
    <w:rsid w:val="00742B30"/>
    <w:rsid w:val="007465FC"/>
    <w:rsid w:val="007506EC"/>
    <w:rsid w:val="007511CE"/>
    <w:rsid w:val="007514D3"/>
    <w:rsid w:val="0075189F"/>
    <w:rsid w:val="007518EC"/>
    <w:rsid w:val="00751C93"/>
    <w:rsid w:val="00751E2F"/>
    <w:rsid w:val="0075235D"/>
    <w:rsid w:val="00752D66"/>
    <w:rsid w:val="00753481"/>
    <w:rsid w:val="00753B22"/>
    <w:rsid w:val="00753F1F"/>
    <w:rsid w:val="007541ED"/>
    <w:rsid w:val="007561D9"/>
    <w:rsid w:val="007563E0"/>
    <w:rsid w:val="007565BF"/>
    <w:rsid w:val="00761405"/>
    <w:rsid w:val="00761A11"/>
    <w:rsid w:val="00761B19"/>
    <w:rsid w:val="0076403F"/>
    <w:rsid w:val="00765152"/>
    <w:rsid w:val="00766D09"/>
    <w:rsid w:val="007707F9"/>
    <w:rsid w:val="007710B0"/>
    <w:rsid w:val="00771194"/>
    <w:rsid w:val="007712D6"/>
    <w:rsid w:val="00771D80"/>
    <w:rsid w:val="0077260B"/>
    <w:rsid w:val="00773209"/>
    <w:rsid w:val="007734B1"/>
    <w:rsid w:val="00773FFB"/>
    <w:rsid w:val="00774161"/>
    <w:rsid w:val="007758D4"/>
    <w:rsid w:val="0077691E"/>
    <w:rsid w:val="0078008B"/>
    <w:rsid w:val="00780D7B"/>
    <w:rsid w:val="00780DBF"/>
    <w:rsid w:val="0078100F"/>
    <w:rsid w:val="00781AA2"/>
    <w:rsid w:val="007826CD"/>
    <w:rsid w:val="0078489F"/>
    <w:rsid w:val="007850C3"/>
    <w:rsid w:val="00785CFA"/>
    <w:rsid w:val="00785EA0"/>
    <w:rsid w:val="00786538"/>
    <w:rsid w:val="007870EA"/>
    <w:rsid w:val="00790DFD"/>
    <w:rsid w:val="00790FD1"/>
    <w:rsid w:val="007916F2"/>
    <w:rsid w:val="00791D3E"/>
    <w:rsid w:val="00791D97"/>
    <w:rsid w:val="007929A0"/>
    <w:rsid w:val="00792DFF"/>
    <w:rsid w:val="00792EC8"/>
    <w:rsid w:val="007938FE"/>
    <w:rsid w:val="0079724E"/>
    <w:rsid w:val="007973F1"/>
    <w:rsid w:val="007975E7"/>
    <w:rsid w:val="007979E9"/>
    <w:rsid w:val="00797BA7"/>
    <w:rsid w:val="007A0DDC"/>
    <w:rsid w:val="007A1A24"/>
    <w:rsid w:val="007A1A4C"/>
    <w:rsid w:val="007A6EBA"/>
    <w:rsid w:val="007A7577"/>
    <w:rsid w:val="007B234F"/>
    <w:rsid w:val="007B41C6"/>
    <w:rsid w:val="007B429A"/>
    <w:rsid w:val="007B4799"/>
    <w:rsid w:val="007B70F2"/>
    <w:rsid w:val="007C0471"/>
    <w:rsid w:val="007C22F9"/>
    <w:rsid w:val="007C230E"/>
    <w:rsid w:val="007C293D"/>
    <w:rsid w:val="007C40BE"/>
    <w:rsid w:val="007C4456"/>
    <w:rsid w:val="007C5CFA"/>
    <w:rsid w:val="007C62B5"/>
    <w:rsid w:val="007C739B"/>
    <w:rsid w:val="007C7402"/>
    <w:rsid w:val="007D01AC"/>
    <w:rsid w:val="007D0ED2"/>
    <w:rsid w:val="007D1202"/>
    <w:rsid w:val="007D1541"/>
    <w:rsid w:val="007D18FD"/>
    <w:rsid w:val="007D1CCF"/>
    <w:rsid w:val="007D2D99"/>
    <w:rsid w:val="007D3AF3"/>
    <w:rsid w:val="007D4E06"/>
    <w:rsid w:val="007D4E1B"/>
    <w:rsid w:val="007D4F9E"/>
    <w:rsid w:val="007D5188"/>
    <w:rsid w:val="007D57C0"/>
    <w:rsid w:val="007D5987"/>
    <w:rsid w:val="007D61D4"/>
    <w:rsid w:val="007D7280"/>
    <w:rsid w:val="007E0880"/>
    <w:rsid w:val="007E24B6"/>
    <w:rsid w:val="007E3A6B"/>
    <w:rsid w:val="007E43C1"/>
    <w:rsid w:val="007E4FE2"/>
    <w:rsid w:val="007E569F"/>
    <w:rsid w:val="007E6113"/>
    <w:rsid w:val="007E6453"/>
    <w:rsid w:val="007E6A05"/>
    <w:rsid w:val="007E70FF"/>
    <w:rsid w:val="007F0819"/>
    <w:rsid w:val="007F143C"/>
    <w:rsid w:val="007F1B6E"/>
    <w:rsid w:val="007F1DB7"/>
    <w:rsid w:val="007F2B0B"/>
    <w:rsid w:val="007F2D03"/>
    <w:rsid w:val="007F386F"/>
    <w:rsid w:val="007F441A"/>
    <w:rsid w:val="007F4B75"/>
    <w:rsid w:val="007F4E87"/>
    <w:rsid w:val="007F547D"/>
    <w:rsid w:val="007F5B99"/>
    <w:rsid w:val="007F6685"/>
    <w:rsid w:val="0080002D"/>
    <w:rsid w:val="00802BCA"/>
    <w:rsid w:val="00803A50"/>
    <w:rsid w:val="00807891"/>
    <w:rsid w:val="00807A69"/>
    <w:rsid w:val="00807CDB"/>
    <w:rsid w:val="008100DC"/>
    <w:rsid w:val="008104EA"/>
    <w:rsid w:val="008122AF"/>
    <w:rsid w:val="008129E2"/>
    <w:rsid w:val="00815C20"/>
    <w:rsid w:val="00815D3A"/>
    <w:rsid w:val="00815D83"/>
    <w:rsid w:val="00816A2C"/>
    <w:rsid w:val="008207D9"/>
    <w:rsid w:val="00820897"/>
    <w:rsid w:val="00820C70"/>
    <w:rsid w:val="00821FF1"/>
    <w:rsid w:val="0082377F"/>
    <w:rsid w:val="00823C47"/>
    <w:rsid w:val="00823D63"/>
    <w:rsid w:val="0082514B"/>
    <w:rsid w:val="008259AD"/>
    <w:rsid w:val="00825FAB"/>
    <w:rsid w:val="008264E7"/>
    <w:rsid w:val="00827324"/>
    <w:rsid w:val="0082743F"/>
    <w:rsid w:val="00827B3C"/>
    <w:rsid w:val="00827E3A"/>
    <w:rsid w:val="00830289"/>
    <w:rsid w:val="008303DA"/>
    <w:rsid w:val="0083083F"/>
    <w:rsid w:val="00830944"/>
    <w:rsid w:val="008316D6"/>
    <w:rsid w:val="00831F28"/>
    <w:rsid w:val="00832027"/>
    <w:rsid w:val="00832877"/>
    <w:rsid w:val="00834225"/>
    <w:rsid w:val="008351BF"/>
    <w:rsid w:val="008357C4"/>
    <w:rsid w:val="00836762"/>
    <w:rsid w:val="00837A8A"/>
    <w:rsid w:val="00837BC8"/>
    <w:rsid w:val="008402AD"/>
    <w:rsid w:val="008404D5"/>
    <w:rsid w:val="00841AB3"/>
    <w:rsid w:val="00842F05"/>
    <w:rsid w:val="00843582"/>
    <w:rsid w:val="008439B1"/>
    <w:rsid w:val="00843ACB"/>
    <w:rsid w:val="008448D3"/>
    <w:rsid w:val="00845484"/>
    <w:rsid w:val="00846E53"/>
    <w:rsid w:val="008504D5"/>
    <w:rsid w:val="00850E95"/>
    <w:rsid w:val="00851751"/>
    <w:rsid w:val="008520D2"/>
    <w:rsid w:val="0085275B"/>
    <w:rsid w:val="00852A20"/>
    <w:rsid w:val="008537A9"/>
    <w:rsid w:val="00853B80"/>
    <w:rsid w:val="00854373"/>
    <w:rsid w:val="00854D35"/>
    <w:rsid w:val="00855141"/>
    <w:rsid w:val="00856BC5"/>
    <w:rsid w:val="008577FC"/>
    <w:rsid w:val="0086018F"/>
    <w:rsid w:val="00860583"/>
    <w:rsid w:val="00860A05"/>
    <w:rsid w:val="00860B53"/>
    <w:rsid w:val="00861017"/>
    <w:rsid w:val="00861319"/>
    <w:rsid w:val="008632BD"/>
    <w:rsid w:val="00865042"/>
    <w:rsid w:val="0086579A"/>
    <w:rsid w:val="0086701A"/>
    <w:rsid w:val="008677B4"/>
    <w:rsid w:val="00867BFC"/>
    <w:rsid w:val="0087076D"/>
    <w:rsid w:val="00870DBB"/>
    <w:rsid w:val="00871392"/>
    <w:rsid w:val="00872DA5"/>
    <w:rsid w:val="008733AD"/>
    <w:rsid w:val="00874688"/>
    <w:rsid w:val="008748C3"/>
    <w:rsid w:val="00874AC9"/>
    <w:rsid w:val="00874D27"/>
    <w:rsid w:val="00875895"/>
    <w:rsid w:val="00875AB1"/>
    <w:rsid w:val="00875D1B"/>
    <w:rsid w:val="008770EE"/>
    <w:rsid w:val="00877846"/>
    <w:rsid w:val="00880DDB"/>
    <w:rsid w:val="0088159B"/>
    <w:rsid w:val="00881938"/>
    <w:rsid w:val="008819E0"/>
    <w:rsid w:val="008833E2"/>
    <w:rsid w:val="0088344A"/>
    <w:rsid w:val="0088641C"/>
    <w:rsid w:val="00891B24"/>
    <w:rsid w:val="008925C9"/>
    <w:rsid w:val="00892C38"/>
    <w:rsid w:val="008930CD"/>
    <w:rsid w:val="008935E5"/>
    <w:rsid w:val="00893D09"/>
    <w:rsid w:val="00893DA4"/>
    <w:rsid w:val="008949FA"/>
    <w:rsid w:val="00895BBC"/>
    <w:rsid w:val="00895F06"/>
    <w:rsid w:val="008969E6"/>
    <w:rsid w:val="0089795E"/>
    <w:rsid w:val="008979FC"/>
    <w:rsid w:val="008A07DB"/>
    <w:rsid w:val="008A1A05"/>
    <w:rsid w:val="008A244C"/>
    <w:rsid w:val="008A249C"/>
    <w:rsid w:val="008A2DBC"/>
    <w:rsid w:val="008A2FC6"/>
    <w:rsid w:val="008A330C"/>
    <w:rsid w:val="008A64ED"/>
    <w:rsid w:val="008A76FD"/>
    <w:rsid w:val="008B024B"/>
    <w:rsid w:val="008B0426"/>
    <w:rsid w:val="008B07EF"/>
    <w:rsid w:val="008B15F5"/>
    <w:rsid w:val="008B2796"/>
    <w:rsid w:val="008B5352"/>
    <w:rsid w:val="008B5E56"/>
    <w:rsid w:val="008B62C0"/>
    <w:rsid w:val="008B69B0"/>
    <w:rsid w:val="008B6C43"/>
    <w:rsid w:val="008C058A"/>
    <w:rsid w:val="008C066E"/>
    <w:rsid w:val="008C1ACE"/>
    <w:rsid w:val="008C2A1A"/>
    <w:rsid w:val="008C310F"/>
    <w:rsid w:val="008C371B"/>
    <w:rsid w:val="008C3AC3"/>
    <w:rsid w:val="008C42DB"/>
    <w:rsid w:val="008C4939"/>
    <w:rsid w:val="008C5507"/>
    <w:rsid w:val="008C61FE"/>
    <w:rsid w:val="008C63A1"/>
    <w:rsid w:val="008C7117"/>
    <w:rsid w:val="008C73AE"/>
    <w:rsid w:val="008C7EBC"/>
    <w:rsid w:val="008C7FEF"/>
    <w:rsid w:val="008D1F04"/>
    <w:rsid w:val="008D27BC"/>
    <w:rsid w:val="008D3247"/>
    <w:rsid w:val="008D329D"/>
    <w:rsid w:val="008D3C8E"/>
    <w:rsid w:val="008D3CAF"/>
    <w:rsid w:val="008D488F"/>
    <w:rsid w:val="008D7739"/>
    <w:rsid w:val="008D78B7"/>
    <w:rsid w:val="008D7FB5"/>
    <w:rsid w:val="008E0183"/>
    <w:rsid w:val="008E03D0"/>
    <w:rsid w:val="008E06DF"/>
    <w:rsid w:val="008E119D"/>
    <w:rsid w:val="008E45F3"/>
    <w:rsid w:val="008E5F3B"/>
    <w:rsid w:val="008E746E"/>
    <w:rsid w:val="008E78CD"/>
    <w:rsid w:val="008E7A02"/>
    <w:rsid w:val="008F1162"/>
    <w:rsid w:val="008F1285"/>
    <w:rsid w:val="008F17A5"/>
    <w:rsid w:val="008F1FE2"/>
    <w:rsid w:val="008F22B8"/>
    <w:rsid w:val="008F4ABA"/>
    <w:rsid w:val="008F4CB4"/>
    <w:rsid w:val="008F5FBC"/>
    <w:rsid w:val="008F6F78"/>
    <w:rsid w:val="008F701F"/>
    <w:rsid w:val="008F76B3"/>
    <w:rsid w:val="00902411"/>
    <w:rsid w:val="00902EA3"/>
    <w:rsid w:val="00904B68"/>
    <w:rsid w:val="0090596D"/>
    <w:rsid w:val="00905B6F"/>
    <w:rsid w:val="00906551"/>
    <w:rsid w:val="00910D7A"/>
    <w:rsid w:val="00910DED"/>
    <w:rsid w:val="0091367D"/>
    <w:rsid w:val="009139F8"/>
    <w:rsid w:val="00914DA8"/>
    <w:rsid w:val="009158C7"/>
    <w:rsid w:val="00915BEF"/>
    <w:rsid w:val="00915CC2"/>
    <w:rsid w:val="009171AB"/>
    <w:rsid w:val="009207D4"/>
    <w:rsid w:val="00920DC4"/>
    <w:rsid w:val="009223A4"/>
    <w:rsid w:val="00922A92"/>
    <w:rsid w:val="00923A38"/>
    <w:rsid w:val="00923C38"/>
    <w:rsid w:val="00926A86"/>
    <w:rsid w:val="009276E4"/>
    <w:rsid w:val="009309A9"/>
    <w:rsid w:val="0093185E"/>
    <w:rsid w:val="009327F0"/>
    <w:rsid w:val="00932964"/>
    <w:rsid w:val="00934374"/>
    <w:rsid w:val="00934E22"/>
    <w:rsid w:val="00934E99"/>
    <w:rsid w:val="00935EAB"/>
    <w:rsid w:val="0093739A"/>
    <w:rsid w:val="00941F04"/>
    <w:rsid w:val="00942331"/>
    <w:rsid w:val="0094261D"/>
    <w:rsid w:val="0094287F"/>
    <w:rsid w:val="00942B92"/>
    <w:rsid w:val="00943723"/>
    <w:rsid w:val="0094438A"/>
    <w:rsid w:val="00944641"/>
    <w:rsid w:val="009469FB"/>
    <w:rsid w:val="00946A68"/>
    <w:rsid w:val="00947093"/>
    <w:rsid w:val="00947620"/>
    <w:rsid w:val="00947ADF"/>
    <w:rsid w:val="00950202"/>
    <w:rsid w:val="00951FFF"/>
    <w:rsid w:val="00952C36"/>
    <w:rsid w:val="00953406"/>
    <w:rsid w:val="00953448"/>
    <w:rsid w:val="009542DE"/>
    <w:rsid w:val="0095444A"/>
    <w:rsid w:val="0095461F"/>
    <w:rsid w:val="00954796"/>
    <w:rsid w:val="0095548F"/>
    <w:rsid w:val="009559E9"/>
    <w:rsid w:val="00956245"/>
    <w:rsid w:val="0095626C"/>
    <w:rsid w:val="009562AF"/>
    <w:rsid w:val="00956D51"/>
    <w:rsid w:val="00956F40"/>
    <w:rsid w:val="0096047B"/>
    <w:rsid w:val="00960D7E"/>
    <w:rsid w:val="0096117E"/>
    <w:rsid w:val="0096152E"/>
    <w:rsid w:val="009616D4"/>
    <w:rsid w:val="009619A3"/>
    <w:rsid w:val="00962C33"/>
    <w:rsid w:val="00962E4C"/>
    <w:rsid w:val="00963190"/>
    <w:rsid w:val="00964607"/>
    <w:rsid w:val="00967771"/>
    <w:rsid w:val="0096796A"/>
    <w:rsid w:val="00967F30"/>
    <w:rsid w:val="009714A8"/>
    <w:rsid w:val="00973702"/>
    <w:rsid w:val="009751AD"/>
    <w:rsid w:val="0097553C"/>
    <w:rsid w:val="00975EB3"/>
    <w:rsid w:val="009763EF"/>
    <w:rsid w:val="009775DD"/>
    <w:rsid w:val="00980101"/>
    <w:rsid w:val="00980FE5"/>
    <w:rsid w:val="009812A0"/>
    <w:rsid w:val="00982009"/>
    <w:rsid w:val="009820BB"/>
    <w:rsid w:val="00982374"/>
    <w:rsid w:val="00982B6F"/>
    <w:rsid w:val="009844ED"/>
    <w:rsid w:val="00986543"/>
    <w:rsid w:val="00986C23"/>
    <w:rsid w:val="009871B4"/>
    <w:rsid w:val="00991F46"/>
    <w:rsid w:val="0099267D"/>
    <w:rsid w:val="00993856"/>
    <w:rsid w:val="00994C14"/>
    <w:rsid w:val="009967E6"/>
    <w:rsid w:val="0099715C"/>
    <w:rsid w:val="009A088F"/>
    <w:rsid w:val="009A1310"/>
    <w:rsid w:val="009A1964"/>
    <w:rsid w:val="009A23FC"/>
    <w:rsid w:val="009A255A"/>
    <w:rsid w:val="009A2D8A"/>
    <w:rsid w:val="009A2FF7"/>
    <w:rsid w:val="009A549A"/>
    <w:rsid w:val="009A56A7"/>
    <w:rsid w:val="009A774E"/>
    <w:rsid w:val="009B07DC"/>
    <w:rsid w:val="009B4764"/>
    <w:rsid w:val="009B5A21"/>
    <w:rsid w:val="009B6BDC"/>
    <w:rsid w:val="009C09B1"/>
    <w:rsid w:val="009C1F22"/>
    <w:rsid w:val="009C2173"/>
    <w:rsid w:val="009C2D31"/>
    <w:rsid w:val="009C3A06"/>
    <w:rsid w:val="009C3E30"/>
    <w:rsid w:val="009C4C7F"/>
    <w:rsid w:val="009C53FC"/>
    <w:rsid w:val="009C5D13"/>
    <w:rsid w:val="009C617F"/>
    <w:rsid w:val="009C6195"/>
    <w:rsid w:val="009D0009"/>
    <w:rsid w:val="009D17D8"/>
    <w:rsid w:val="009D1914"/>
    <w:rsid w:val="009D22CF"/>
    <w:rsid w:val="009D296F"/>
    <w:rsid w:val="009D2A78"/>
    <w:rsid w:val="009D2D3C"/>
    <w:rsid w:val="009D3FCE"/>
    <w:rsid w:val="009D5159"/>
    <w:rsid w:val="009D5999"/>
    <w:rsid w:val="009D5E3A"/>
    <w:rsid w:val="009E0193"/>
    <w:rsid w:val="009E2E0C"/>
    <w:rsid w:val="009E48CE"/>
    <w:rsid w:val="009F0287"/>
    <w:rsid w:val="009F0EBE"/>
    <w:rsid w:val="009F1644"/>
    <w:rsid w:val="009F19A5"/>
    <w:rsid w:val="009F2044"/>
    <w:rsid w:val="009F285D"/>
    <w:rsid w:val="009F2EBB"/>
    <w:rsid w:val="009F4C37"/>
    <w:rsid w:val="009F4FBD"/>
    <w:rsid w:val="009F5462"/>
    <w:rsid w:val="009F5633"/>
    <w:rsid w:val="009F6098"/>
    <w:rsid w:val="009F697E"/>
    <w:rsid w:val="00A010F6"/>
    <w:rsid w:val="00A02DA6"/>
    <w:rsid w:val="00A03BF3"/>
    <w:rsid w:val="00A040AA"/>
    <w:rsid w:val="00A0462E"/>
    <w:rsid w:val="00A0549F"/>
    <w:rsid w:val="00A05A7D"/>
    <w:rsid w:val="00A062CE"/>
    <w:rsid w:val="00A06C1E"/>
    <w:rsid w:val="00A073F1"/>
    <w:rsid w:val="00A1025C"/>
    <w:rsid w:val="00A11FAC"/>
    <w:rsid w:val="00A12376"/>
    <w:rsid w:val="00A123D5"/>
    <w:rsid w:val="00A12825"/>
    <w:rsid w:val="00A12FD4"/>
    <w:rsid w:val="00A13C25"/>
    <w:rsid w:val="00A1403D"/>
    <w:rsid w:val="00A15739"/>
    <w:rsid w:val="00A15D55"/>
    <w:rsid w:val="00A165C9"/>
    <w:rsid w:val="00A16677"/>
    <w:rsid w:val="00A17EC6"/>
    <w:rsid w:val="00A200B5"/>
    <w:rsid w:val="00A20A02"/>
    <w:rsid w:val="00A210EF"/>
    <w:rsid w:val="00A2130A"/>
    <w:rsid w:val="00A217CC"/>
    <w:rsid w:val="00A223CF"/>
    <w:rsid w:val="00A231E5"/>
    <w:rsid w:val="00A25A4C"/>
    <w:rsid w:val="00A25E42"/>
    <w:rsid w:val="00A26975"/>
    <w:rsid w:val="00A26AB4"/>
    <w:rsid w:val="00A27202"/>
    <w:rsid w:val="00A302C1"/>
    <w:rsid w:val="00A313DD"/>
    <w:rsid w:val="00A32DBB"/>
    <w:rsid w:val="00A32FF8"/>
    <w:rsid w:val="00A34E3D"/>
    <w:rsid w:val="00A361B8"/>
    <w:rsid w:val="00A41B6C"/>
    <w:rsid w:val="00A41F81"/>
    <w:rsid w:val="00A4273F"/>
    <w:rsid w:val="00A42CA3"/>
    <w:rsid w:val="00A43394"/>
    <w:rsid w:val="00A44D25"/>
    <w:rsid w:val="00A463FC"/>
    <w:rsid w:val="00A46E9E"/>
    <w:rsid w:val="00A52237"/>
    <w:rsid w:val="00A525A9"/>
    <w:rsid w:val="00A5264E"/>
    <w:rsid w:val="00A537F5"/>
    <w:rsid w:val="00A539A2"/>
    <w:rsid w:val="00A54994"/>
    <w:rsid w:val="00A55E58"/>
    <w:rsid w:val="00A56271"/>
    <w:rsid w:val="00A569E0"/>
    <w:rsid w:val="00A56C18"/>
    <w:rsid w:val="00A56F4A"/>
    <w:rsid w:val="00A570B9"/>
    <w:rsid w:val="00A572D3"/>
    <w:rsid w:val="00A57AFB"/>
    <w:rsid w:val="00A57B6A"/>
    <w:rsid w:val="00A60FEB"/>
    <w:rsid w:val="00A6193E"/>
    <w:rsid w:val="00A631D2"/>
    <w:rsid w:val="00A63B9C"/>
    <w:rsid w:val="00A656E0"/>
    <w:rsid w:val="00A66FEC"/>
    <w:rsid w:val="00A67A23"/>
    <w:rsid w:val="00A709DC"/>
    <w:rsid w:val="00A70BDB"/>
    <w:rsid w:val="00A71702"/>
    <w:rsid w:val="00A731E1"/>
    <w:rsid w:val="00A7342B"/>
    <w:rsid w:val="00A73A61"/>
    <w:rsid w:val="00A74963"/>
    <w:rsid w:val="00A75AF9"/>
    <w:rsid w:val="00A77811"/>
    <w:rsid w:val="00A813D7"/>
    <w:rsid w:val="00A820B1"/>
    <w:rsid w:val="00A83AA0"/>
    <w:rsid w:val="00A84E4B"/>
    <w:rsid w:val="00A84EAC"/>
    <w:rsid w:val="00A8531E"/>
    <w:rsid w:val="00A85680"/>
    <w:rsid w:val="00A867F9"/>
    <w:rsid w:val="00A91E28"/>
    <w:rsid w:val="00A91FC2"/>
    <w:rsid w:val="00A928FB"/>
    <w:rsid w:val="00A92E33"/>
    <w:rsid w:val="00A92E98"/>
    <w:rsid w:val="00A952D9"/>
    <w:rsid w:val="00A95781"/>
    <w:rsid w:val="00A95C9A"/>
    <w:rsid w:val="00A964BE"/>
    <w:rsid w:val="00A96F47"/>
    <w:rsid w:val="00AA0E8C"/>
    <w:rsid w:val="00AA1E42"/>
    <w:rsid w:val="00AA25F8"/>
    <w:rsid w:val="00AA2E9F"/>
    <w:rsid w:val="00AA6304"/>
    <w:rsid w:val="00AA7349"/>
    <w:rsid w:val="00AA7C3C"/>
    <w:rsid w:val="00AB06AB"/>
    <w:rsid w:val="00AB0BAF"/>
    <w:rsid w:val="00AB15A6"/>
    <w:rsid w:val="00AB1D4C"/>
    <w:rsid w:val="00AB289A"/>
    <w:rsid w:val="00AB3290"/>
    <w:rsid w:val="00AB4816"/>
    <w:rsid w:val="00AB49FC"/>
    <w:rsid w:val="00AB517B"/>
    <w:rsid w:val="00AB5780"/>
    <w:rsid w:val="00AB58B8"/>
    <w:rsid w:val="00AB5A2D"/>
    <w:rsid w:val="00AB674D"/>
    <w:rsid w:val="00AB6A7D"/>
    <w:rsid w:val="00AB77F9"/>
    <w:rsid w:val="00AC0AE6"/>
    <w:rsid w:val="00AC0B29"/>
    <w:rsid w:val="00AC0DEC"/>
    <w:rsid w:val="00AC29A5"/>
    <w:rsid w:val="00AC2BD5"/>
    <w:rsid w:val="00AC2C21"/>
    <w:rsid w:val="00AC3878"/>
    <w:rsid w:val="00AC3B42"/>
    <w:rsid w:val="00AC3B6D"/>
    <w:rsid w:val="00AC4435"/>
    <w:rsid w:val="00AC53CA"/>
    <w:rsid w:val="00AC7689"/>
    <w:rsid w:val="00AD0F77"/>
    <w:rsid w:val="00AD1801"/>
    <w:rsid w:val="00AD1CB6"/>
    <w:rsid w:val="00AD21A9"/>
    <w:rsid w:val="00AD3E26"/>
    <w:rsid w:val="00AD555F"/>
    <w:rsid w:val="00AD62DB"/>
    <w:rsid w:val="00AD6534"/>
    <w:rsid w:val="00AD7301"/>
    <w:rsid w:val="00AE0EF1"/>
    <w:rsid w:val="00AE1009"/>
    <w:rsid w:val="00AE1308"/>
    <w:rsid w:val="00AE138D"/>
    <w:rsid w:val="00AE166E"/>
    <w:rsid w:val="00AE2492"/>
    <w:rsid w:val="00AE2AE1"/>
    <w:rsid w:val="00AE2B34"/>
    <w:rsid w:val="00AE461E"/>
    <w:rsid w:val="00AE5C50"/>
    <w:rsid w:val="00AE6F2F"/>
    <w:rsid w:val="00AE7348"/>
    <w:rsid w:val="00AE7B1A"/>
    <w:rsid w:val="00AE7DB7"/>
    <w:rsid w:val="00AF10B9"/>
    <w:rsid w:val="00AF1F23"/>
    <w:rsid w:val="00AF427A"/>
    <w:rsid w:val="00AF4436"/>
    <w:rsid w:val="00AF4C31"/>
    <w:rsid w:val="00AF4C64"/>
    <w:rsid w:val="00AF509A"/>
    <w:rsid w:val="00AF5A87"/>
    <w:rsid w:val="00AF7081"/>
    <w:rsid w:val="00AF757B"/>
    <w:rsid w:val="00B00C07"/>
    <w:rsid w:val="00B01799"/>
    <w:rsid w:val="00B03029"/>
    <w:rsid w:val="00B03AC8"/>
    <w:rsid w:val="00B04743"/>
    <w:rsid w:val="00B04CFC"/>
    <w:rsid w:val="00B055F6"/>
    <w:rsid w:val="00B06468"/>
    <w:rsid w:val="00B064A6"/>
    <w:rsid w:val="00B06D03"/>
    <w:rsid w:val="00B0790D"/>
    <w:rsid w:val="00B109C2"/>
    <w:rsid w:val="00B10D4D"/>
    <w:rsid w:val="00B111AB"/>
    <w:rsid w:val="00B11BFD"/>
    <w:rsid w:val="00B14652"/>
    <w:rsid w:val="00B14C4D"/>
    <w:rsid w:val="00B15633"/>
    <w:rsid w:val="00B165ED"/>
    <w:rsid w:val="00B20BEC"/>
    <w:rsid w:val="00B211EB"/>
    <w:rsid w:val="00B21926"/>
    <w:rsid w:val="00B2265B"/>
    <w:rsid w:val="00B2272E"/>
    <w:rsid w:val="00B22AB5"/>
    <w:rsid w:val="00B25B7D"/>
    <w:rsid w:val="00B25E20"/>
    <w:rsid w:val="00B26D6B"/>
    <w:rsid w:val="00B30573"/>
    <w:rsid w:val="00B32ABA"/>
    <w:rsid w:val="00B32EEB"/>
    <w:rsid w:val="00B33823"/>
    <w:rsid w:val="00B33AB4"/>
    <w:rsid w:val="00B33DAC"/>
    <w:rsid w:val="00B34C9B"/>
    <w:rsid w:val="00B354F7"/>
    <w:rsid w:val="00B37F9D"/>
    <w:rsid w:val="00B405EF"/>
    <w:rsid w:val="00B413BF"/>
    <w:rsid w:val="00B419FA"/>
    <w:rsid w:val="00B42405"/>
    <w:rsid w:val="00B42ACA"/>
    <w:rsid w:val="00B42FF3"/>
    <w:rsid w:val="00B45E1C"/>
    <w:rsid w:val="00B46AE5"/>
    <w:rsid w:val="00B50BA5"/>
    <w:rsid w:val="00B518F8"/>
    <w:rsid w:val="00B52DD0"/>
    <w:rsid w:val="00B52EA3"/>
    <w:rsid w:val="00B53047"/>
    <w:rsid w:val="00B536BF"/>
    <w:rsid w:val="00B553EB"/>
    <w:rsid w:val="00B55D2A"/>
    <w:rsid w:val="00B56B20"/>
    <w:rsid w:val="00B629A6"/>
    <w:rsid w:val="00B62B82"/>
    <w:rsid w:val="00B66119"/>
    <w:rsid w:val="00B665D0"/>
    <w:rsid w:val="00B67347"/>
    <w:rsid w:val="00B70635"/>
    <w:rsid w:val="00B7236C"/>
    <w:rsid w:val="00B723FD"/>
    <w:rsid w:val="00B73A27"/>
    <w:rsid w:val="00B74295"/>
    <w:rsid w:val="00B76B22"/>
    <w:rsid w:val="00B77192"/>
    <w:rsid w:val="00B772D8"/>
    <w:rsid w:val="00B7733C"/>
    <w:rsid w:val="00B81451"/>
    <w:rsid w:val="00B823B7"/>
    <w:rsid w:val="00B824C7"/>
    <w:rsid w:val="00B82F17"/>
    <w:rsid w:val="00B83D77"/>
    <w:rsid w:val="00B85EF2"/>
    <w:rsid w:val="00B871E8"/>
    <w:rsid w:val="00B87CCB"/>
    <w:rsid w:val="00B90611"/>
    <w:rsid w:val="00B911C9"/>
    <w:rsid w:val="00B931E7"/>
    <w:rsid w:val="00B93203"/>
    <w:rsid w:val="00B94587"/>
    <w:rsid w:val="00B95169"/>
    <w:rsid w:val="00B951A7"/>
    <w:rsid w:val="00B9534C"/>
    <w:rsid w:val="00B956AE"/>
    <w:rsid w:val="00BA0402"/>
    <w:rsid w:val="00BA0B09"/>
    <w:rsid w:val="00BA206C"/>
    <w:rsid w:val="00BA2530"/>
    <w:rsid w:val="00BA2ABA"/>
    <w:rsid w:val="00BA38E9"/>
    <w:rsid w:val="00BA3D24"/>
    <w:rsid w:val="00BA3D4E"/>
    <w:rsid w:val="00BA4FEB"/>
    <w:rsid w:val="00BA57E3"/>
    <w:rsid w:val="00BA6B04"/>
    <w:rsid w:val="00BA6EAA"/>
    <w:rsid w:val="00BB250D"/>
    <w:rsid w:val="00BB2714"/>
    <w:rsid w:val="00BB2922"/>
    <w:rsid w:val="00BB4505"/>
    <w:rsid w:val="00BB598B"/>
    <w:rsid w:val="00BB677D"/>
    <w:rsid w:val="00BB6FA1"/>
    <w:rsid w:val="00BB6FC9"/>
    <w:rsid w:val="00BB7FD4"/>
    <w:rsid w:val="00BC1311"/>
    <w:rsid w:val="00BC265D"/>
    <w:rsid w:val="00BC2879"/>
    <w:rsid w:val="00BC346F"/>
    <w:rsid w:val="00BC48D8"/>
    <w:rsid w:val="00BC4AE8"/>
    <w:rsid w:val="00BC4B7B"/>
    <w:rsid w:val="00BC4D76"/>
    <w:rsid w:val="00BC687B"/>
    <w:rsid w:val="00BD08DD"/>
    <w:rsid w:val="00BD11F6"/>
    <w:rsid w:val="00BD141C"/>
    <w:rsid w:val="00BD1A5E"/>
    <w:rsid w:val="00BD1F5F"/>
    <w:rsid w:val="00BD3018"/>
    <w:rsid w:val="00BD3090"/>
    <w:rsid w:val="00BD3379"/>
    <w:rsid w:val="00BD36A5"/>
    <w:rsid w:val="00BD459E"/>
    <w:rsid w:val="00BD4EB5"/>
    <w:rsid w:val="00BD572D"/>
    <w:rsid w:val="00BD5E99"/>
    <w:rsid w:val="00BD6EF2"/>
    <w:rsid w:val="00BD7691"/>
    <w:rsid w:val="00BE04F9"/>
    <w:rsid w:val="00BE09F8"/>
    <w:rsid w:val="00BE1998"/>
    <w:rsid w:val="00BE3A71"/>
    <w:rsid w:val="00BE4339"/>
    <w:rsid w:val="00BE5E88"/>
    <w:rsid w:val="00BE5EBB"/>
    <w:rsid w:val="00BE6740"/>
    <w:rsid w:val="00BE6A67"/>
    <w:rsid w:val="00BF0BF3"/>
    <w:rsid w:val="00BF175F"/>
    <w:rsid w:val="00BF176A"/>
    <w:rsid w:val="00BF1EC7"/>
    <w:rsid w:val="00BF2069"/>
    <w:rsid w:val="00BF2586"/>
    <w:rsid w:val="00BF2EFE"/>
    <w:rsid w:val="00BF3690"/>
    <w:rsid w:val="00BF36EC"/>
    <w:rsid w:val="00BF5BA7"/>
    <w:rsid w:val="00BF6057"/>
    <w:rsid w:val="00C000F6"/>
    <w:rsid w:val="00C01630"/>
    <w:rsid w:val="00C0351E"/>
    <w:rsid w:val="00C03789"/>
    <w:rsid w:val="00C03A64"/>
    <w:rsid w:val="00C044D1"/>
    <w:rsid w:val="00C046FB"/>
    <w:rsid w:val="00C04C4A"/>
    <w:rsid w:val="00C05505"/>
    <w:rsid w:val="00C0560C"/>
    <w:rsid w:val="00C071F9"/>
    <w:rsid w:val="00C07287"/>
    <w:rsid w:val="00C10170"/>
    <w:rsid w:val="00C113EF"/>
    <w:rsid w:val="00C11785"/>
    <w:rsid w:val="00C117D1"/>
    <w:rsid w:val="00C11A6C"/>
    <w:rsid w:val="00C120FC"/>
    <w:rsid w:val="00C12271"/>
    <w:rsid w:val="00C1256B"/>
    <w:rsid w:val="00C12F8E"/>
    <w:rsid w:val="00C13B26"/>
    <w:rsid w:val="00C1444A"/>
    <w:rsid w:val="00C14F54"/>
    <w:rsid w:val="00C17C82"/>
    <w:rsid w:val="00C20C4D"/>
    <w:rsid w:val="00C20E3F"/>
    <w:rsid w:val="00C21B93"/>
    <w:rsid w:val="00C21E57"/>
    <w:rsid w:val="00C2220C"/>
    <w:rsid w:val="00C22682"/>
    <w:rsid w:val="00C22B9B"/>
    <w:rsid w:val="00C23CF4"/>
    <w:rsid w:val="00C23DEE"/>
    <w:rsid w:val="00C23E44"/>
    <w:rsid w:val="00C23E83"/>
    <w:rsid w:val="00C24BCA"/>
    <w:rsid w:val="00C2554D"/>
    <w:rsid w:val="00C255CA"/>
    <w:rsid w:val="00C26FB8"/>
    <w:rsid w:val="00C273FC"/>
    <w:rsid w:val="00C27D01"/>
    <w:rsid w:val="00C30C57"/>
    <w:rsid w:val="00C32FEF"/>
    <w:rsid w:val="00C330E4"/>
    <w:rsid w:val="00C340AE"/>
    <w:rsid w:val="00C35467"/>
    <w:rsid w:val="00C367AA"/>
    <w:rsid w:val="00C36828"/>
    <w:rsid w:val="00C36AFB"/>
    <w:rsid w:val="00C36EAD"/>
    <w:rsid w:val="00C37E0B"/>
    <w:rsid w:val="00C40096"/>
    <w:rsid w:val="00C4150A"/>
    <w:rsid w:val="00C42BBB"/>
    <w:rsid w:val="00C42D98"/>
    <w:rsid w:val="00C4416D"/>
    <w:rsid w:val="00C4502A"/>
    <w:rsid w:val="00C46114"/>
    <w:rsid w:val="00C46333"/>
    <w:rsid w:val="00C501BD"/>
    <w:rsid w:val="00C50A97"/>
    <w:rsid w:val="00C50B85"/>
    <w:rsid w:val="00C5182A"/>
    <w:rsid w:val="00C52F18"/>
    <w:rsid w:val="00C53D9C"/>
    <w:rsid w:val="00C54DCA"/>
    <w:rsid w:val="00C55057"/>
    <w:rsid w:val="00C550BF"/>
    <w:rsid w:val="00C565C9"/>
    <w:rsid w:val="00C574A0"/>
    <w:rsid w:val="00C57A4A"/>
    <w:rsid w:val="00C601E9"/>
    <w:rsid w:val="00C60A03"/>
    <w:rsid w:val="00C60E46"/>
    <w:rsid w:val="00C61C2A"/>
    <w:rsid w:val="00C62622"/>
    <w:rsid w:val="00C63ECA"/>
    <w:rsid w:val="00C6407B"/>
    <w:rsid w:val="00C6605D"/>
    <w:rsid w:val="00C664CB"/>
    <w:rsid w:val="00C66A4A"/>
    <w:rsid w:val="00C70B1B"/>
    <w:rsid w:val="00C71E1F"/>
    <w:rsid w:val="00C7238E"/>
    <w:rsid w:val="00C7259B"/>
    <w:rsid w:val="00C7267F"/>
    <w:rsid w:val="00C74979"/>
    <w:rsid w:val="00C76D94"/>
    <w:rsid w:val="00C8017D"/>
    <w:rsid w:val="00C80EDD"/>
    <w:rsid w:val="00C82311"/>
    <w:rsid w:val="00C83D55"/>
    <w:rsid w:val="00C85857"/>
    <w:rsid w:val="00C85B62"/>
    <w:rsid w:val="00C85C3A"/>
    <w:rsid w:val="00C86ED4"/>
    <w:rsid w:val="00C87798"/>
    <w:rsid w:val="00C907D7"/>
    <w:rsid w:val="00C908D3"/>
    <w:rsid w:val="00C909BA"/>
    <w:rsid w:val="00C91828"/>
    <w:rsid w:val="00C91FEC"/>
    <w:rsid w:val="00C9273F"/>
    <w:rsid w:val="00C935E1"/>
    <w:rsid w:val="00C95DA2"/>
    <w:rsid w:val="00C963AF"/>
    <w:rsid w:val="00C96BAD"/>
    <w:rsid w:val="00C97299"/>
    <w:rsid w:val="00CA4862"/>
    <w:rsid w:val="00CA627E"/>
    <w:rsid w:val="00CA6988"/>
    <w:rsid w:val="00CA709D"/>
    <w:rsid w:val="00CB0743"/>
    <w:rsid w:val="00CB0850"/>
    <w:rsid w:val="00CB0F75"/>
    <w:rsid w:val="00CB116C"/>
    <w:rsid w:val="00CB167D"/>
    <w:rsid w:val="00CB209C"/>
    <w:rsid w:val="00CB2C34"/>
    <w:rsid w:val="00CB3A2B"/>
    <w:rsid w:val="00CB5990"/>
    <w:rsid w:val="00CB7880"/>
    <w:rsid w:val="00CC15F0"/>
    <w:rsid w:val="00CC1787"/>
    <w:rsid w:val="00CC1A0D"/>
    <w:rsid w:val="00CC1B31"/>
    <w:rsid w:val="00CC1C45"/>
    <w:rsid w:val="00CC3963"/>
    <w:rsid w:val="00CC3C72"/>
    <w:rsid w:val="00CC4EB0"/>
    <w:rsid w:val="00CC5DA5"/>
    <w:rsid w:val="00CC7063"/>
    <w:rsid w:val="00CD03C3"/>
    <w:rsid w:val="00CD16CE"/>
    <w:rsid w:val="00CD1F11"/>
    <w:rsid w:val="00CD2074"/>
    <w:rsid w:val="00CD2B88"/>
    <w:rsid w:val="00CD38E0"/>
    <w:rsid w:val="00CD43D0"/>
    <w:rsid w:val="00CD4A23"/>
    <w:rsid w:val="00CD4C94"/>
    <w:rsid w:val="00CD4E49"/>
    <w:rsid w:val="00CD4E76"/>
    <w:rsid w:val="00CD6759"/>
    <w:rsid w:val="00CD6B02"/>
    <w:rsid w:val="00CE1142"/>
    <w:rsid w:val="00CE148D"/>
    <w:rsid w:val="00CE14E1"/>
    <w:rsid w:val="00CE1982"/>
    <w:rsid w:val="00CE1B43"/>
    <w:rsid w:val="00CE1BF9"/>
    <w:rsid w:val="00CE24F0"/>
    <w:rsid w:val="00CE323F"/>
    <w:rsid w:val="00CE380C"/>
    <w:rsid w:val="00CE3BE1"/>
    <w:rsid w:val="00CE5DF8"/>
    <w:rsid w:val="00CE63E1"/>
    <w:rsid w:val="00CE713D"/>
    <w:rsid w:val="00CE7E18"/>
    <w:rsid w:val="00CF023F"/>
    <w:rsid w:val="00CF086D"/>
    <w:rsid w:val="00CF11A8"/>
    <w:rsid w:val="00CF15DE"/>
    <w:rsid w:val="00CF249D"/>
    <w:rsid w:val="00CF2ED6"/>
    <w:rsid w:val="00CF35DF"/>
    <w:rsid w:val="00CF37D7"/>
    <w:rsid w:val="00CF3B0B"/>
    <w:rsid w:val="00CF5390"/>
    <w:rsid w:val="00CF5FC6"/>
    <w:rsid w:val="00CF6F29"/>
    <w:rsid w:val="00CF7372"/>
    <w:rsid w:val="00D009BE"/>
    <w:rsid w:val="00D0132F"/>
    <w:rsid w:val="00D028AF"/>
    <w:rsid w:val="00D03620"/>
    <w:rsid w:val="00D053DA"/>
    <w:rsid w:val="00D0581F"/>
    <w:rsid w:val="00D05F85"/>
    <w:rsid w:val="00D1013E"/>
    <w:rsid w:val="00D11BFB"/>
    <w:rsid w:val="00D11F0E"/>
    <w:rsid w:val="00D12071"/>
    <w:rsid w:val="00D1291E"/>
    <w:rsid w:val="00D12A60"/>
    <w:rsid w:val="00D12BBA"/>
    <w:rsid w:val="00D12F2C"/>
    <w:rsid w:val="00D132F8"/>
    <w:rsid w:val="00D13CA5"/>
    <w:rsid w:val="00D15522"/>
    <w:rsid w:val="00D15CC8"/>
    <w:rsid w:val="00D16052"/>
    <w:rsid w:val="00D1662A"/>
    <w:rsid w:val="00D16B26"/>
    <w:rsid w:val="00D16BFE"/>
    <w:rsid w:val="00D177EE"/>
    <w:rsid w:val="00D20396"/>
    <w:rsid w:val="00D20637"/>
    <w:rsid w:val="00D20644"/>
    <w:rsid w:val="00D20A7A"/>
    <w:rsid w:val="00D24496"/>
    <w:rsid w:val="00D255EB"/>
    <w:rsid w:val="00D25B58"/>
    <w:rsid w:val="00D25D51"/>
    <w:rsid w:val="00D25F3A"/>
    <w:rsid w:val="00D27F2E"/>
    <w:rsid w:val="00D30B22"/>
    <w:rsid w:val="00D31146"/>
    <w:rsid w:val="00D31C10"/>
    <w:rsid w:val="00D32AF6"/>
    <w:rsid w:val="00D341D5"/>
    <w:rsid w:val="00D34CC8"/>
    <w:rsid w:val="00D37850"/>
    <w:rsid w:val="00D37B10"/>
    <w:rsid w:val="00D37E46"/>
    <w:rsid w:val="00D40515"/>
    <w:rsid w:val="00D41A29"/>
    <w:rsid w:val="00D4227C"/>
    <w:rsid w:val="00D423C0"/>
    <w:rsid w:val="00D4377A"/>
    <w:rsid w:val="00D4531D"/>
    <w:rsid w:val="00D454B3"/>
    <w:rsid w:val="00D4570D"/>
    <w:rsid w:val="00D45AA0"/>
    <w:rsid w:val="00D45D47"/>
    <w:rsid w:val="00D46B3C"/>
    <w:rsid w:val="00D47ED2"/>
    <w:rsid w:val="00D51225"/>
    <w:rsid w:val="00D51633"/>
    <w:rsid w:val="00D51C74"/>
    <w:rsid w:val="00D5408C"/>
    <w:rsid w:val="00D5664B"/>
    <w:rsid w:val="00D57AB2"/>
    <w:rsid w:val="00D57C05"/>
    <w:rsid w:val="00D57FDB"/>
    <w:rsid w:val="00D6042D"/>
    <w:rsid w:val="00D608DE"/>
    <w:rsid w:val="00D61A67"/>
    <w:rsid w:val="00D63AFF"/>
    <w:rsid w:val="00D63EDE"/>
    <w:rsid w:val="00D641A2"/>
    <w:rsid w:val="00D64F14"/>
    <w:rsid w:val="00D662EE"/>
    <w:rsid w:val="00D66483"/>
    <w:rsid w:val="00D66543"/>
    <w:rsid w:val="00D66EC6"/>
    <w:rsid w:val="00D67EBB"/>
    <w:rsid w:val="00D714C9"/>
    <w:rsid w:val="00D729B0"/>
    <w:rsid w:val="00D72D76"/>
    <w:rsid w:val="00D74FD8"/>
    <w:rsid w:val="00D754F7"/>
    <w:rsid w:val="00D763D0"/>
    <w:rsid w:val="00D77B2A"/>
    <w:rsid w:val="00D81266"/>
    <w:rsid w:val="00D821D4"/>
    <w:rsid w:val="00D82CA2"/>
    <w:rsid w:val="00D836A6"/>
    <w:rsid w:val="00D8702E"/>
    <w:rsid w:val="00D87204"/>
    <w:rsid w:val="00D877E6"/>
    <w:rsid w:val="00D9105B"/>
    <w:rsid w:val="00D91936"/>
    <w:rsid w:val="00D9256E"/>
    <w:rsid w:val="00D94788"/>
    <w:rsid w:val="00D949DA"/>
    <w:rsid w:val="00D94D2F"/>
    <w:rsid w:val="00D96A46"/>
    <w:rsid w:val="00D96CC2"/>
    <w:rsid w:val="00D96E48"/>
    <w:rsid w:val="00D97C79"/>
    <w:rsid w:val="00D97DE5"/>
    <w:rsid w:val="00DA0801"/>
    <w:rsid w:val="00DA232A"/>
    <w:rsid w:val="00DA2355"/>
    <w:rsid w:val="00DA32B8"/>
    <w:rsid w:val="00DA350B"/>
    <w:rsid w:val="00DA4F05"/>
    <w:rsid w:val="00DA58C6"/>
    <w:rsid w:val="00DA5D29"/>
    <w:rsid w:val="00DA5E39"/>
    <w:rsid w:val="00DA639B"/>
    <w:rsid w:val="00DA63AD"/>
    <w:rsid w:val="00DA6729"/>
    <w:rsid w:val="00DA71D0"/>
    <w:rsid w:val="00DB035D"/>
    <w:rsid w:val="00DB0F16"/>
    <w:rsid w:val="00DB36F7"/>
    <w:rsid w:val="00DB3B06"/>
    <w:rsid w:val="00DB3C0A"/>
    <w:rsid w:val="00DB449C"/>
    <w:rsid w:val="00DB4645"/>
    <w:rsid w:val="00DB49A0"/>
    <w:rsid w:val="00DB4BE9"/>
    <w:rsid w:val="00DB62BF"/>
    <w:rsid w:val="00DB6535"/>
    <w:rsid w:val="00DB68E4"/>
    <w:rsid w:val="00DB6C90"/>
    <w:rsid w:val="00DC1392"/>
    <w:rsid w:val="00DC2259"/>
    <w:rsid w:val="00DC4024"/>
    <w:rsid w:val="00DC6EAE"/>
    <w:rsid w:val="00DC6F21"/>
    <w:rsid w:val="00DC730C"/>
    <w:rsid w:val="00DC7924"/>
    <w:rsid w:val="00DD0A0C"/>
    <w:rsid w:val="00DD0E77"/>
    <w:rsid w:val="00DD2D13"/>
    <w:rsid w:val="00DD3C36"/>
    <w:rsid w:val="00DD42F3"/>
    <w:rsid w:val="00DD62C2"/>
    <w:rsid w:val="00DD696C"/>
    <w:rsid w:val="00DE019D"/>
    <w:rsid w:val="00DE09AB"/>
    <w:rsid w:val="00DE15C2"/>
    <w:rsid w:val="00DE2D01"/>
    <w:rsid w:val="00DE370F"/>
    <w:rsid w:val="00DE3F6A"/>
    <w:rsid w:val="00DE47DB"/>
    <w:rsid w:val="00DE4952"/>
    <w:rsid w:val="00DE4CC6"/>
    <w:rsid w:val="00DE5FD1"/>
    <w:rsid w:val="00DE6075"/>
    <w:rsid w:val="00DE6EF6"/>
    <w:rsid w:val="00DE724F"/>
    <w:rsid w:val="00DE743C"/>
    <w:rsid w:val="00DF1998"/>
    <w:rsid w:val="00DF241B"/>
    <w:rsid w:val="00DF2D1E"/>
    <w:rsid w:val="00DF318B"/>
    <w:rsid w:val="00DF36BD"/>
    <w:rsid w:val="00DF3722"/>
    <w:rsid w:val="00DF38DD"/>
    <w:rsid w:val="00DF406B"/>
    <w:rsid w:val="00DF5AA6"/>
    <w:rsid w:val="00DF77C2"/>
    <w:rsid w:val="00DF7908"/>
    <w:rsid w:val="00E0017F"/>
    <w:rsid w:val="00E00681"/>
    <w:rsid w:val="00E021AB"/>
    <w:rsid w:val="00E02241"/>
    <w:rsid w:val="00E02802"/>
    <w:rsid w:val="00E04519"/>
    <w:rsid w:val="00E04961"/>
    <w:rsid w:val="00E04C26"/>
    <w:rsid w:val="00E04FD3"/>
    <w:rsid w:val="00E0745E"/>
    <w:rsid w:val="00E10359"/>
    <w:rsid w:val="00E10B60"/>
    <w:rsid w:val="00E11710"/>
    <w:rsid w:val="00E11737"/>
    <w:rsid w:val="00E11818"/>
    <w:rsid w:val="00E11C95"/>
    <w:rsid w:val="00E12155"/>
    <w:rsid w:val="00E14CB8"/>
    <w:rsid w:val="00E15895"/>
    <w:rsid w:val="00E1589B"/>
    <w:rsid w:val="00E15D65"/>
    <w:rsid w:val="00E15E83"/>
    <w:rsid w:val="00E16883"/>
    <w:rsid w:val="00E168C6"/>
    <w:rsid w:val="00E21305"/>
    <w:rsid w:val="00E21588"/>
    <w:rsid w:val="00E21EC1"/>
    <w:rsid w:val="00E21FD5"/>
    <w:rsid w:val="00E236B1"/>
    <w:rsid w:val="00E246BA"/>
    <w:rsid w:val="00E24B78"/>
    <w:rsid w:val="00E25674"/>
    <w:rsid w:val="00E26708"/>
    <w:rsid w:val="00E27345"/>
    <w:rsid w:val="00E275C5"/>
    <w:rsid w:val="00E278EA"/>
    <w:rsid w:val="00E30422"/>
    <w:rsid w:val="00E30C30"/>
    <w:rsid w:val="00E31773"/>
    <w:rsid w:val="00E33CF8"/>
    <w:rsid w:val="00E34F12"/>
    <w:rsid w:val="00E35252"/>
    <w:rsid w:val="00E36447"/>
    <w:rsid w:val="00E36B35"/>
    <w:rsid w:val="00E36F75"/>
    <w:rsid w:val="00E40DC7"/>
    <w:rsid w:val="00E4303B"/>
    <w:rsid w:val="00E432E7"/>
    <w:rsid w:val="00E44F01"/>
    <w:rsid w:val="00E450AE"/>
    <w:rsid w:val="00E45465"/>
    <w:rsid w:val="00E456C6"/>
    <w:rsid w:val="00E460E6"/>
    <w:rsid w:val="00E47357"/>
    <w:rsid w:val="00E507C6"/>
    <w:rsid w:val="00E51DB7"/>
    <w:rsid w:val="00E52EF7"/>
    <w:rsid w:val="00E5323B"/>
    <w:rsid w:val="00E54619"/>
    <w:rsid w:val="00E54794"/>
    <w:rsid w:val="00E55ADB"/>
    <w:rsid w:val="00E56AD9"/>
    <w:rsid w:val="00E61804"/>
    <w:rsid w:val="00E64949"/>
    <w:rsid w:val="00E64E41"/>
    <w:rsid w:val="00E65CEC"/>
    <w:rsid w:val="00E67F9E"/>
    <w:rsid w:val="00E70648"/>
    <w:rsid w:val="00E72331"/>
    <w:rsid w:val="00E7344D"/>
    <w:rsid w:val="00E74151"/>
    <w:rsid w:val="00E742AC"/>
    <w:rsid w:val="00E74CA4"/>
    <w:rsid w:val="00E75FA3"/>
    <w:rsid w:val="00E7600E"/>
    <w:rsid w:val="00E775BA"/>
    <w:rsid w:val="00E77B24"/>
    <w:rsid w:val="00E80926"/>
    <w:rsid w:val="00E8370B"/>
    <w:rsid w:val="00E8392D"/>
    <w:rsid w:val="00E840D1"/>
    <w:rsid w:val="00E845A3"/>
    <w:rsid w:val="00E86346"/>
    <w:rsid w:val="00E8723C"/>
    <w:rsid w:val="00E90476"/>
    <w:rsid w:val="00E90BB9"/>
    <w:rsid w:val="00E91033"/>
    <w:rsid w:val="00E91902"/>
    <w:rsid w:val="00E9313F"/>
    <w:rsid w:val="00E93386"/>
    <w:rsid w:val="00E93C31"/>
    <w:rsid w:val="00E94A43"/>
    <w:rsid w:val="00E95632"/>
    <w:rsid w:val="00E95B4B"/>
    <w:rsid w:val="00E95EC1"/>
    <w:rsid w:val="00E96A4D"/>
    <w:rsid w:val="00E97365"/>
    <w:rsid w:val="00E97943"/>
    <w:rsid w:val="00EA0945"/>
    <w:rsid w:val="00EA34EF"/>
    <w:rsid w:val="00EA3E78"/>
    <w:rsid w:val="00EA4478"/>
    <w:rsid w:val="00EA4AEA"/>
    <w:rsid w:val="00EA5789"/>
    <w:rsid w:val="00EA5A2F"/>
    <w:rsid w:val="00EA5C99"/>
    <w:rsid w:val="00EA6EA3"/>
    <w:rsid w:val="00EA70F1"/>
    <w:rsid w:val="00EA782C"/>
    <w:rsid w:val="00EA78A2"/>
    <w:rsid w:val="00EA7EAC"/>
    <w:rsid w:val="00EB07C3"/>
    <w:rsid w:val="00EB0DF2"/>
    <w:rsid w:val="00EB15CE"/>
    <w:rsid w:val="00EB2B10"/>
    <w:rsid w:val="00EB42AC"/>
    <w:rsid w:val="00EB5148"/>
    <w:rsid w:val="00EB6950"/>
    <w:rsid w:val="00EB736A"/>
    <w:rsid w:val="00EB755D"/>
    <w:rsid w:val="00EB7B67"/>
    <w:rsid w:val="00EB7C0B"/>
    <w:rsid w:val="00EB7CA3"/>
    <w:rsid w:val="00EC286A"/>
    <w:rsid w:val="00EC28F8"/>
    <w:rsid w:val="00EC3CAE"/>
    <w:rsid w:val="00EC43F4"/>
    <w:rsid w:val="00EC4B45"/>
    <w:rsid w:val="00EC5D23"/>
    <w:rsid w:val="00EC6858"/>
    <w:rsid w:val="00EC7B27"/>
    <w:rsid w:val="00ED1008"/>
    <w:rsid w:val="00ED1A5D"/>
    <w:rsid w:val="00ED25B2"/>
    <w:rsid w:val="00ED2F7B"/>
    <w:rsid w:val="00ED36B0"/>
    <w:rsid w:val="00ED6877"/>
    <w:rsid w:val="00ED6F24"/>
    <w:rsid w:val="00ED790F"/>
    <w:rsid w:val="00EE0D5A"/>
    <w:rsid w:val="00EE1198"/>
    <w:rsid w:val="00EE2467"/>
    <w:rsid w:val="00EE2524"/>
    <w:rsid w:val="00EE370E"/>
    <w:rsid w:val="00EE396A"/>
    <w:rsid w:val="00EE3A60"/>
    <w:rsid w:val="00EE3B74"/>
    <w:rsid w:val="00EE4BEC"/>
    <w:rsid w:val="00EE4DA6"/>
    <w:rsid w:val="00EE5870"/>
    <w:rsid w:val="00EE6078"/>
    <w:rsid w:val="00EF0535"/>
    <w:rsid w:val="00EF0617"/>
    <w:rsid w:val="00EF0B1D"/>
    <w:rsid w:val="00EF1801"/>
    <w:rsid w:val="00EF1F7B"/>
    <w:rsid w:val="00EF3679"/>
    <w:rsid w:val="00EF3D54"/>
    <w:rsid w:val="00EF55DA"/>
    <w:rsid w:val="00EF5DFA"/>
    <w:rsid w:val="00EF6744"/>
    <w:rsid w:val="00EF72FF"/>
    <w:rsid w:val="00F01C42"/>
    <w:rsid w:val="00F01F3D"/>
    <w:rsid w:val="00F02CF9"/>
    <w:rsid w:val="00F042BF"/>
    <w:rsid w:val="00F04D5C"/>
    <w:rsid w:val="00F04D8D"/>
    <w:rsid w:val="00F0570A"/>
    <w:rsid w:val="00F0625B"/>
    <w:rsid w:val="00F06FBF"/>
    <w:rsid w:val="00F0799E"/>
    <w:rsid w:val="00F10113"/>
    <w:rsid w:val="00F1089A"/>
    <w:rsid w:val="00F10CC2"/>
    <w:rsid w:val="00F11256"/>
    <w:rsid w:val="00F1160E"/>
    <w:rsid w:val="00F1183A"/>
    <w:rsid w:val="00F122E4"/>
    <w:rsid w:val="00F124E2"/>
    <w:rsid w:val="00F12B22"/>
    <w:rsid w:val="00F130AB"/>
    <w:rsid w:val="00F13185"/>
    <w:rsid w:val="00F13856"/>
    <w:rsid w:val="00F13FB8"/>
    <w:rsid w:val="00F1414B"/>
    <w:rsid w:val="00F15810"/>
    <w:rsid w:val="00F16B74"/>
    <w:rsid w:val="00F1722F"/>
    <w:rsid w:val="00F17473"/>
    <w:rsid w:val="00F2027E"/>
    <w:rsid w:val="00F22CC7"/>
    <w:rsid w:val="00F22CD4"/>
    <w:rsid w:val="00F22F4E"/>
    <w:rsid w:val="00F23445"/>
    <w:rsid w:val="00F26F1D"/>
    <w:rsid w:val="00F273E4"/>
    <w:rsid w:val="00F27609"/>
    <w:rsid w:val="00F276DF"/>
    <w:rsid w:val="00F27C25"/>
    <w:rsid w:val="00F306E2"/>
    <w:rsid w:val="00F34557"/>
    <w:rsid w:val="00F376D6"/>
    <w:rsid w:val="00F37C04"/>
    <w:rsid w:val="00F37F0D"/>
    <w:rsid w:val="00F40AF0"/>
    <w:rsid w:val="00F41617"/>
    <w:rsid w:val="00F423BE"/>
    <w:rsid w:val="00F42D67"/>
    <w:rsid w:val="00F43488"/>
    <w:rsid w:val="00F43CF2"/>
    <w:rsid w:val="00F43F41"/>
    <w:rsid w:val="00F44817"/>
    <w:rsid w:val="00F44F77"/>
    <w:rsid w:val="00F45E7F"/>
    <w:rsid w:val="00F47F55"/>
    <w:rsid w:val="00F50BBB"/>
    <w:rsid w:val="00F51606"/>
    <w:rsid w:val="00F52240"/>
    <w:rsid w:val="00F5300E"/>
    <w:rsid w:val="00F53838"/>
    <w:rsid w:val="00F54EBF"/>
    <w:rsid w:val="00F55023"/>
    <w:rsid w:val="00F558C0"/>
    <w:rsid w:val="00F563DA"/>
    <w:rsid w:val="00F573B6"/>
    <w:rsid w:val="00F612D7"/>
    <w:rsid w:val="00F61F7B"/>
    <w:rsid w:val="00F62C89"/>
    <w:rsid w:val="00F62FCE"/>
    <w:rsid w:val="00F64A08"/>
    <w:rsid w:val="00F64F8C"/>
    <w:rsid w:val="00F66D82"/>
    <w:rsid w:val="00F67469"/>
    <w:rsid w:val="00F676F7"/>
    <w:rsid w:val="00F67AB9"/>
    <w:rsid w:val="00F7072A"/>
    <w:rsid w:val="00F71F8C"/>
    <w:rsid w:val="00F72354"/>
    <w:rsid w:val="00F74F11"/>
    <w:rsid w:val="00F75665"/>
    <w:rsid w:val="00F765FB"/>
    <w:rsid w:val="00F7712D"/>
    <w:rsid w:val="00F80D94"/>
    <w:rsid w:val="00F80F54"/>
    <w:rsid w:val="00F81ECD"/>
    <w:rsid w:val="00F81FA2"/>
    <w:rsid w:val="00F83677"/>
    <w:rsid w:val="00F83D33"/>
    <w:rsid w:val="00F84451"/>
    <w:rsid w:val="00F84BA3"/>
    <w:rsid w:val="00F86094"/>
    <w:rsid w:val="00F86C15"/>
    <w:rsid w:val="00F8720E"/>
    <w:rsid w:val="00F8748F"/>
    <w:rsid w:val="00F92B8C"/>
    <w:rsid w:val="00F9392D"/>
    <w:rsid w:val="00F946E0"/>
    <w:rsid w:val="00F951FC"/>
    <w:rsid w:val="00F960CF"/>
    <w:rsid w:val="00F96B56"/>
    <w:rsid w:val="00F96FE0"/>
    <w:rsid w:val="00FA0706"/>
    <w:rsid w:val="00FA0DC3"/>
    <w:rsid w:val="00FA137C"/>
    <w:rsid w:val="00FA172E"/>
    <w:rsid w:val="00FA31DE"/>
    <w:rsid w:val="00FA60FC"/>
    <w:rsid w:val="00FA6C0F"/>
    <w:rsid w:val="00FA737A"/>
    <w:rsid w:val="00FA74E2"/>
    <w:rsid w:val="00FA7B9D"/>
    <w:rsid w:val="00FB0509"/>
    <w:rsid w:val="00FB076A"/>
    <w:rsid w:val="00FB1348"/>
    <w:rsid w:val="00FB1402"/>
    <w:rsid w:val="00FB183F"/>
    <w:rsid w:val="00FB22E7"/>
    <w:rsid w:val="00FB4CC5"/>
    <w:rsid w:val="00FB4FEE"/>
    <w:rsid w:val="00FB566D"/>
    <w:rsid w:val="00FB6337"/>
    <w:rsid w:val="00FB6679"/>
    <w:rsid w:val="00FB6947"/>
    <w:rsid w:val="00FB7D04"/>
    <w:rsid w:val="00FC0985"/>
    <w:rsid w:val="00FC1855"/>
    <w:rsid w:val="00FC29AF"/>
    <w:rsid w:val="00FC3BDD"/>
    <w:rsid w:val="00FC42D3"/>
    <w:rsid w:val="00FC44E8"/>
    <w:rsid w:val="00FC4BCB"/>
    <w:rsid w:val="00FC4E26"/>
    <w:rsid w:val="00FC5462"/>
    <w:rsid w:val="00FD08C7"/>
    <w:rsid w:val="00FD091C"/>
    <w:rsid w:val="00FD0C0D"/>
    <w:rsid w:val="00FD1B86"/>
    <w:rsid w:val="00FD26D4"/>
    <w:rsid w:val="00FD34EB"/>
    <w:rsid w:val="00FD4283"/>
    <w:rsid w:val="00FD45C5"/>
    <w:rsid w:val="00FD5039"/>
    <w:rsid w:val="00FD78BC"/>
    <w:rsid w:val="00FE0FFA"/>
    <w:rsid w:val="00FE1836"/>
    <w:rsid w:val="00FE2BA0"/>
    <w:rsid w:val="00FE3BE2"/>
    <w:rsid w:val="00FE3FF2"/>
    <w:rsid w:val="00FE4A30"/>
    <w:rsid w:val="00FE4F64"/>
    <w:rsid w:val="00FE6140"/>
    <w:rsid w:val="00FE7B4D"/>
    <w:rsid w:val="00FF01F3"/>
    <w:rsid w:val="00FF1ADE"/>
    <w:rsid w:val="00FF22D5"/>
    <w:rsid w:val="00FF3507"/>
    <w:rsid w:val="00FF35B1"/>
    <w:rsid w:val="00FF3DED"/>
    <w:rsid w:val="00FF469F"/>
    <w:rsid w:val="00FF5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6A684BE"/>
  <w15:chartTrackingRefBased/>
  <w15:docId w15:val="{F64D9395-D8F0-4F58-8C25-DBDA3EBC8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rPr>
  </w:style>
  <w:style w:type="paragraph" w:styleId="Heading2">
    <w:name w:val="heading 2"/>
    <w:basedOn w:val="Normal"/>
    <w:link w:val="Heading2Char"/>
    <w:uiPriority w:val="9"/>
    <w:qFormat/>
    <w:rsid w:val="004B27D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4B27D6"/>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5">
    <w:name w:val="heading 5"/>
    <w:basedOn w:val="Normal"/>
    <w:next w:val="Normal"/>
    <w:link w:val="Heading5Char"/>
    <w:uiPriority w:val="9"/>
    <w:semiHidden/>
    <w:unhideWhenUsed/>
    <w:qFormat/>
    <w:rsid w:val="00411E52"/>
    <w:pPr>
      <w:keepNext/>
      <w:keepLines/>
      <w:spacing w:before="40" w:after="0"/>
      <w:outlineLvl w:val="4"/>
    </w:pPr>
    <w:rPr>
      <w:rFonts w:ascii="Calibri Light" w:eastAsia="DengXian Light"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3E43"/>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link w:val="ListParagraphChar"/>
    <w:uiPriority w:val="34"/>
    <w:qFormat/>
    <w:rsid w:val="003A3E43"/>
    <w:pPr>
      <w:ind w:left="720"/>
      <w:contextualSpacing/>
    </w:pPr>
  </w:style>
  <w:style w:type="paragraph" w:customStyle="1" w:styleId="Default">
    <w:name w:val="Default"/>
    <w:rsid w:val="00920DC4"/>
    <w:pPr>
      <w:autoSpaceDE w:val="0"/>
      <w:autoSpaceDN w:val="0"/>
      <w:adjustRightInd w:val="0"/>
    </w:pPr>
    <w:rPr>
      <w:rFonts w:cs="Calibri"/>
      <w:color w:val="000000"/>
      <w:sz w:val="24"/>
      <w:szCs w:val="24"/>
    </w:rPr>
  </w:style>
  <w:style w:type="character" w:styleId="LineNumber">
    <w:name w:val="line number"/>
    <w:basedOn w:val="DefaultParagraphFont"/>
    <w:uiPriority w:val="99"/>
    <w:semiHidden/>
    <w:unhideWhenUsed/>
    <w:rsid w:val="00C21B93"/>
  </w:style>
  <w:style w:type="character" w:styleId="Hyperlink">
    <w:name w:val="Hyperlink"/>
    <w:uiPriority w:val="99"/>
    <w:unhideWhenUsed/>
    <w:rsid w:val="0062134F"/>
    <w:rPr>
      <w:color w:val="0563C1"/>
      <w:u w:val="single"/>
    </w:rPr>
  </w:style>
  <w:style w:type="character" w:styleId="UnresolvedMention">
    <w:name w:val="Unresolved Mention"/>
    <w:uiPriority w:val="99"/>
    <w:semiHidden/>
    <w:unhideWhenUsed/>
    <w:rsid w:val="0062134F"/>
    <w:rPr>
      <w:color w:val="808080"/>
      <w:shd w:val="clear" w:color="auto" w:fill="E6E6E6"/>
    </w:rPr>
  </w:style>
  <w:style w:type="character" w:customStyle="1" w:styleId="identifierdetail">
    <w:name w:val="identifierdetail"/>
    <w:basedOn w:val="DefaultParagraphFont"/>
    <w:rsid w:val="002F6683"/>
  </w:style>
  <w:style w:type="character" w:customStyle="1" w:styleId="exp-pipes">
    <w:name w:val="exp-pipes"/>
    <w:basedOn w:val="DefaultParagraphFont"/>
    <w:rsid w:val="00D66EC6"/>
  </w:style>
  <w:style w:type="character" w:customStyle="1" w:styleId="exp-term">
    <w:name w:val="exp-term"/>
    <w:basedOn w:val="DefaultParagraphFont"/>
    <w:rsid w:val="00D66EC6"/>
  </w:style>
  <w:style w:type="character" w:customStyle="1" w:styleId="exp-operators">
    <w:name w:val="exp-operators"/>
    <w:basedOn w:val="DefaultParagraphFont"/>
    <w:rsid w:val="00D66EC6"/>
  </w:style>
  <w:style w:type="character" w:customStyle="1" w:styleId="exp-brackets">
    <w:name w:val="exp-brackets"/>
    <w:basedOn w:val="DefaultParagraphFont"/>
    <w:rsid w:val="00D66EC6"/>
  </w:style>
  <w:style w:type="paragraph" w:styleId="Header">
    <w:name w:val="header"/>
    <w:basedOn w:val="Normal"/>
    <w:link w:val="HeaderChar"/>
    <w:uiPriority w:val="99"/>
    <w:unhideWhenUsed/>
    <w:rsid w:val="0028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21C"/>
  </w:style>
  <w:style w:type="paragraph" w:styleId="Footer">
    <w:name w:val="footer"/>
    <w:basedOn w:val="Normal"/>
    <w:link w:val="FooterChar"/>
    <w:uiPriority w:val="99"/>
    <w:unhideWhenUsed/>
    <w:rsid w:val="0028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21C"/>
  </w:style>
  <w:style w:type="paragraph" w:styleId="FootnoteText">
    <w:name w:val="footnote text"/>
    <w:basedOn w:val="Normal"/>
    <w:link w:val="FootnoteTextChar"/>
    <w:uiPriority w:val="99"/>
    <w:semiHidden/>
    <w:unhideWhenUsed/>
    <w:rsid w:val="00E10359"/>
    <w:pPr>
      <w:spacing w:after="0" w:line="240" w:lineRule="auto"/>
    </w:pPr>
    <w:rPr>
      <w:rFonts w:eastAsia="Calibri"/>
      <w:sz w:val="20"/>
      <w:szCs w:val="20"/>
      <w:lang w:eastAsia="en-US"/>
    </w:rPr>
  </w:style>
  <w:style w:type="character" w:customStyle="1" w:styleId="FootnoteTextChar">
    <w:name w:val="Footnote Text Char"/>
    <w:link w:val="FootnoteText"/>
    <w:uiPriority w:val="99"/>
    <w:semiHidden/>
    <w:rsid w:val="00E10359"/>
    <w:rPr>
      <w:rFonts w:eastAsia="Calibri"/>
      <w:sz w:val="20"/>
      <w:szCs w:val="20"/>
      <w:lang w:eastAsia="en-US"/>
    </w:rPr>
  </w:style>
  <w:style w:type="character" w:styleId="FootnoteReference">
    <w:name w:val="footnote reference"/>
    <w:uiPriority w:val="99"/>
    <w:semiHidden/>
    <w:unhideWhenUsed/>
    <w:rsid w:val="00E10359"/>
    <w:rPr>
      <w:vertAlign w:val="superscript"/>
    </w:rPr>
  </w:style>
  <w:style w:type="character" w:customStyle="1" w:styleId="Heading2Char">
    <w:name w:val="Heading 2 Char"/>
    <w:link w:val="Heading2"/>
    <w:uiPriority w:val="9"/>
    <w:rsid w:val="004B27D6"/>
    <w:rPr>
      <w:rFonts w:ascii="Times New Roman" w:eastAsia="Times New Roman" w:hAnsi="Times New Roman" w:cs="Times New Roman"/>
      <w:b/>
      <w:bCs/>
      <w:sz w:val="36"/>
      <w:szCs w:val="36"/>
    </w:rPr>
  </w:style>
  <w:style w:type="character" w:customStyle="1" w:styleId="Heading3Char">
    <w:name w:val="Heading 3 Char"/>
    <w:link w:val="Heading3"/>
    <w:uiPriority w:val="9"/>
    <w:rsid w:val="004B27D6"/>
    <w:rPr>
      <w:rFonts w:ascii="Times New Roman" w:eastAsia="Times New Roman" w:hAnsi="Times New Roman" w:cs="Times New Roman"/>
      <w:b/>
      <w:bCs/>
      <w:sz w:val="27"/>
      <w:szCs w:val="27"/>
    </w:rPr>
  </w:style>
  <w:style w:type="paragraph" w:styleId="Caption">
    <w:name w:val="caption"/>
    <w:basedOn w:val="Normal"/>
    <w:next w:val="Normal"/>
    <w:uiPriority w:val="35"/>
    <w:unhideWhenUsed/>
    <w:qFormat/>
    <w:rsid w:val="00DA6729"/>
    <w:pPr>
      <w:spacing w:after="200" w:line="240" w:lineRule="auto"/>
    </w:pPr>
    <w:rPr>
      <w:i/>
      <w:iCs/>
      <w:color w:val="44546A"/>
      <w:sz w:val="18"/>
      <w:szCs w:val="18"/>
    </w:rPr>
  </w:style>
  <w:style w:type="paragraph" w:customStyle="1" w:styleId="TableBulletList">
    <w:name w:val="Table Bullet List"/>
    <w:basedOn w:val="Normal"/>
    <w:rsid w:val="00411E52"/>
    <w:pPr>
      <w:keepNext/>
      <w:keepLines/>
      <w:numPr>
        <w:ilvl w:val="2"/>
        <w:numId w:val="12"/>
      </w:numPr>
      <w:tabs>
        <w:tab w:val="left" w:pos="702"/>
        <w:tab w:val="left" w:pos="1440"/>
        <w:tab w:val="left" w:pos="1800"/>
        <w:tab w:val="left" w:pos="2520"/>
        <w:tab w:val="left" w:pos="2880"/>
        <w:tab w:val="left" w:pos="3240"/>
        <w:tab w:val="left" w:pos="3600"/>
        <w:tab w:val="left" w:pos="3960"/>
        <w:tab w:val="left" w:pos="4320"/>
        <w:tab w:val="left" w:pos="4680"/>
        <w:tab w:val="left" w:pos="5040"/>
        <w:tab w:val="left" w:pos="5400"/>
      </w:tabs>
      <w:spacing w:before="60" w:after="0" w:line="240" w:lineRule="auto"/>
      <w:ind w:left="702"/>
    </w:pPr>
    <w:rPr>
      <w:rFonts w:ascii="Arial" w:eastAsia="Times New Roman" w:hAnsi="Arial"/>
      <w:sz w:val="16"/>
      <w:szCs w:val="20"/>
      <w:lang w:eastAsia="en-US"/>
    </w:rPr>
  </w:style>
  <w:style w:type="paragraph" w:customStyle="1" w:styleId="Heading5-BoldNumbered">
    <w:name w:val="Heading 5 - Bold Numbered"/>
    <w:basedOn w:val="Heading5"/>
    <w:next w:val="Normal"/>
    <w:rsid w:val="00411E52"/>
    <w:pPr>
      <w:keepNext w:val="0"/>
      <w:keepLines w:val="0"/>
      <w:numPr>
        <w:numId w:val="12"/>
      </w:numPr>
      <w:tabs>
        <w:tab w:val="clear" w:pos="360"/>
        <w:tab w:val="num" w:pos="720"/>
      </w:tabs>
      <w:spacing w:before="240" w:after="60" w:line="240" w:lineRule="auto"/>
      <w:ind w:left="720"/>
      <w:jc w:val="both"/>
    </w:pPr>
    <w:rPr>
      <w:rFonts w:ascii="Arial" w:eastAsia="Times New Roman" w:hAnsi="Arial"/>
      <w:b/>
      <w:color w:val="auto"/>
      <w:sz w:val="24"/>
      <w:szCs w:val="24"/>
      <w:lang w:val="en-CA" w:eastAsia="en-US"/>
    </w:rPr>
  </w:style>
  <w:style w:type="character" w:customStyle="1" w:styleId="ListParagraphChar">
    <w:name w:val="List Paragraph Char"/>
    <w:link w:val="ListParagraph"/>
    <w:uiPriority w:val="34"/>
    <w:locked/>
    <w:rsid w:val="00411E52"/>
  </w:style>
  <w:style w:type="character" w:customStyle="1" w:styleId="Heading5Char">
    <w:name w:val="Heading 5 Char"/>
    <w:link w:val="Heading5"/>
    <w:uiPriority w:val="9"/>
    <w:semiHidden/>
    <w:rsid w:val="00411E52"/>
    <w:rPr>
      <w:rFonts w:ascii="Calibri Light" w:eastAsia="DengXian Light" w:hAnsi="Calibri Light" w:cs="Times New Roman"/>
      <w:color w:val="2F5496"/>
    </w:rPr>
  </w:style>
  <w:style w:type="character" w:styleId="Strong">
    <w:name w:val="Strong"/>
    <w:uiPriority w:val="22"/>
    <w:qFormat/>
    <w:rsid w:val="00D423C0"/>
    <w:rPr>
      <w:b/>
      <w:bCs/>
    </w:rPr>
  </w:style>
  <w:style w:type="character" w:styleId="FollowedHyperlink">
    <w:name w:val="FollowedHyperlink"/>
    <w:uiPriority w:val="99"/>
    <w:semiHidden/>
    <w:unhideWhenUsed/>
    <w:rsid w:val="008B07EF"/>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134">
      <w:bodyDiv w:val="1"/>
      <w:marLeft w:val="0"/>
      <w:marRight w:val="0"/>
      <w:marTop w:val="0"/>
      <w:marBottom w:val="0"/>
      <w:divBdr>
        <w:top w:val="none" w:sz="0" w:space="0" w:color="auto"/>
        <w:left w:val="none" w:sz="0" w:space="0" w:color="auto"/>
        <w:bottom w:val="none" w:sz="0" w:space="0" w:color="auto"/>
        <w:right w:val="none" w:sz="0" w:space="0" w:color="auto"/>
      </w:divBdr>
      <w:divsChild>
        <w:div w:id="1292705691">
          <w:marLeft w:val="907"/>
          <w:marRight w:val="0"/>
          <w:marTop w:val="0"/>
          <w:marBottom w:val="0"/>
          <w:divBdr>
            <w:top w:val="none" w:sz="0" w:space="0" w:color="auto"/>
            <w:left w:val="none" w:sz="0" w:space="0" w:color="auto"/>
            <w:bottom w:val="none" w:sz="0" w:space="0" w:color="auto"/>
            <w:right w:val="none" w:sz="0" w:space="0" w:color="auto"/>
          </w:divBdr>
        </w:div>
        <w:div w:id="998994090">
          <w:marLeft w:val="1354"/>
          <w:marRight w:val="0"/>
          <w:marTop w:val="0"/>
          <w:marBottom w:val="0"/>
          <w:divBdr>
            <w:top w:val="none" w:sz="0" w:space="0" w:color="auto"/>
            <w:left w:val="none" w:sz="0" w:space="0" w:color="auto"/>
            <w:bottom w:val="none" w:sz="0" w:space="0" w:color="auto"/>
            <w:right w:val="none" w:sz="0" w:space="0" w:color="auto"/>
          </w:divBdr>
        </w:div>
        <w:div w:id="1696150152">
          <w:marLeft w:val="1354"/>
          <w:marRight w:val="0"/>
          <w:marTop w:val="0"/>
          <w:marBottom w:val="0"/>
          <w:divBdr>
            <w:top w:val="none" w:sz="0" w:space="0" w:color="auto"/>
            <w:left w:val="none" w:sz="0" w:space="0" w:color="auto"/>
            <w:bottom w:val="none" w:sz="0" w:space="0" w:color="auto"/>
            <w:right w:val="none" w:sz="0" w:space="0" w:color="auto"/>
          </w:divBdr>
        </w:div>
        <w:div w:id="2131900085">
          <w:marLeft w:val="1354"/>
          <w:marRight w:val="0"/>
          <w:marTop w:val="0"/>
          <w:marBottom w:val="0"/>
          <w:divBdr>
            <w:top w:val="none" w:sz="0" w:space="0" w:color="auto"/>
            <w:left w:val="none" w:sz="0" w:space="0" w:color="auto"/>
            <w:bottom w:val="none" w:sz="0" w:space="0" w:color="auto"/>
            <w:right w:val="none" w:sz="0" w:space="0" w:color="auto"/>
          </w:divBdr>
        </w:div>
        <w:div w:id="1285574430">
          <w:marLeft w:val="1354"/>
          <w:marRight w:val="0"/>
          <w:marTop w:val="0"/>
          <w:marBottom w:val="0"/>
          <w:divBdr>
            <w:top w:val="none" w:sz="0" w:space="0" w:color="auto"/>
            <w:left w:val="none" w:sz="0" w:space="0" w:color="auto"/>
            <w:bottom w:val="none" w:sz="0" w:space="0" w:color="auto"/>
            <w:right w:val="none" w:sz="0" w:space="0" w:color="auto"/>
          </w:divBdr>
        </w:div>
        <w:div w:id="712535129">
          <w:marLeft w:val="1354"/>
          <w:marRight w:val="0"/>
          <w:marTop w:val="0"/>
          <w:marBottom w:val="0"/>
          <w:divBdr>
            <w:top w:val="none" w:sz="0" w:space="0" w:color="auto"/>
            <w:left w:val="none" w:sz="0" w:space="0" w:color="auto"/>
            <w:bottom w:val="none" w:sz="0" w:space="0" w:color="auto"/>
            <w:right w:val="none" w:sz="0" w:space="0" w:color="auto"/>
          </w:divBdr>
        </w:div>
        <w:div w:id="1983727802">
          <w:marLeft w:val="1354"/>
          <w:marRight w:val="0"/>
          <w:marTop w:val="0"/>
          <w:marBottom w:val="0"/>
          <w:divBdr>
            <w:top w:val="none" w:sz="0" w:space="0" w:color="auto"/>
            <w:left w:val="none" w:sz="0" w:space="0" w:color="auto"/>
            <w:bottom w:val="none" w:sz="0" w:space="0" w:color="auto"/>
            <w:right w:val="none" w:sz="0" w:space="0" w:color="auto"/>
          </w:divBdr>
        </w:div>
        <w:div w:id="931860642">
          <w:marLeft w:val="907"/>
          <w:marRight w:val="0"/>
          <w:marTop w:val="0"/>
          <w:marBottom w:val="0"/>
          <w:divBdr>
            <w:top w:val="none" w:sz="0" w:space="0" w:color="auto"/>
            <w:left w:val="none" w:sz="0" w:space="0" w:color="auto"/>
            <w:bottom w:val="none" w:sz="0" w:space="0" w:color="auto"/>
            <w:right w:val="none" w:sz="0" w:space="0" w:color="auto"/>
          </w:divBdr>
        </w:div>
        <w:div w:id="1089355127">
          <w:marLeft w:val="907"/>
          <w:marRight w:val="0"/>
          <w:marTop w:val="0"/>
          <w:marBottom w:val="0"/>
          <w:divBdr>
            <w:top w:val="none" w:sz="0" w:space="0" w:color="auto"/>
            <w:left w:val="none" w:sz="0" w:space="0" w:color="auto"/>
            <w:bottom w:val="none" w:sz="0" w:space="0" w:color="auto"/>
            <w:right w:val="none" w:sz="0" w:space="0" w:color="auto"/>
          </w:divBdr>
        </w:div>
        <w:div w:id="342824833">
          <w:marLeft w:val="907"/>
          <w:marRight w:val="0"/>
          <w:marTop w:val="0"/>
          <w:marBottom w:val="0"/>
          <w:divBdr>
            <w:top w:val="none" w:sz="0" w:space="0" w:color="auto"/>
            <w:left w:val="none" w:sz="0" w:space="0" w:color="auto"/>
            <w:bottom w:val="none" w:sz="0" w:space="0" w:color="auto"/>
            <w:right w:val="none" w:sz="0" w:space="0" w:color="auto"/>
          </w:divBdr>
        </w:div>
        <w:div w:id="862400023">
          <w:marLeft w:val="1354"/>
          <w:marRight w:val="0"/>
          <w:marTop w:val="0"/>
          <w:marBottom w:val="0"/>
          <w:divBdr>
            <w:top w:val="none" w:sz="0" w:space="0" w:color="auto"/>
            <w:left w:val="none" w:sz="0" w:space="0" w:color="auto"/>
            <w:bottom w:val="none" w:sz="0" w:space="0" w:color="auto"/>
            <w:right w:val="none" w:sz="0" w:space="0" w:color="auto"/>
          </w:divBdr>
        </w:div>
        <w:div w:id="1504398041">
          <w:marLeft w:val="907"/>
          <w:marRight w:val="0"/>
          <w:marTop w:val="0"/>
          <w:marBottom w:val="0"/>
          <w:divBdr>
            <w:top w:val="none" w:sz="0" w:space="0" w:color="auto"/>
            <w:left w:val="none" w:sz="0" w:space="0" w:color="auto"/>
            <w:bottom w:val="none" w:sz="0" w:space="0" w:color="auto"/>
            <w:right w:val="none" w:sz="0" w:space="0" w:color="auto"/>
          </w:divBdr>
        </w:div>
        <w:div w:id="1685786437">
          <w:marLeft w:val="1354"/>
          <w:marRight w:val="0"/>
          <w:marTop w:val="0"/>
          <w:marBottom w:val="0"/>
          <w:divBdr>
            <w:top w:val="none" w:sz="0" w:space="0" w:color="auto"/>
            <w:left w:val="none" w:sz="0" w:space="0" w:color="auto"/>
            <w:bottom w:val="none" w:sz="0" w:space="0" w:color="auto"/>
            <w:right w:val="none" w:sz="0" w:space="0" w:color="auto"/>
          </w:divBdr>
        </w:div>
        <w:div w:id="1286736452">
          <w:marLeft w:val="907"/>
          <w:marRight w:val="0"/>
          <w:marTop w:val="0"/>
          <w:marBottom w:val="0"/>
          <w:divBdr>
            <w:top w:val="none" w:sz="0" w:space="0" w:color="auto"/>
            <w:left w:val="none" w:sz="0" w:space="0" w:color="auto"/>
            <w:bottom w:val="none" w:sz="0" w:space="0" w:color="auto"/>
            <w:right w:val="none" w:sz="0" w:space="0" w:color="auto"/>
          </w:divBdr>
        </w:div>
        <w:div w:id="1100876346">
          <w:marLeft w:val="1354"/>
          <w:marRight w:val="0"/>
          <w:marTop w:val="0"/>
          <w:marBottom w:val="0"/>
          <w:divBdr>
            <w:top w:val="none" w:sz="0" w:space="0" w:color="auto"/>
            <w:left w:val="none" w:sz="0" w:space="0" w:color="auto"/>
            <w:bottom w:val="none" w:sz="0" w:space="0" w:color="auto"/>
            <w:right w:val="none" w:sz="0" w:space="0" w:color="auto"/>
          </w:divBdr>
        </w:div>
        <w:div w:id="2090492414">
          <w:marLeft w:val="1354"/>
          <w:marRight w:val="0"/>
          <w:marTop w:val="0"/>
          <w:marBottom w:val="0"/>
          <w:divBdr>
            <w:top w:val="none" w:sz="0" w:space="0" w:color="auto"/>
            <w:left w:val="none" w:sz="0" w:space="0" w:color="auto"/>
            <w:bottom w:val="none" w:sz="0" w:space="0" w:color="auto"/>
            <w:right w:val="none" w:sz="0" w:space="0" w:color="auto"/>
          </w:divBdr>
        </w:div>
      </w:divsChild>
    </w:div>
    <w:div w:id="20447922">
      <w:bodyDiv w:val="1"/>
      <w:marLeft w:val="0"/>
      <w:marRight w:val="0"/>
      <w:marTop w:val="0"/>
      <w:marBottom w:val="0"/>
      <w:divBdr>
        <w:top w:val="none" w:sz="0" w:space="0" w:color="auto"/>
        <w:left w:val="none" w:sz="0" w:space="0" w:color="auto"/>
        <w:bottom w:val="none" w:sz="0" w:space="0" w:color="auto"/>
        <w:right w:val="none" w:sz="0" w:space="0" w:color="auto"/>
      </w:divBdr>
      <w:divsChild>
        <w:div w:id="2088727980">
          <w:marLeft w:val="274"/>
          <w:marRight w:val="0"/>
          <w:marTop w:val="120"/>
          <w:marBottom w:val="0"/>
          <w:divBdr>
            <w:top w:val="none" w:sz="0" w:space="0" w:color="auto"/>
            <w:left w:val="none" w:sz="0" w:space="0" w:color="auto"/>
            <w:bottom w:val="none" w:sz="0" w:space="0" w:color="auto"/>
            <w:right w:val="none" w:sz="0" w:space="0" w:color="auto"/>
          </w:divBdr>
        </w:div>
      </w:divsChild>
    </w:div>
    <w:div w:id="24839574">
      <w:bodyDiv w:val="1"/>
      <w:marLeft w:val="0"/>
      <w:marRight w:val="0"/>
      <w:marTop w:val="0"/>
      <w:marBottom w:val="0"/>
      <w:divBdr>
        <w:top w:val="none" w:sz="0" w:space="0" w:color="auto"/>
        <w:left w:val="none" w:sz="0" w:space="0" w:color="auto"/>
        <w:bottom w:val="none" w:sz="0" w:space="0" w:color="auto"/>
        <w:right w:val="none" w:sz="0" w:space="0" w:color="auto"/>
      </w:divBdr>
    </w:div>
    <w:div w:id="64961905">
      <w:bodyDiv w:val="1"/>
      <w:marLeft w:val="0"/>
      <w:marRight w:val="0"/>
      <w:marTop w:val="0"/>
      <w:marBottom w:val="0"/>
      <w:divBdr>
        <w:top w:val="none" w:sz="0" w:space="0" w:color="auto"/>
        <w:left w:val="none" w:sz="0" w:space="0" w:color="auto"/>
        <w:bottom w:val="none" w:sz="0" w:space="0" w:color="auto"/>
        <w:right w:val="none" w:sz="0" w:space="0" w:color="auto"/>
      </w:divBdr>
    </w:div>
    <w:div w:id="101263487">
      <w:bodyDiv w:val="1"/>
      <w:marLeft w:val="0"/>
      <w:marRight w:val="0"/>
      <w:marTop w:val="0"/>
      <w:marBottom w:val="0"/>
      <w:divBdr>
        <w:top w:val="none" w:sz="0" w:space="0" w:color="auto"/>
        <w:left w:val="none" w:sz="0" w:space="0" w:color="auto"/>
        <w:bottom w:val="none" w:sz="0" w:space="0" w:color="auto"/>
        <w:right w:val="none" w:sz="0" w:space="0" w:color="auto"/>
      </w:divBdr>
      <w:divsChild>
        <w:div w:id="700596146">
          <w:marLeft w:val="547"/>
          <w:marRight w:val="0"/>
          <w:marTop w:val="120"/>
          <w:marBottom w:val="0"/>
          <w:divBdr>
            <w:top w:val="none" w:sz="0" w:space="0" w:color="auto"/>
            <w:left w:val="none" w:sz="0" w:space="0" w:color="auto"/>
            <w:bottom w:val="none" w:sz="0" w:space="0" w:color="auto"/>
            <w:right w:val="none" w:sz="0" w:space="0" w:color="auto"/>
          </w:divBdr>
        </w:div>
        <w:div w:id="773595959">
          <w:marLeft w:val="547"/>
          <w:marRight w:val="0"/>
          <w:marTop w:val="120"/>
          <w:marBottom w:val="0"/>
          <w:divBdr>
            <w:top w:val="none" w:sz="0" w:space="0" w:color="auto"/>
            <w:left w:val="none" w:sz="0" w:space="0" w:color="auto"/>
            <w:bottom w:val="none" w:sz="0" w:space="0" w:color="auto"/>
            <w:right w:val="none" w:sz="0" w:space="0" w:color="auto"/>
          </w:divBdr>
        </w:div>
        <w:div w:id="1973436354">
          <w:marLeft w:val="547"/>
          <w:marRight w:val="0"/>
          <w:marTop w:val="120"/>
          <w:marBottom w:val="0"/>
          <w:divBdr>
            <w:top w:val="none" w:sz="0" w:space="0" w:color="auto"/>
            <w:left w:val="none" w:sz="0" w:space="0" w:color="auto"/>
            <w:bottom w:val="none" w:sz="0" w:space="0" w:color="auto"/>
            <w:right w:val="none" w:sz="0" w:space="0" w:color="auto"/>
          </w:divBdr>
        </w:div>
      </w:divsChild>
    </w:div>
    <w:div w:id="137460474">
      <w:bodyDiv w:val="1"/>
      <w:marLeft w:val="0"/>
      <w:marRight w:val="0"/>
      <w:marTop w:val="0"/>
      <w:marBottom w:val="0"/>
      <w:divBdr>
        <w:top w:val="none" w:sz="0" w:space="0" w:color="auto"/>
        <w:left w:val="none" w:sz="0" w:space="0" w:color="auto"/>
        <w:bottom w:val="none" w:sz="0" w:space="0" w:color="auto"/>
        <w:right w:val="none" w:sz="0" w:space="0" w:color="auto"/>
      </w:divBdr>
    </w:div>
    <w:div w:id="149519664">
      <w:bodyDiv w:val="1"/>
      <w:marLeft w:val="0"/>
      <w:marRight w:val="0"/>
      <w:marTop w:val="0"/>
      <w:marBottom w:val="0"/>
      <w:divBdr>
        <w:top w:val="none" w:sz="0" w:space="0" w:color="auto"/>
        <w:left w:val="none" w:sz="0" w:space="0" w:color="auto"/>
        <w:bottom w:val="none" w:sz="0" w:space="0" w:color="auto"/>
        <w:right w:val="none" w:sz="0" w:space="0" w:color="auto"/>
      </w:divBdr>
    </w:div>
    <w:div w:id="212155878">
      <w:bodyDiv w:val="1"/>
      <w:marLeft w:val="0"/>
      <w:marRight w:val="0"/>
      <w:marTop w:val="0"/>
      <w:marBottom w:val="0"/>
      <w:divBdr>
        <w:top w:val="none" w:sz="0" w:space="0" w:color="auto"/>
        <w:left w:val="none" w:sz="0" w:space="0" w:color="auto"/>
        <w:bottom w:val="none" w:sz="0" w:space="0" w:color="auto"/>
        <w:right w:val="none" w:sz="0" w:space="0" w:color="auto"/>
      </w:divBdr>
    </w:div>
    <w:div w:id="215551132">
      <w:bodyDiv w:val="1"/>
      <w:marLeft w:val="0"/>
      <w:marRight w:val="0"/>
      <w:marTop w:val="0"/>
      <w:marBottom w:val="0"/>
      <w:divBdr>
        <w:top w:val="none" w:sz="0" w:space="0" w:color="auto"/>
        <w:left w:val="none" w:sz="0" w:space="0" w:color="auto"/>
        <w:bottom w:val="none" w:sz="0" w:space="0" w:color="auto"/>
        <w:right w:val="none" w:sz="0" w:space="0" w:color="auto"/>
      </w:divBdr>
    </w:div>
    <w:div w:id="278878649">
      <w:bodyDiv w:val="1"/>
      <w:marLeft w:val="0"/>
      <w:marRight w:val="0"/>
      <w:marTop w:val="0"/>
      <w:marBottom w:val="0"/>
      <w:divBdr>
        <w:top w:val="none" w:sz="0" w:space="0" w:color="auto"/>
        <w:left w:val="none" w:sz="0" w:space="0" w:color="auto"/>
        <w:bottom w:val="none" w:sz="0" w:space="0" w:color="auto"/>
        <w:right w:val="none" w:sz="0" w:space="0" w:color="auto"/>
      </w:divBdr>
    </w:div>
    <w:div w:id="357855415">
      <w:bodyDiv w:val="1"/>
      <w:marLeft w:val="0"/>
      <w:marRight w:val="0"/>
      <w:marTop w:val="0"/>
      <w:marBottom w:val="0"/>
      <w:divBdr>
        <w:top w:val="none" w:sz="0" w:space="0" w:color="auto"/>
        <w:left w:val="none" w:sz="0" w:space="0" w:color="auto"/>
        <w:bottom w:val="none" w:sz="0" w:space="0" w:color="auto"/>
        <w:right w:val="none" w:sz="0" w:space="0" w:color="auto"/>
      </w:divBdr>
    </w:div>
    <w:div w:id="393233990">
      <w:bodyDiv w:val="1"/>
      <w:marLeft w:val="0"/>
      <w:marRight w:val="0"/>
      <w:marTop w:val="0"/>
      <w:marBottom w:val="0"/>
      <w:divBdr>
        <w:top w:val="none" w:sz="0" w:space="0" w:color="auto"/>
        <w:left w:val="none" w:sz="0" w:space="0" w:color="auto"/>
        <w:bottom w:val="none" w:sz="0" w:space="0" w:color="auto"/>
        <w:right w:val="none" w:sz="0" w:space="0" w:color="auto"/>
      </w:divBdr>
      <w:divsChild>
        <w:div w:id="1075005358">
          <w:marLeft w:val="0"/>
          <w:marRight w:val="0"/>
          <w:marTop w:val="150"/>
          <w:marBottom w:val="0"/>
          <w:divBdr>
            <w:top w:val="none" w:sz="0" w:space="0" w:color="auto"/>
            <w:left w:val="none" w:sz="0" w:space="0" w:color="auto"/>
            <w:bottom w:val="none" w:sz="0" w:space="0" w:color="auto"/>
            <w:right w:val="none" w:sz="0" w:space="0" w:color="auto"/>
          </w:divBdr>
        </w:div>
        <w:div w:id="1785881224">
          <w:marLeft w:val="0"/>
          <w:marRight w:val="0"/>
          <w:marTop w:val="150"/>
          <w:marBottom w:val="0"/>
          <w:divBdr>
            <w:top w:val="none" w:sz="0" w:space="0" w:color="auto"/>
            <w:left w:val="none" w:sz="0" w:space="0" w:color="auto"/>
            <w:bottom w:val="none" w:sz="0" w:space="0" w:color="auto"/>
            <w:right w:val="none" w:sz="0" w:space="0" w:color="auto"/>
          </w:divBdr>
        </w:div>
        <w:div w:id="1879077394">
          <w:marLeft w:val="0"/>
          <w:marRight w:val="0"/>
          <w:marTop w:val="150"/>
          <w:marBottom w:val="0"/>
          <w:divBdr>
            <w:top w:val="none" w:sz="0" w:space="0" w:color="auto"/>
            <w:left w:val="none" w:sz="0" w:space="0" w:color="auto"/>
            <w:bottom w:val="none" w:sz="0" w:space="0" w:color="auto"/>
            <w:right w:val="none" w:sz="0" w:space="0" w:color="auto"/>
          </w:divBdr>
        </w:div>
      </w:divsChild>
    </w:div>
    <w:div w:id="494417765">
      <w:bodyDiv w:val="1"/>
      <w:marLeft w:val="0"/>
      <w:marRight w:val="0"/>
      <w:marTop w:val="0"/>
      <w:marBottom w:val="0"/>
      <w:divBdr>
        <w:top w:val="none" w:sz="0" w:space="0" w:color="auto"/>
        <w:left w:val="none" w:sz="0" w:space="0" w:color="auto"/>
        <w:bottom w:val="none" w:sz="0" w:space="0" w:color="auto"/>
        <w:right w:val="none" w:sz="0" w:space="0" w:color="auto"/>
      </w:divBdr>
    </w:div>
    <w:div w:id="596904850">
      <w:bodyDiv w:val="1"/>
      <w:marLeft w:val="0"/>
      <w:marRight w:val="0"/>
      <w:marTop w:val="0"/>
      <w:marBottom w:val="0"/>
      <w:divBdr>
        <w:top w:val="none" w:sz="0" w:space="0" w:color="auto"/>
        <w:left w:val="none" w:sz="0" w:space="0" w:color="auto"/>
        <w:bottom w:val="none" w:sz="0" w:space="0" w:color="auto"/>
        <w:right w:val="none" w:sz="0" w:space="0" w:color="auto"/>
      </w:divBdr>
    </w:div>
    <w:div w:id="651720108">
      <w:bodyDiv w:val="1"/>
      <w:marLeft w:val="0"/>
      <w:marRight w:val="0"/>
      <w:marTop w:val="0"/>
      <w:marBottom w:val="0"/>
      <w:divBdr>
        <w:top w:val="none" w:sz="0" w:space="0" w:color="auto"/>
        <w:left w:val="none" w:sz="0" w:space="0" w:color="auto"/>
        <w:bottom w:val="none" w:sz="0" w:space="0" w:color="auto"/>
        <w:right w:val="none" w:sz="0" w:space="0" w:color="auto"/>
      </w:divBdr>
    </w:div>
    <w:div w:id="706297116">
      <w:bodyDiv w:val="1"/>
      <w:marLeft w:val="0"/>
      <w:marRight w:val="0"/>
      <w:marTop w:val="0"/>
      <w:marBottom w:val="0"/>
      <w:divBdr>
        <w:top w:val="none" w:sz="0" w:space="0" w:color="auto"/>
        <w:left w:val="none" w:sz="0" w:space="0" w:color="auto"/>
        <w:bottom w:val="none" w:sz="0" w:space="0" w:color="auto"/>
        <w:right w:val="none" w:sz="0" w:space="0" w:color="auto"/>
      </w:divBdr>
    </w:div>
    <w:div w:id="992412142">
      <w:bodyDiv w:val="1"/>
      <w:marLeft w:val="0"/>
      <w:marRight w:val="0"/>
      <w:marTop w:val="0"/>
      <w:marBottom w:val="0"/>
      <w:divBdr>
        <w:top w:val="none" w:sz="0" w:space="0" w:color="auto"/>
        <w:left w:val="none" w:sz="0" w:space="0" w:color="auto"/>
        <w:bottom w:val="none" w:sz="0" w:space="0" w:color="auto"/>
        <w:right w:val="none" w:sz="0" w:space="0" w:color="auto"/>
      </w:divBdr>
    </w:div>
    <w:div w:id="1036001948">
      <w:bodyDiv w:val="1"/>
      <w:marLeft w:val="0"/>
      <w:marRight w:val="0"/>
      <w:marTop w:val="0"/>
      <w:marBottom w:val="0"/>
      <w:divBdr>
        <w:top w:val="none" w:sz="0" w:space="0" w:color="auto"/>
        <w:left w:val="none" w:sz="0" w:space="0" w:color="auto"/>
        <w:bottom w:val="none" w:sz="0" w:space="0" w:color="auto"/>
        <w:right w:val="none" w:sz="0" w:space="0" w:color="auto"/>
      </w:divBdr>
    </w:div>
    <w:div w:id="1038166509">
      <w:bodyDiv w:val="1"/>
      <w:marLeft w:val="0"/>
      <w:marRight w:val="0"/>
      <w:marTop w:val="0"/>
      <w:marBottom w:val="0"/>
      <w:divBdr>
        <w:top w:val="none" w:sz="0" w:space="0" w:color="auto"/>
        <w:left w:val="none" w:sz="0" w:space="0" w:color="auto"/>
        <w:bottom w:val="none" w:sz="0" w:space="0" w:color="auto"/>
        <w:right w:val="none" w:sz="0" w:space="0" w:color="auto"/>
      </w:divBdr>
    </w:div>
    <w:div w:id="1231966873">
      <w:bodyDiv w:val="1"/>
      <w:marLeft w:val="0"/>
      <w:marRight w:val="0"/>
      <w:marTop w:val="0"/>
      <w:marBottom w:val="0"/>
      <w:divBdr>
        <w:top w:val="none" w:sz="0" w:space="0" w:color="auto"/>
        <w:left w:val="none" w:sz="0" w:space="0" w:color="auto"/>
        <w:bottom w:val="none" w:sz="0" w:space="0" w:color="auto"/>
        <w:right w:val="none" w:sz="0" w:space="0" w:color="auto"/>
      </w:divBdr>
      <w:divsChild>
        <w:div w:id="1538353556">
          <w:marLeft w:val="274"/>
          <w:marRight w:val="0"/>
          <w:marTop w:val="0"/>
          <w:marBottom w:val="0"/>
          <w:divBdr>
            <w:top w:val="none" w:sz="0" w:space="0" w:color="auto"/>
            <w:left w:val="none" w:sz="0" w:space="0" w:color="auto"/>
            <w:bottom w:val="none" w:sz="0" w:space="0" w:color="auto"/>
            <w:right w:val="none" w:sz="0" w:space="0" w:color="auto"/>
          </w:divBdr>
        </w:div>
        <w:div w:id="1878883491">
          <w:marLeft w:val="274"/>
          <w:marRight w:val="0"/>
          <w:marTop w:val="0"/>
          <w:marBottom w:val="0"/>
          <w:divBdr>
            <w:top w:val="none" w:sz="0" w:space="0" w:color="auto"/>
            <w:left w:val="none" w:sz="0" w:space="0" w:color="auto"/>
            <w:bottom w:val="none" w:sz="0" w:space="0" w:color="auto"/>
            <w:right w:val="none" w:sz="0" w:space="0" w:color="auto"/>
          </w:divBdr>
        </w:div>
        <w:div w:id="2135513453">
          <w:marLeft w:val="274"/>
          <w:marRight w:val="0"/>
          <w:marTop w:val="0"/>
          <w:marBottom w:val="0"/>
          <w:divBdr>
            <w:top w:val="none" w:sz="0" w:space="0" w:color="auto"/>
            <w:left w:val="none" w:sz="0" w:space="0" w:color="auto"/>
            <w:bottom w:val="none" w:sz="0" w:space="0" w:color="auto"/>
            <w:right w:val="none" w:sz="0" w:space="0" w:color="auto"/>
          </w:divBdr>
        </w:div>
      </w:divsChild>
    </w:div>
    <w:div w:id="1233589660">
      <w:bodyDiv w:val="1"/>
      <w:marLeft w:val="0"/>
      <w:marRight w:val="0"/>
      <w:marTop w:val="0"/>
      <w:marBottom w:val="0"/>
      <w:divBdr>
        <w:top w:val="none" w:sz="0" w:space="0" w:color="auto"/>
        <w:left w:val="none" w:sz="0" w:space="0" w:color="auto"/>
        <w:bottom w:val="none" w:sz="0" w:space="0" w:color="auto"/>
        <w:right w:val="none" w:sz="0" w:space="0" w:color="auto"/>
      </w:divBdr>
    </w:div>
    <w:div w:id="1274366495">
      <w:bodyDiv w:val="1"/>
      <w:marLeft w:val="0"/>
      <w:marRight w:val="0"/>
      <w:marTop w:val="0"/>
      <w:marBottom w:val="0"/>
      <w:divBdr>
        <w:top w:val="none" w:sz="0" w:space="0" w:color="auto"/>
        <w:left w:val="none" w:sz="0" w:space="0" w:color="auto"/>
        <w:bottom w:val="none" w:sz="0" w:space="0" w:color="auto"/>
        <w:right w:val="none" w:sz="0" w:space="0" w:color="auto"/>
      </w:divBdr>
    </w:div>
    <w:div w:id="1364284446">
      <w:bodyDiv w:val="1"/>
      <w:marLeft w:val="0"/>
      <w:marRight w:val="0"/>
      <w:marTop w:val="0"/>
      <w:marBottom w:val="0"/>
      <w:divBdr>
        <w:top w:val="none" w:sz="0" w:space="0" w:color="auto"/>
        <w:left w:val="none" w:sz="0" w:space="0" w:color="auto"/>
        <w:bottom w:val="none" w:sz="0" w:space="0" w:color="auto"/>
        <w:right w:val="none" w:sz="0" w:space="0" w:color="auto"/>
      </w:divBdr>
    </w:div>
    <w:div w:id="1438214905">
      <w:bodyDiv w:val="1"/>
      <w:marLeft w:val="0"/>
      <w:marRight w:val="0"/>
      <w:marTop w:val="0"/>
      <w:marBottom w:val="0"/>
      <w:divBdr>
        <w:top w:val="none" w:sz="0" w:space="0" w:color="auto"/>
        <w:left w:val="none" w:sz="0" w:space="0" w:color="auto"/>
        <w:bottom w:val="none" w:sz="0" w:space="0" w:color="auto"/>
        <w:right w:val="none" w:sz="0" w:space="0" w:color="auto"/>
      </w:divBdr>
      <w:divsChild>
        <w:div w:id="1447042509">
          <w:marLeft w:val="547"/>
          <w:marRight w:val="0"/>
          <w:marTop w:val="0"/>
          <w:marBottom w:val="0"/>
          <w:divBdr>
            <w:top w:val="none" w:sz="0" w:space="0" w:color="auto"/>
            <w:left w:val="none" w:sz="0" w:space="0" w:color="auto"/>
            <w:bottom w:val="none" w:sz="0" w:space="0" w:color="auto"/>
            <w:right w:val="none" w:sz="0" w:space="0" w:color="auto"/>
          </w:divBdr>
        </w:div>
      </w:divsChild>
    </w:div>
    <w:div w:id="1616908891">
      <w:bodyDiv w:val="1"/>
      <w:marLeft w:val="0"/>
      <w:marRight w:val="0"/>
      <w:marTop w:val="0"/>
      <w:marBottom w:val="0"/>
      <w:divBdr>
        <w:top w:val="none" w:sz="0" w:space="0" w:color="auto"/>
        <w:left w:val="none" w:sz="0" w:space="0" w:color="auto"/>
        <w:bottom w:val="none" w:sz="0" w:space="0" w:color="auto"/>
        <w:right w:val="none" w:sz="0" w:space="0" w:color="auto"/>
      </w:divBdr>
      <w:divsChild>
        <w:div w:id="282615959">
          <w:marLeft w:val="360"/>
          <w:marRight w:val="0"/>
          <w:marTop w:val="0"/>
          <w:marBottom w:val="0"/>
          <w:divBdr>
            <w:top w:val="none" w:sz="0" w:space="0" w:color="auto"/>
            <w:left w:val="none" w:sz="0" w:space="0" w:color="auto"/>
            <w:bottom w:val="none" w:sz="0" w:space="0" w:color="auto"/>
            <w:right w:val="none" w:sz="0" w:space="0" w:color="auto"/>
          </w:divBdr>
        </w:div>
        <w:div w:id="1296637524">
          <w:marLeft w:val="994"/>
          <w:marRight w:val="0"/>
          <w:marTop w:val="0"/>
          <w:marBottom w:val="0"/>
          <w:divBdr>
            <w:top w:val="none" w:sz="0" w:space="0" w:color="auto"/>
            <w:left w:val="none" w:sz="0" w:space="0" w:color="auto"/>
            <w:bottom w:val="none" w:sz="0" w:space="0" w:color="auto"/>
            <w:right w:val="none" w:sz="0" w:space="0" w:color="auto"/>
          </w:divBdr>
        </w:div>
        <w:div w:id="846019920">
          <w:marLeft w:val="994"/>
          <w:marRight w:val="0"/>
          <w:marTop w:val="0"/>
          <w:marBottom w:val="0"/>
          <w:divBdr>
            <w:top w:val="none" w:sz="0" w:space="0" w:color="auto"/>
            <w:left w:val="none" w:sz="0" w:space="0" w:color="auto"/>
            <w:bottom w:val="none" w:sz="0" w:space="0" w:color="auto"/>
            <w:right w:val="none" w:sz="0" w:space="0" w:color="auto"/>
          </w:divBdr>
        </w:div>
        <w:div w:id="1343118459">
          <w:marLeft w:val="994"/>
          <w:marRight w:val="0"/>
          <w:marTop w:val="0"/>
          <w:marBottom w:val="0"/>
          <w:divBdr>
            <w:top w:val="none" w:sz="0" w:space="0" w:color="auto"/>
            <w:left w:val="none" w:sz="0" w:space="0" w:color="auto"/>
            <w:bottom w:val="none" w:sz="0" w:space="0" w:color="auto"/>
            <w:right w:val="none" w:sz="0" w:space="0" w:color="auto"/>
          </w:divBdr>
        </w:div>
        <w:div w:id="2067802548">
          <w:marLeft w:val="994"/>
          <w:marRight w:val="0"/>
          <w:marTop w:val="0"/>
          <w:marBottom w:val="0"/>
          <w:divBdr>
            <w:top w:val="none" w:sz="0" w:space="0" w:color="auto"/>
            <w:left w:val="none" w:sz="0" w:space="0" w:color="auto"/>
            <w:bottom w:val="none" w:sz="0" w:space="0" w:color="auto"/>
            <w:right w:val="none" w:sz="0" w:space="0" w:color="auto"/>
          </w:divBdr>
        </w:div>
        <w:div w:id="1002048815">
          <w:marLeft w:val="360"/>
          <w:marRight w:val="0"/>
          <w:marTop w:val="0"/>
          <w:marBottom w:val="0"/>
          <w:divBdr>
            <w:top w:val="none" w:sz="0" w:space="0" w:color="auto"/>
            <w:left w:val="none" w:sz="0" w:space="0" w:color="auto"/>
            <w:bottom w:val="none" w:sz="0" w:space="0" w:color="auto"/>
            <w:right w:val="none" w:sz="0" w:space="0" w:color="auto"/>
          </w:divBdr>
        </w:div>
        <w:div w:id="1255556089">
          <w:marLeft w:val="360"/>
          <w:marRight w:val="0"/>
          <w:marTop w:val="0"/>
          <w:marBottom w:val="0"/>
          <w:divBdr>
            <w:top w:val="none" w:sz="0" w:space="0" w:color="auto"/>
            <w:left w:val="none" w:sz="0" w:space="0" w:color="auto"/>
            <w:bottom w:val="none" w:sz="0" w:space="0" w:color="auto"/>
            <w:right w:val="none" w:sz="0" w:space="0" w:color="auto"/>
          </w:divBdr>
        </w:div>
        <w:div w:id="304553357">
          <w:marLeft w:val="360"/>
          <w:marRight w:val="0"/>
          <w:marTop w:val="0"/>
          <w:marBottom w:val="0"/>
          <w:divBdr>
            <w:top w:val="none" w:sz="0" w:space="0" w:color="auto"/>
            <w:left w:val="none" w:sz="0" w:space="0" w:color="auto"/>
            <w:bottom w:val="none" w:sz="0" w:space="0" w:color="auto"/>
            <w:right w:val="none" w:sz="0" w:space="0" w:color="auto"/>
          </w:divBdr>
        </w:div>
        <w:div w:id="1027027273">
          <w:marLeft w:val="994"/>
          <w:marRight w:val="0"/>
          <w:marTop w:val="0"/>
          <w:marBottom w:val="0"/>
          <w:divBdr>
            <w:top w:val="none" w:sz="0" w:space="0" w:color="auto"/>
            <w:left w:val="none" w:sz="0" w:space="0" w:color="auto"/>
            <w:bottom w:val="none" w:sz="0" w:space="0" w:color="auto"/>
            <w:right w:val="none" w:sz="0" w:space="0" w:color="auto"/>
          </w:divBdr>
        </w:div>
        <w:div w:id="1906253511">
          <w:marLeft w:val="994"/>
          <w:marRight w:val="0"/>
          <w:marTop w:val="0"/>
          <w:marBottom w:val="0"/>
          <w:divBdr>
            <w:top w:val="none" w:sz="0" w:space="0" w:color="auto"/>
            <w:left w:val="none" w:sz="0" w:space="0" w:color="auto"/>
            <w:bottom w:val="none" w:sz="0" w:space="0" w:color="auto"/>
            <w:right w:val="none" w:sz="0" w:space="0" w:color="auto"/>
          </w:divBdr>
        </w:div>
        <w:div w:id="1735349726">
          <w:marLeft w:val="994"/>
          <w:marRight w:val="0"/>
          <w:marTop w:val="0"/>
          <w:marBottom w:val="0"/>
          <w:divBdr>
            <w:top w:val="none" w:sz="0" w:space="0" w:color="auto"/>
            <w:left w:val="none" w:sz="0" w:space="0" w:color="auto"/>
            <w:bottom w:val="none" w:sz="0" w:space="0" w:color="auto"/>
            <w:right w:val="none" w:sz="0" w:space="0" w:color="auto"/>
          </w:divBdr>
        </w:div>
        <w:div w:id="1517765274">
          <w:marLeft w:val="360"/>
          <w:marRight w:val="0"/>
          <w:marTop w:val="0"/>
          <w:marBottom w:val="0"/>
          <w:divBdr>
            <w:top w:val="none" w:sz="0" w:space="0" w:color="auto"/>
            <w:left w:val="none" w:sz="0" w:space="0" w:color="auto"/>
            <w:bottom w:val="none" w:sz="0" w:space="0" w:color="auto"/>
            <w:right w:val="none" w:sz="0" w:space="0" w:color="auto"/>
          </w:divBdr>
        </w:div>
        <w:div w:id="370768861">
          <w:marLeft w:val="994"/>
          <w:marRight w:val="0"/>
          <w:marTop w:val="0"/>
          <w:marBottom w:val="0"/>
          <w:divBdr>
            <w:top w:val="none" w:sz="0" w:space="0" w:color="auto"/>
            <w:left w:val="none" w:sz="0" w:space="0" w:color="auto"/>
            <w:bottom w:val="none" w:sz="0" w:space="0" w:color="auto"/>
            <w:right w:val="none" w:sz="0" w:space="0" w:color="auto"/>
          </w:divBdr>
        </w:div>
        <w:div w:id="2041467040">
          <w:marLeft w:val="1714"/>
          <w:marRight w:val="0"/>
          <w:marTop w:val="0"/>
          <w:marBottom w:val="0"/>
          <w:divBdr>
            <w:top w:val="none" w:sz="0" w:space="0" w:color="auto"/>
            <w:left w:val="none" w:sz="0" w:space="0" w:color="auto"/>
            <w:bottom w:val="none" w:sz="0" w:space="0" w:color="auto"/>
            <w:right w:val="none" w:sz="0" w:space="0" w:color="auto"/>
          </w:divBdr>
        </w:div>
        <w:div w:id="1593314357">
          <w:marLeft w:val="2434"/>
          <w:marRight w:val="0"/>
          <w:marTop w:val="0"/>
          <w:marBottom w:val="0"/>
          <w:divBdr>
            <w:top w:val="none" w:sz="0" w:space="0" w:color="auto"/>
            <w:left w:val="none" w:sz="0" w:space="0" w:color="auto"/>
            <w:bottom w:val="none" w:sz="0" w:space="0" w:color="auto"/>
            <w:right w:val="none" w:sz="0" w:space="0" w:color="auto"/>
          </w:divBdr>
        </w:div>
        <w:div w:id="41364658">
          <w:marLeft w:val="2434"/>
          <w:marRight w:val="0"/>
          <w:marTop w:val="0"/>
          <w:marBottom w:val="0"/>
          <w:divBdr>
            <w:top w:val="none" w:sz="0" w:space="0" w:color="auto"/>
            <w:left w:val="none" w:sz="0" w:space="0" w:color="auto"/>
            <w:bottom w:val="none" w:sz="0" w:space="0" w:color="auto"/>
            <w:right w:val="none" w:sz="0" w:space="0" w:color="auto"/>
          </w:divBdr>
        </w:div>
        <w:div w:id="1390225211">
          <w:marLeft w:val="994"/>
          <w:marRight w:val="0"/>
          <w:marTop w:val="0"/>
          <w:marBottom w:val="0"/>
          <w:divBdr>
            <w:top w:val="none" w:sz="0" w:space="0" w:color="auto"/>
            <w:left w:val="none" w:sz="0" w:space="0" w:color="auto"/>
            <w:bottom w:val="none" w:sz="0" w:space="0" w:color="auto"/>
            <w:right w:val="none" w:sz="0" w:space="0" w:color="auto"/>
          </w:divBdr>
        </w:div>
        <w:div w:id="1950505029">
          <w:marLeft w:val="1714"/>
          <w:marRight w:val="0"/>
          <w:marTop w:val="0"/>
          <w:marBottom w:val="0"/>
          <w:divBdr>
            <w:top w:val="none" w:sz="0" w:space="0" w:color="auto"/>
            <w:left w:val="none" w:sz="0" w:space="0" w:color="auto"/>
            <w:bottom w:val="none" w:sz="0" w:space="0" w:color="auto"/>
            <w:right w:val="none" w:sz="0" w:space="0" w:color="auto"/>
          </w:divBdr>
        </w:div>
        <w:div w:id="815490375">
          <w:marLeft w:val="2434"/>
          <w:marRight w:val="0"/>
          <w:marTop w:val="0"/>
          <w:marBottom w:val="0"/>
          <w:divBdr>
            <w:top w:val="none" w:sz="0" w:space="0" w:color="auto"/>
            <w:left w:val="none" w:sz="0" w:space="0" w:color="auto"/>
            <w:bottom w:val="none" w:sz="0" w:space="0" w:color="auto"/>
            <w:right w:val="none" w:sz="0" w:space="0" w:color="auto"/>
          </w:divBdr>
        </w:div>
        <w:div w:id="185676505">
          <w:marLeft w:val="2434"/>
          <w:marRight w:val="0"/>
          <w:marTop w:val="0"/>
          <w:marBottom w:val="0"/>
          <w:divBdr>
            <w:top w:val="none" w:sz="0" w:space="0" w:color="auto"/>
            <w:left w:val="none" w:sz="0" w:space="0" w:color="auto"/>
            <w:bottom w:val="none" w:sz="0" w:space="0" w:color="auto"/>
            <w:right w:val="none" w:sz="0" w:space="0" w:color="auto"/>
          </w:divBdr>
        </w:div>
        <w:div w:id="556624539">
          <w:marLeft w:val="994"/>
          <w:marRight w:val="0"/>
          <w:marTop w:val="0"/>
          <w:marBottom w:val="0"/>
          <w:divBdr>
            <w:top w:val="none" w:sz="0" w:space="0" w:color="auto"/>
            <w:left w:val="none" w:sz="0" w:space="0" w:color="auto"/>
            <w:bottom w:val="none" w:sz="0" w:space="0" w:color="auto"/>
            <w:right w:val="none" w:sz="0" w:space="0" w:color="auto"/>
          </w:divBdr>
        </w:div>
        <w:div w:id="1694264933">
          <w:marLeft w:val="1714"/>
          <w:marRight w:val="0"/>
          <w:marTop w:val="0"/>
          <w:marBottom w:val="0"/>
          <w:divBdr>
            <w:top w:val="none" w:sz="0" w:space="0" w:color="auto"/>
            <w:left w:val="none" w:sz="0" w:space="0" w:color="auto"/>
            <w:bottom w:val="none" w:sz="0" w:space="0" w:color="auto"/>
            <w:right w:val="none" w:sz="0" w:space="0" w:color="auto"/>
          </w:divBdr>
        </w:div>
        <w:div w:id="418064575">
          <w:marLeft w:val="1714"/>
          <w:marRight w:val="0"/>
          <w:marTop w:val="0"/>
          <w:marBottom w:val="0"/>
          <w:divBdr>
            <w:top w:val="none" w:sz="0" w:space="0" w:color="auto"/>
            <w:left w:val="none" w:sz="0" w:space="0" w:color="auto"/>
            <w:bottom w:val="none" w:sz="0" w:space="0" w:color="auto"/>
            <w:right w:val="none" w:sz="0" w:space="0" w:color="auto"/>
          </w:divBdr>
        </w:div>
        <w:div w:id="676425762">
          <w:marLeft w:val="1714"/>
          <w:marRight w:val="0"/>
          <w:marTop w:val="0"/>
          <w:marBottom w:val="0"/>
          <w:divBdr>
            <w:top w:val="none" w:sz="0" w:space="0" w:color="auto"/>
            <w:left w:val="none" w:sz="0" w:space="0" w:color="auto"/>
            <w:bottom w:val="none" w:sz="0" w:space="0" w:color="auto"/>
            <w:right w:val="none" w:sz="0" w:space="0" w:color="auto"/>
          </w:divBdr>
        </w:div>
        <w:div w:id="170992357">
          <w:marLeft w:val="360"/>
          <w:marRight w:val="0"/>
          <w:marTop w:val="0"/>
          <w:marBottom w:val="0"/>
          <w:divBdr>
            <w:top w:val="none" w:sz="0" w:space="0" w:color="auto"/>
            <w:left w:val="none" w:sz="0" w:space="0" w:color="auto"/>
            <w:bottom w:val="none" w:sz="0" w:space="0" w:color="auto"/>
            <w:right w:val="none" w:sz="0" w:space="0" w:color="auto"/>
          </w:divBdr>
        </w:div>
        <w:div w:id="1483499073">
          <w:marLeft w:val="360"/>
          <w:marRight w:val="0"/>
          <w:marTop w:val="0"/>
          <w:marBottom w:val="0"/>
          <w:divBdr>
            <w:top w:val="none" w:sz="0" w:space="0" w:color="auto"/>
            <w:left w:val="none" w:sz="0" w:space="0" w:color="auto"/>
            <w:bottom w:val="none" w:sz="0" w:space="0" w:color="auto"/>
            <w:right w:val="none" w:sz="0" w:space="0" w:color="auto"/>
          </w:divBdr>
        </w:div>
        <w:div w:id="1944026580">
          <w:marLeft w:val="360"/>
          <w:marRight w:val="0"/>
          <w:marTop w:val="0"/>
          <w:marBottom w:val="0"/>
          <w:divBdr>
            <w:top w:val="none" w:sz="0" w:space="0" w:color="auto"/>
            <w:left w:val="none" w:sz="0" w:space="0" w:color="auto"/>
            <w:bottom w:val="none" w:sz="0" w:space="0" w:color="auto"/>
            <w:right w:val="none" w:sz="0" w:space="0" w:color="auto"/>
          </w:divBdr>
        </w:div>
        <w:div w:id="1880699396">
          <w:marLeft w:val="360"/>
          <w:marRight w:val="0"/>
          <w:marTop w:val="0"/>
          <w:marBottom w:val="0"/>
          <w:divBdr>
            <w:top w:val="none" w:sz="0" w:space="0" w:color="auto"/>
            <w:left w:val="none" w:sz="0" w:space="0" w:color="auto"/>
            <w:bottom w:val="none" w:sz="0" w:space="0" w:color="auto"/>
            <w:right w:val="none" w:sz="0" w:space="0" w:color="auto"/>
          </w:divBdr>
        </w:div>
      </w:divsChild>
    </w:div>
    <w:div w:id="1618368469">
      <w:bodyDiv w:val="1"/>
      <w:marLeft w:val="0"/>
      <w:marRight w:val="0"/>
      <w:marTop w:val="0"/>
      <w:marBottom w:val="0"/>
      <w:divBdr>
        <w:top w:val="none" w:sz="0" w:space="0" w:color="auto"/>
        <w:left w:val="none" w:sz="0" w:space="0" w:color="auto"/>
        <w:bottom w:val="none" w:sz="0" w:space="0" w:color="auto"/>
        <w:right w:val="none" w:sz="0" w:space="0" w:color="auto"/>
      </w:divBdr>
    </w:div>
    <w:div w:id="1635715144">
      <w:bodyDiv w:val="1"/>
      <w:marLeft w:val="0"/>
      <w:marRight w:val="0"/>
      <w:marTop w:val="0"/>
      <w:marBottom w:val="0"/>
      <w:divBdr>
        <w:top w:val="none" w:sz="0" w:space="0" w:color="auto"/>
        <w:left w:val="none" w:sz="0" w:space="0" w:color="auto"/>
        <w:bottom w:val="none" w:sz="0" w:space="0" w:color="auto"/>
        <w:right w:val="none" w:sz="0" w:space="0" w:color="auto"/>
      </w:divBdr>
    </w:div>
    <w:div w:id="1674800685">
      <w:bodyDiv w:val="1"/>
      <w:marLeft w:val="0"/>
      <w:marRight w:val="0"/>
      <w:marTop w:val="0"/>
      <w:marBottom w:val="0"/>
      <w:divBdr>
        <w:top w:val="none" w:sz="0" w:space="0" w:color="auto"/>
        <w:left w:val="none" w:sz="0" w:space="0" w:color="auto"/>
        <w:bottom w:val="none" w:sz="0" w:space="0" w:color="auto"/>
        <w:right w:val="none" w:sz="0" w:space="0" w:color="auto"/>
      </w:divBdr>
    </w:div>
    <w:div w:id="1676153474">
      <w:bodyDiv w:val="1"/>
      <w:marLeft w:val="0"/>
      <w:marRight w:val="0"/>
      <w:marTop w:val="0"/>
      <w:marBottom w:val="0"/>
      <w:divBdr>
        <w:top w:val="none" w:sz="0" w:space="0" w:color="auto"/>
        <w:left w:val="none" w:sz="0" w:space="0" w:color="auto"/>
        <w:bottom w:val="none" w:sz="0" w:space="0" w:color="auto"/>
        <w:right w:val="none" w:sz="0" w:space="0" w:color="auto"/>
      </w:divBdr>
    </w:div>
    <w:div w:id="1726561217">
      <w:bodyDiv w:val="1"/>
      <w:marLeft w:val="0"/>
      <w:marRight w:val="0"/>
      <w:marTop w:val="0"/>
      <w:marBottom w:val="0"/>
      <w:divBdr>
        <w:top w:val="none" w:sz="0" w:space="0" w:color="auto"/>
        <w:left w:val="none" w:sz="0" w:space="0" w:color="auto"/>
        <w:bottom w:val="none" w:sz="0" w:space="0" w:color="auto"/>
        <w:right w:val="none" w:sz="0" w:space="0" w:color="auto"/>
      </w:divBdr>
    </w:div>
    <w:div w:id="1749502135">
      <w:bodyDiv w:val="1"/>
      <w:marLeft w:val="0"/>
      <w:marRight w:val="0"/>
      <w:marTop w:val="0"/>
      <w:marBottom w:val="0"/>
      <w:divBdr>
        <w:top w:val="none" w:sz="0" w:space="0" w:color="auto"/>
        <w:left w:val="none" w:sz="0" w:space="0" w:color="auto"/>
        <w:bottom w:val="none" w:sz="0" w:space="0" w:color="auto"/>
        <w:right w:val="none" w:sz="0" w:space="0" w:color="auto"/>
      </w:divBdr>
    </w:div>
    <w:div w:id="1838613597">
      <w:bodyDiv w:val="1"/>
      <w:marLeft w:val="0"/>
      <w:marRight w:val="0"/>
      <w:marTop w:val="0"/>
      <w:marBottom w:val="0"/>
      <w:divBdr>
        <w:top w:val="none" w:sz="0" w:space="0" w:color="auto"/>
        <w:left w:val="none" w:sz="0" w:space="0" w:color="auto"/>
        <w:bottom w:val="none" w:sz="0" w:space="0" w:color="auto"/>
        <w:right w:val="none" w:sz="0" w:space="0" w:color="auto"/>
      </w:divBdr>
    </w:div>
    <w:div w:id="1853833123">
      <w:bodyDiv w:val="1"/>
      <w:marLeft w:val="0"/>
      <w:marRight w:val="0"/>
      <w:marTop w:val="0"/>
      <w:marBottom w:val="0"/>
      <w:divBdr>
        <w:top w:val="none" w:sz="0" w:space="0" w:color="auto"/>
        <w:left w:val="none" w:sz="0" w:space="0" w:color="auto"/>
        <w:bottom w:val="none" w:sz="0" w:space="0" w:color="auto"/>
        <w:right w:val="none" w:sz="0" w:space="0" w:color="auto"/>
      </w:divBdr>
    </w:div>
    <w:div w:id="1907372943">
      <w:bodyDiv w:val="1"/>
      <w:marLeft w:val="0"/>
      <w:marRight w:val="0"/>
      <w:marTop w:val="0"/>
      <w:marBottom w:val="0"/>
      <w:divBdr>
        <w:top w:val="none" w:sz="0" w:space="0" w:color="auto"/>
        <w:left w:val="none" w:sz="0" w:space="0" w:color="auto"/>
        <w:bottom w:val="none" w:sz="0" w:space="0" w:color="auto"/>
        <w:right w:val="none" w:sz="0" w:space="0" w:color="auto"/>
      </w:divBdr>
    </w:div>
    <w:div w:id="1910581152">
      <w:bodyDiv w:val="1"/>
      <w:marLeft w:val="0"/>
      <w:marRight w:val="0"/>
      <w:marTop w:val="0"/>
      <w:marBottom w:val="0"/>
      <w:divBdr>
        <w:top w:val="none" w:sz="0" w:space="0" w:color="auto"/>
        <w:left w:val="none" w:sz="0" w:space="0" w:color="auto"/>
        <w:bottom w:val="none" w:sz="0" w:space="0" w:color="auto"/>
        <w:right w:val="none" w:sz="0" w:space="0" w:color="auto"/>
      </w:divBdr>
    </w:div>
    <w:div w:id="1943100034">
      <w:bodyDiv w:val="1"/>
      <w:marLeft w:val="0"/>
      <w:marRight w:val="0"/>
      <w:marTop w:val="0"/>
      <w:marBottom w:val="0"/>
      <w:divBdr>
        <w:top w:val="none" w:sz="0" w:space="0" w:color="auto"/>
        <w:left w:val="none" w:sz="0" w:space="0" w:color="auto"/>
        <w:bottom w:val="none" w:sz="0" w:space="0" w:color="auto"/>
        <w:right w:val="none" w:sz="0" w:space="0" w:color="auto"/>
      </w:divBdr>
      <w:divsChild>
        <w:div w:id="492523935">
          <w:marLeft w:val="274"/>
          <w:marRight w:val="0"/>
          <w:marTop w:val="120"/>
          <w:marBottom w:val="0"/>
          <w:divBdr>
            <w:top w:val="none" w:sz="0" w:space="0" w:color="auto"/>
            <w:left w:val="none" w:sz="0" w:space="0" w:color="auto"/>
            <w:bottom w:val="none" w:sz="0" w:space="0" w:color="auto"/>
            <w:right w:val="none" w:sz="0" w:space="0" w:color="auto"/>
          </w:divBdr>
        </w:div>
      </w:divsChild>
    </w:div>
    <w:div w:id="2081515983">
      <w:bodyDiv w:val="1"/>
      <w:marLeft w:val="0"/>
      <w:marRight w:val="0"/>
      <w:marTop w:val="0"/>
      <w:marBottom w:val="0"/>
      <w:divBdr>
        <w:top w:val="none" w:sz="0" w:space="0" w:color="auto"/>
        <w:left w:val="none" w:sz="0" w:space="0" w:color="auto"/>
        <w:bottom w:val="none" w:sz="0" w:space="0" w:color="auto"/>
        <w:right w:val="none" w:sz="0" w:space="0" w:color="auto"/>
      </w:divBdr>
      <w:divsChild>
        <w:div w:id="734281276">
          <w:marLeft w:val="547"/>
          <w:marRight w:val="0"/>
          <w:marTop w:val="120"/>
          <w:marBottom w:val="0"/>
          <w:divBdr>
            <w:top w:val="none" w:sz="0" w:space="0" w:color="auto"/>
            <w:left w:val="none" w:sz="0" w:space="0" w:color="auto"/>
            <w:bottom w:val="none" w:sz="0" w:space="0" w:color="auto"/>
            <w:right w:val="none" w:sz="0" w:space="0" w:color="auto"/>
          </w:divBdr>
        </w:div>
        <w:div w:id="1328632604">
          <w:marLeft w:val="547"/>
          <w:marRight w:val="0"/>
          <w:marTop w:val="120"/>
          <w:marBottom w:val="0"/>
          <w:divBdr>
            <w:top w:val="none" w:sz="0" w:space="0" w:color="auto"/>
            <w:left w:val="none" w:sz="0" w:space="0" w:color="auto"/>
            <w:bottom w:val="none" w:sz="0" w:space="0" w:color="auto"/>
            <w:right w:val="none" w:sz="0" w:space="0" w:color="auto"/>
          </w:divBdr>
        </w:div>
      </w:divsChild>
    </w:div>
    <w:div w:id="2110076096">
      <w:bodyDiv w:val="1"/>
      <w:marLeft w:val="0"/>
      <w:marRight w:val="0"/>
      <w:marTop w:val="0"/>
      <w:marBottom w:val="0"/>
      <w:divBdr>
        <w:top w:val="none" w:sz="0" w:space="0" w:color="auto"/>
        <w:left w:val="none" w:sz="0" w:space="0" w:color="auto"/>
        <w:bottom w:val="none" w:sz="0" w:space="0" w:color="auto"/>
        <w:right w:val="none" w:sz="0" w:space="0" w:color="auto"/>
      </w:divBdr>
    </w:div>
    <w:div w:id="2120178485">
      <w:bodyDiv w:val="1"/>
      <w:marLeft w:val="0"/>
      <w:marRight w:val="0"/>
      <w:marTop w:val="0"/>
      <w:marBottom w:val="0"/>
      <w:divBdr>
        <w:top w:val="none" w:sz="0" w:space="0" w:color="auto"/>
        <w:left w:val="none" w:sz="0" w:space="0" w:color="auto"/>
        <w:bottom w:val="none" w:sz="0" w:space="0" w:color="auto"/>
        <w:right w:val="none" w:sz="0" w:space="0" w:color="auto"/>
      </w:divBdr>
    </w:div>
    <w:div w:id="21455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7f78eaa397642959/Documents/TEFCA-USCDI%20Data-Quality%20Risk-Management%20Strategy%202018-02-22%20DRAF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F3422-2964-40D4-92AA-1FCE2BE02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TEFCA-USCDI%20Data-Quality%20Risk-Management%20Strategy%202018-02-22%20DRAFT.dot</Template>
  <TotalTime>271</TotalTime>
  <Pages>18</Pages>
  <Words>6698</Words>
  <Characters>38180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44789</CharactersWithSpaces>
  <SharedDoc>false</SharedDoc>
  <HLinks>
    <vt:vector size="24" baseType="variant">
      <vt:variant>
        <vt:i4>5898265</vt:i4>
      </vt:variant>
      <vt:variant>
        <vt:i4>9</vt:i4>
      </vt:variant>
      <vt:variant>
        <vt:i4>0</vt:i4>
      </vt:variant>
      <vt:variant>
        <vt:i4>5</vt:i4>
      </vt:variant>
      <vt:variant>
        <vt:lpwstr>https://www.healthit.gov/sites/default/files/draft-uscdi.pdf</vt:lpwstr>
      </vt:variant>
      <vt:variant>
        <vt:lpwstr/>
      </vt:variant>
      <vt:variant>
        <vt:i4>5898265</vt:i4>
      </vt:variant>
      <vt:variant>
        <vt:i4>6</vt:i4>
      </vt:variant>
      <vt:variant>
        <vt:i4>0</vt:i4>
      </vt:variant>
      <vt:variant>
        <vt:i4>5</vt:i4>
      </vt:variant>
      <vt:variant>
        <vt:lpwstr>https://www.healthit.gov/sites/default/files/draft-uscdi.pdf</vt:lpwstr>
      </vt:variant>
      <vt:variant>
        <vt:lpwstr/>
      </vt:variant>
      <vt:variant>
        <vt:i4>8192110</vt:i4>
      </vt:variant>
      <vt:variant>
        <vt:i4>3</vt:i4>
      </vt:variant>
      <vt:variant>
        <vt:i4>0</vt:i4>
      </vt:variant>
      <vt:variant>
        <vt:i4>5</vt:i4>
      </vt:variant>
      <vt:variant>
        <vt:lpwstr>https://www.congress.gov/bill/114th-congress/house-bill/34/</vt:lpwstr>
      </vt:variant>
      <vt:variant>
        <vt:lpwstr/>
      </vt:variant>
      <vt:variant>
        <vt:i4>5832742</vt:i4>
      </vt:variant>
      <vt:variant>
        <vt:i4>0</vt:i4>
      </vt:variant>
      <vt:variant>
        <vt:i4>0</vt:i4>
      </vt:variant>
      <vt:variant>
        <vt:i4>5</vt:i4>
      </vt:variant>
      <vt:variant>
        <vt:lpwstr>https://1drv.ms/f/s!AlkpZJej6nh_lv52fv-sRang6uHhvA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Hufnagel</dc:creator>
  <cp:keywords/>
  <dc:description/>
  <cp:lastModifiedBy>Stephen Hufnagel</cp:lastModifiedBy>
  <cp:revision>132</cp:revision>
  <cp:lastPrinted>2018-02-26T16:15:00Z</cp:lastPrinted>
  <dcterms:created xsi:type="dcterms:W3CDTF">2018-02-25T13:22:00Z</dcterms:created>
  <dcterms:modified xsi:type="dcterms:W3CDTF">2018-02-26T17:02:00Z</dcterms:modified>
</cp:coreProperties>
</file>