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 A A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Information Modeling Project/FHIM Meeting</w:t>
      </w:r>
    </w:p>
    <w:p>
      <w:pPr>
        <w:pStyle w:val="Heading 2 A A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Summary of Call</w:t>
      </w:r>
    </w:p>
    <w:p>
      <w:pPr>
        <w:pStyle w:val="Heading 2 A A"/>
        <w:rPr>
          <w:rFonts w:ascii="Times New Roman Bold" w:cs="Times New Roman Bold" w:hAnsi="Times New Roman Bold" w:eastAsia="Times New Roman Bold"/>
          <w:b w:val="0"/>
          <w:bCs w:val="0"/>
        </w:rPr>
      </w:pPr>
    </w:p>
    <w:p>
      <w:pPr>
        <w:pStyle w:val="Heading 2 A A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Date/time of call:  Friday, February 07, 2014  2:30 - 4:30 PM</w:t>
      </w:r>
    </w:p>
    <w:tbl>
      <w:tblPr>
        <w:tblW w:w="9630" w:type="dxa"/>
        <w:jc w:val="left"/>
        <w:tblInd w:w="11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50"/>
        <w:gridCol w:w="3240"/>
        <w:gridCol w:w="3240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Attendees - Agency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Attendees-Agency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Invited, but Unable to Attend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Gregory Zektser- VHA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Steve Wagner- FHA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Krystol Shaw- DHA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pBdr>
                <w:top w:val="nil"/>
                <w:left w:val="nil"/>
                <w:bottom w:val="nil"/>
                <w:right w:val="nil"/>
              </w:pBdr>
              <w:tabs>
                <w:tab w:val="right" w:pos="3220"/>
              </w:tabs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David Bass- VHA</w:t>
              <w:tab/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Caitlin Ryan-FHA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Sean Kopka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VHA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Steve Hufnagel- DOD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Susan Matney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Ioana Singureanu - FHA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Lynn Sanders-VA 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Iona Thraen - Utah Dept of Health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Jay Sykes - VA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Benton Bovee- DHA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Bill Hess - FDA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Mead Walker - HL7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Larry Shaughnesy- DHA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Jay Lyle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FHA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Sean Muir  - FHA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3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Galen Mulrooney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FHA 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Robert Crawford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VA</w:t>
            </w:r>
          </w:p>
        </w:tc>
      </w:tr>
    </w:tbl>
    <w:p>
      <w:pPr>
        <w:pStyle w:val="Heading 2 A A"/>
        <w:ind w:left="10" w:hanging="10"/>
        <w:rPr>
          <w:rFonts w:ascii="Times New Roman Bold" w:cs="Times New Roman Bold" w:hAnsi="Times New Roman Bold" w:eastAsia="Times New Roman Bold"/>
        </w:rPr>
      </w:pPr>
    </w:p>
    <w:p>
      <w:pPr>
        <w:pStyle w:val="Body"/>
        <w:spacing w:after="0"/>
        <w:rPr>
          <w:rFonts w:ascii="Times New Roman Bold" w:cs="Times New Roman Bold" w:hAnsi="Times New Roman Bold" w:eastAsia="Times New Roman Bold"/>
        </w:rPr>
      </w:pPr>
    </w:p>
    <w:p>
      <w:pPr>
        <w:pStyle w:val="Body"/>
        <w:spacing w:after="0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Updates on S&amp;I Framework integration/initiative and FHA Work</w:t>
        <w:tab/>
      </w:r>
      <w:r>
        <w:rPr>
          <w:rFonts w:ascii="Times New Roman"/>
          <w:i w:val="1"/>
          <w:iCs w:val="1"/>
          <w:rtl w:val="0"/>
          <w:lang w:val="pt-PT"/>
        </w:rPr>
        <w:t>Steve Wagner</w:t>
      </w:r>
    </w:p>
    <w:p>
      <w:pPr>
        <w:pStyle w:val="List Paragraph"/>
        <w:numPr>
          <w:ilvl w:val="0"/>
          <w:numId w:val="3"/>
        </w:numPr>
        <w:tabs>
          <w:tab w:val="num" w:pos="756"/>
          <w:tab w:val="clear" w:pos="720"/>
        </w:tabs>
        <w:bidi w:val="0"/>
        <w:spacing w:after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0"/>
          <w:szCs w:val="20"/>
          <w:rtl w:val="0"/>
          <w:lang w:val="en-US"/>
        </w:rPr>
        <w:t xml:space="preserve">The FHA is reorganizing their WGs, what once was the Architecture and Modeling WG will now be a Modeling group that will focus heavily on the FHIM. Agencies will share their interoperability projects in in the new Coordination &amp; Collaboration WG. </w:t>
      </w:r>
    </w:p>
    <w:p>
      <w:pPr>
        <w:pStyle w:val="List Paragraph"/>
        <w:numPr>
          <w:ilvl w:val="0"/>
          <w:numId w:val="4"/>
        </w:numPr>
        <w:tabs>
          <w:tab w:val="num" w:pos="756"/>
          <w:tab w:val="clear" w:pos="720"/>
        </w:tabs>
        <w:bidi w:val="0"/>
        <w:spacing w:after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0"/>
          <w:szCs w:val="20"/>
          <w:rtl w:val="0"/>
          <w:lang w:val="en-US"/>
        </w:rPr>
        <w:t xml:space="preserve">Still working on the DAF and SDC initiatives. The DAF mapping has been done with no problems. </w:t>
      </w:r>
    </w:p>
    <w:p>
      <w:pPr>
        <w:pStyle w:val="List Paragraph"/>
        <w:numPr>
          <w:ilvl w:val="0"/>
          <w:numId w:val="5"/>
        </w:numPr>
        <w:tabs>
          <w:tab w:val="num" w:pos="756"/>
          <w:tab w:val="clear" w:pos="720"/>
        </w:tabs>
        <w:bidi w:val="0"/>
        <w:spacing w:after="0"/>
        <w:ind w:left="756" w:right="0" w:hanging="396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0"/>
          <w:szCs w:val="20"/>
          <w:rtl w:val="0"/>
          <w:lang w:val="en-US"/>
        </w:rPr>
        <w:t>The Information Modeling Process and Styling guide requires a few more sessions until it is complete.</w:t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0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 xml:space="preserve">Terminology Modeling Update </w:t>
        <w:tab/>
      </w:r>
      <w:r>
        <w:rPr>
          <w:rFonts w:ascii="Times New Roman"/>
          <w:i w:val="1"/>
          <w:iCs w:val="1"/>
          <w:rtl w:val="0"/>
        </w:rPr>
        <w:t>Jay Lyle</w:t>
      </w:r>
    </w:p>
    <w:p>
      <w:pPr>
        <w:pStyle w:val="List Paragraph"/>
        <w:numPr>
          <w:ilvl w:val="0"/>
          <w:numId w:val="7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After a discussion with HL7 and some of our stakeholders it will be recommended that SNOMED be used to identify non- medications, allergens, and adverse event substances, at least in the short term. 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Other business</w:t>
      </w:r>
    </w:p>
    <w:p>
      <w:pPr>
        <w:pStyle w:val="List Paragraph"/>
        <w:numPr>
          <w:ilvl w:val="0"/>
          <w:numId w:val="10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 Bold" w:cs="Times New Roman Bold" w:hAnsi="Times New Roman Bold" w:eastAsia="Times New Roman Bold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Once the final draft of the Information Modeling Process and Styling Guide is completed it will be presented to this group and then uploaded to the website.</w:t>
      </w:r>
    </w:p>
    <w:p>
      <w:pPr>
        <w:pStyle w:val="List Paragraph"/>
        <w:numPr>
          <w:ilvl w:val="0"/>
          <w:numId w:val="11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 Bold" w:cs="Times New Roman Bold" w:hAnsi="Times New Roman Bold" w:eastAsia="Times New Roman Bold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Ben, Galen and Jay discussed adding multiplicity as a meta -data element to the report; Galen will go ahead and add that capability..</w:t>
      </w:r>
    </w:p>
    <w:p>
      <w:pPr>
        <w:pStyle w:val="List Paragraph"/>
        <w:spacing w:after="0" w:line="240" w:lineRule="auto"/>
        <w:ind w:left="0" w:firstLine="0"/>
        <w:rPr>
          <w:rFonts w:ascii="Times New Roman Bold" w:cs="Times New Roman Bold" w:hAnsi="Times New Roman Bold" w:eastAsia="Times New Roman Bold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 Bold"/>
          <w:rtl w:val="0"/>
          <w:lang w:val="en-US"/>
        </w:rPr>
        <w:t>Modeling the Adverse Event Reporting Domain</w:t>
      </w:r>
      <w:r>
        <w:rPr>
          <w:rFonts w:ascii="Times New Roman Bold" w:cs="Times New Roman Bold" w:hAnsi="Times New Roman Bold" w:eastAsia="Times New Roman Bold"/>
          <w:sz w:val="36"/>
          <w:szCs w:val="36"/>
          <w:rtl w:val="0"/>
        </w:rPr>
        <w:tab/>
      </w:r>
      <w:r>
        <w:rPr>
          <w:rFonts w:ascii="Times New Roman"/>
          <w:i w:val="1"/>
          <w:iCs w:val="1"/>
          <w:rtl w:val="0"/>
          <w:lang w:val="en-US"/>
        </w:rPr>
        <w:t>Galen Mulrooney</w:t>
      </w:r>
    </w:p>
    <w:p>
      <w:pPr>
        <w:pStyle w:val="List Paragraph"/>
        <w:numPr>
          <w:ilvl w:val="0"/>
          <w:numId w:val="12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 Bold" w:cs="Times New Roman Bold" w:hAnsi="Times New Roman Bold" w:eastAsia="Times New Roman Bold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Galen recapped last week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s discussion (see minutes from 2/7/14) for Meade and Iona. He explained that he is looking to refactor the FHIM so that there is a generic notion of an observation.</w:t>
      </w:r>
    </w:p>
    <w:p>
      <w:pPr>
        <w:pStyle w:val="List Paragraph"/>
        <w:numPr>
          <w:ilvl w:val="0"/>
          <w:numId w:val="13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Mead asked if Galen had come across observations that were not clinical; Galen said that he had not but his question had given him something to think about.</w:t>
      </w:r>
    </w:p>
    <w:p>
      <w:pPr>
        <w:pStyle w:val="List Paragraph"/>
        <w:numPr>
          <w:ilvl w:val="1"/>
          <w:numId w:val="15"/>
        </w:numPr>
        <w:tabs>
          <w:tab w:val="num" w:pos="1440"/>
          <w:tab w:val="clear" w:pos="0"/>
        </w:tabs>
        <w:bidi w:val="0"/>
        <w:spacing w:after="0" w:line="240" w:lineRule="auto"/>
        <w:ind w:left="144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The group discussed assessments, patient generated data and the reliability of that data, clinical observations and provenance. It was acknowledged that there should be a distinction between a clinical vs. non clinical observation and that this should probably be determined by who is making the observation.</w:t>
      </w:r>
    </w:p>
    <w:p>
      <w:pPr>
        <w:pStyle w:val="List Paragraph"/>
        <w:numPr>
          <w:ilvl w:val="2"/>
          <w:numId w:val="17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Galen suggested that the observation statement be used to describe a clinically observed thing which would be separate from the actual time of the observation.</w:t>
      </w:r>
    </w:p>
    <w:p>
      <w:pPr>
        <w:pStyle w:val="List Paragraph"/>
        <w:numPr>
          <w:ilvl w:val="2"/>
          <w:numId w:val="18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The ObservationSstatement would be the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text book definition</w:t>
      </w:r>
      <w:r>
        <w:rPr>
          <w:rFonts w:hAnsi="Times New Roman" w:hint="default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>of  blood pressure (per example); which would be bound to a source code like SNOMED; so that when it is time to observe they can add on the patient, provenance etc.</w:t>
      </w:r>
    </w:p>
    <w:p>
      <w:pPr>
        <w:pStyle w:val="List Paragraph"/>
        <w:numPr>
          <w:ilvl w:val="2"/>
          <w:numId w:val="19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Doing it this way would allow the same class to be used in multiple cases.</w:t>
      </w:r>
    </w:p>
    <w:p>
      <w:pPr>
        <w:pStyle w:val="List Paragraph"/>
        <w:numPr>
          <w:ilvl w:val="0"/>
          <w:numId w:val="20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Galen will remove severity from the ObservationStatement class as the level of perceived severity changes with the user/observer. This was originally added to the model because FHIR included it but the updated version of FHIR no longer has it modeled.</w:t>
      </w:r>
    </w:p>
    <w:p>
      <w:pPr>
        <w:pStyle w:val="List Paragraph"/>
        <w:numPr>
          <w:ilvl w:val="0"/>
          <w:numId w:val="21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Galen reviewed the MorseFallScale package from the Assessment domain and asked if reports  (ie MedWatch), should be modeled in the same manner.</w:t>
      </w:r>
    </w:p>
    <w:p>
      <w:pPr>
        <w:pStyle w:val="List Paragraph"/>
        <w:numPr>
          <w:ilvl w:val="1"/>
          <w:numId w:val="22"/>
        </w:numPr>
        <w:tabs>
          <w:tab w:val="num" w:pos="1440"/>
          <w:tab w:val="clear" w:pos="0"/>
        </w:tabs>
        <w:bidi w:val="0"/>
        <w:spacing w:after="0" w:line="240" w:lineRule="auto"/>
        <w:ind w:left="144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After a discussion on Public Health Reports, Iona shared the following information about the Patient Safety Community:</w:t>
      </w:r>
    </w:p>
    <w:p>
      <w:pPr>
        <w:pStyle w:val="List Paragraph"/>
        <w:spacing w:after="0" w:line="240" w:lineRule="auto"/>
        <w:ind w:left="1440" w:firstLine="0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 xml:space="preserve">The Patient Safety Community is moving away from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sentinel events</w:t>
      </w:r>
      <w:r>
        <w:rPr>
          <w:rFonts w:hAnsi="Times New Roman" w:hint="default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 xml:space="preserve">or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rare-events</w:t>
      </w:r>
      <w:r>
        <w:rPr>
          <w:rFonts w:hAnsi="Times New Roman" w:hint="default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 xml:space="preserve">to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provider-preventable conditions</w:t>
      </w:r>
      <w:r>
        <w:rPr>
          <w:rFonts w:hAnsi="Times New Roman" w:hint="default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>,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Healthcare-acquired infections</w:t>
      </w:r>
      <w:r>
        <w:rPr>
          <w:rFonts w:hAnsi="Times New Roman" w:hint="default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 xml:space="preserve">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systematic patient safety issues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List Paragraph"/>
        <w:numPr>
          <w:ilvl w:val="2"/>
          <w:numId w:val="23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It was agreed that creating a GenericAdverseEventReport class and modeling it similar to the MorseFallScale would be the correct direction to go in.</w:t>
      </w:r>
    </w:p>
    <w:p>
      <w:pPr>
        <w:pStyle w:val="List Paragraph"/>
        <w:numPr>
          <w:ilvl w:val="2"/>
          <w:numId w:val="24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The model should distinguish real time events that may be generated from the EHR; real-time monitoring will allow for root-cause analysis to be performed.</w:t>
      </w:r>
    </w:p>
    <w:p>
      <w:pPr>
        <w:pStyle w:val="List Paragraph"/>
        <w:numPr>
          <w:ilvl w:val="2"/>
          <w:numId w:val="25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Once the various reports are identified we can use the various tools to consolidate.</w:t>
      </w:r>
    </w:p>
    <w:p>
      <w:pPr>
        <w:pStyle w:val="List Paragraph"/>
        <w:numPr>
          <w:ilvl w:val="2"/>
          <w:numId w:val="26"/>
        </w:numPr>
        <w:tabs>
          <w:tab w:val="num" w:pos="2160"/>
          <w:tab w:val="clear" w:pos="0"/>
        </w:tabs>
        <w:bidi w:val="0"/>
        <w:spacing w:after="0" w:line="240" w:lineRule="auto"/>
        <w:ind w:left="216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It is important that the forms do not drive the model</w:t>
      </w:r>
    </w:p>
    <w:p>
      <w:pPr>
        <w:pStyle w:val="List Paragraph"/>
        <w:numPr>
          <w:ilvl w:val="0"/>
          <w:numId w:val="27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Galen put together a list of items to look at which were recommended to him by Mead, Iona and Ioanna. These items include MedWatch 3500A, E28 (created by ICH) and VICH. </w:t>
      </w:r>
    </w:p>
    <w:p>
      <w:pPr>
        <w:pStyle w:val="List Paragraph"/>
        <w:spacing w:after="0" w:line="240" w:lineRule="auto"/>
        <w:ind w:left="144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 Bold"/>
          <w:rtl w:val="0"/>
          <w:lang w:val="en-US"/>
        </w:rPr>
        <w:t>Wrap up</w:t>
      </w:r>
      <w:r>
        <w:rPr>
          <w:rFonts w:ascii="Times New Roman"/>
          <w:rtl w:val="0"/>
          <w:lang w:val="en-US"/>
        </w:rPr>
        <w:t>: Galen thanked the group; this discussion will pick up at the next meeting.</w:t>
      </w:r>
    </w:p>
    <w:p>
      <w:pPr>
        <w:pStyle w:val="List Paragraph"/>
        <w:spacing w:after="0" w:line="240" w:lineRule="auto"/>
        <w:ind w:left="0" w:firstLine="0"/>
        <w:rPr>
          <w:rFonts w:ascii="Times New Roman Bold" w:cs="Times New Roman Bold" w:hAnsi="Times New Roman Bold" w:eastAsia="Times New Roman Bold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 Bold"/>
          <w:rtl w:val="0"/>
          <w:lang w:val="en-US"/>
        </w:rPr>
        <w:t>Next Meeting:</w:t>
      </w:r>
      <w:r>
        <w:rPr>
          <w:rFonts w:ascii="Times New Roman"/>
          <w:rtl w:val="0"/>
          <w:lang w:val="en-US"/>
        </w:rPr>
        <w:t xml:space="preserve"> Friday, February 14, 2014 at 2:30 EDT </w:t>
      </w:r>
    </w:p>
    <w:tbl>
      <w:tblPr>
        <w:tblW w:w="923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10"/>
        <w:gridCol w:w="1980"/>
        <w:gridCol w:w="1949"/>
      </w:tblGrid>
      <w:tr>
        <w:tblPrEx>
          <w:shd w:val="clear" w:color="auto" w:fill="bdc0bf"/>
        </w:tblPrEx>
        <w:trPr>
          <w:trHeight w:val="491" w:hRule="atLeast"/>
          <w:tblHeader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Action Item Description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Responsible Individual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Add multiplicity to the model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Galen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Look into the items recommended by the group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Galen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2/14/2013</w:t>
            </w:r>
          </w:p>
        </w:tc>
      </w:tr>
    </w:tbl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</w:rPr>
      </w:pPr>
    </w:p>
    <w:p>
      <w:pPr>
        <w:pStyle w:val="Body"/>
        <w:spacing w:after="0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Information for future FHIM information and terminology modeling calls: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 xml:space="preserve"> 1) Information Modeling (IM) project call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Recurring Weekly Call Every Friday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Time of Call: 2:30 to 4:30 PM Eastern Time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Dial-in Information: 1 (773) 897-3018, Access Code: 585-151-437</w:t>
      </w:r>
    </w:p>
    <w:p>
      <w:pPr>
        <w:pStyle w:val="Body"/>
        <w:spacing w:after="0"/>
        <w:rPr>
          <w:rFonts w:ascii="Times New Roman Bold" w:cs="Times New Roman Bold" w:hAnsi="Times New Roman Bold" w:eastAsia="Times New Roman Bold"/>
        </w:rPr>
      </w:pPr>
      <w:r>
        <w:rPr>
          <w:rFonts w:ascii="Times New Roman"/>
          <w:rtl w:val="0"/>
          <w:lang w:val="en-US"/>
        </w:rPr>
        <w:t xml:space="preserve">Web Meeting URL: </w:t>
      </w:r>
      <w:hyperlink r:id="rId4" w:history="1">
        <w:r>
          <w:rPr>
            <w:rStyle w:val="Hyperlink.0"/>
            <w:rFonts w:ascii="Times New Roman"/>
            <w:color w:val="000099"/>
            <w:u w:val="single" w:color="000099"/>
            <w:rtl w:val="0"/>
          </w:rPr>
          <w:t>https://global.gotomeeting.com/meeting/join/585151437</w:t>
        </w:r>
      </w:hyperlink>
    </w:p>
    <w:p>
      <w:pPr>
        <w:pStyle w:val="Body"/>
        <w:spacing w:after="0"/>
        <w:rPr>
          <w:rFonts w:ascii="Times New Roman Bold" w:cs="Times New Roman Bold" w:hAnsi="Times New Roman Bold" w:eastAsia="Times New Roman Bold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2) Terminology Modeling calls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Recurring Weekly Call Every Wednesday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Time of Call: 2:00 to 3:30 PM Eastern Time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Dial-in Information: 1 1 (773) 945-1031 Access Code: 849-124-653</w:t>
      </w:r>
    </w:p>
    <w:p>
      <w:pPr>
        <w:pStyle w:val="Body"/>
        <w:spacing w:after="0"/>
      </w:pPr>
      <w:r>
        <w:rPr>
          <w:rFonts w:ascii="Times New Roman"/>
          <w:rtl w:val="0"/>
          <w:lang w:val="en-US"/>
        </w:rPr>
        <w:t xml:space="preserve">Web Meeting URL: </w:t>
      </w:r>
      <w:hyperlink r:id="rId5" w:history="1">
        <w:r>
          <w:rPr>
            <w:rStyle w:val="Hyperlink.0"/>
            <w:rFonts w:ascii="Times New Roman"/>
            <w:color w:val="000099"/>
            <w:u w:val="single" w:color="000099"/>
            <w:rtl w:val="0"/>
          </w:rPr>
          <w:t>https://global.gotomeeting.com/join/849124653</w:t>
        </w:r>
      </w:hyperlink>
      <w:r>
        <w:rPr>
          <w:rFonts w:hAnsi="Times New Roman" w:hint="default"/>
          <w:rtl w:val="0"/>
          <w:lang w:val="en-US"/>
        </w:rPr>
        <w:t> 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40"/>
        <w:tab w:val="clear" w:pos="9360"/>
      </w:tabs>
    </w:pPr>
    <w:r>
      <w:rPr>
        <w:rFonts w:ascii="Trebuchet MS"/>
        <w:rtl w:val="0"/>
        <w:lang w:val="en-US"/>
      </w:rPr>
      <w:t>Federal Health Architecture (FHA) Program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3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0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1">
    <w:multiLevelType w:val="multilevel"/>
    <w:styleLink w:val="List 3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0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2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4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5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0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 A A">
    <w:name w:val="Heading 2 A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Lucida Grand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6"/>
      </w:numPr>
    </w:pPr>
  </w:style>
  <w:style w:type="numbering" w:styleId="List 2">
    <w:name w:val="List 2"/>
    <w:basedOn w:val="Imported Style 2"/>
    <w:next w:val="List 2"/>
    <w:pPr>
      <w:numPr>
        <w:numId w:val="8"/>
      </w:numPr>
    </w:pPr>
  </w:style>
  <w:style w:type="numbering" w:styleId="Imported Style 2">
    <w:name w:val="Imported Style 2"/>
    <w:next w:val="Imported Style 2"/>
    <w:pPr>
      <w:numPr>
        <w:numId w:val="9"/>
      </w:numPr>
    </w:pPr>
  </w:style>
  <w:style w:type="numbering" w:styleId="List 3">
    <w:name w:val="List 3"/>
    <w:basedOn w:val="Imported Style 2"/>
    <w:next w:val="List 3"/>
    <w:pPr>
      <w:numPr>
        <w:numId w:val="14"/>
      </w:numPr>
    </w:pPr>
  </w:style>
  <w:style w:type="numbering" w:styleId="List 4">
    <w:name w:val="List 4"/>
    <w:basedOn w:val="Imported Style 2"/>
    <w:next w:val="List 4"/>
    <w:pPr>
      <w:numPr>
        <w:numId w:val="16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99"/>
      <w:u w:val="single" w:color="00009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lobal.gotomeeting.com/meeting/join/585151437" TargetMode="External"/><Relationship Id="rId5" Type="http://schemas.openxmlformats.org/officeDocument/2006/relationships/hyperlink" Target="https://global.gotomeeting.com/join/849124653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