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 A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Information Modeling Project/FHIM Meeting</w:t>
      </w:r>
    </w:p>
    <w:p>
      <w:pPr>
        <w:pStyle w:val="Heading 2 A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Summary of Call</w:t>
      </w:r>
    </w:p>
    <w:p>
      <w:pPr>
        <w:pStyle w:val="Heading 2 A A"/>
        <w:rPr>
          <w:rFonts w:ascii="Times New Roman" w:cs="Times New Roman" w:hAnsi="Times New Roman" w:eastAsia="Times New Roman"/>
        </w:rPr>
      </w:pPr>
    </w:p>
    <w:p>
      <w:pPr>
        <w:pStyle w:val="Heading 2 A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Date/time of call:  Friday, May 30, 2014  2:30 - 4:30 PM</w:t>
      </w:r>
    </w:p>
    <w:tbl>
      <w:tblPr>
        <w:tblW w:w="96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842"/>
        <w:gridCol w:w="3420"/>
        <w:gridCol w:w="3420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2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cbcb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Attendees - Agency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cbcb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Invited, but Unable to Attend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cbcb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Invited, but Unable to Attend</w:t>
            </w:r>
          </w:p>
        </w:tc>
      </w:tr>
      <w:tr>
        <w:tblPrEx>
          <w:shd w:val="clear" w:color="auto" w:fill="ceddeb"/>
        </w:tblPrEx>
        <w:trPr>
          <w:trHeight w:val="291" w:hRule="atLeast"/>
        </w:trPr>
        <w:tc>
          <w:tcPr>
            <w:tcW w:type="dxa" w:w="2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right" w:pos="3130"/>
              </w:tabs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Susan Matney- 3M 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Ioana Singureanu- FHA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Mead Walker- HL7</w:t>
            </w:r>
          </w:p>
        </w:tc>
      </w:tr>
      <w:tr>
        <w:tblPrEx>
          <w:shd w:val="clear" w:color="auto" w:fill="ceddeb"/>
        </w:tblPrEx>
        <w:trPr>
          <w:trHeight w:val="291" w:hRule="atLeast"/>
        </w:trPr>
        <w:tc>
          <w:tcPr>
            <w:tcW w:type="dxa" w:w="2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right" w:pos="3130"/>
              </w:tabs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Steve Hufnagel- DoD 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Caitlin Ryan-FHA 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Lynn Sanders-VHA</w:t>
            </w:r>
          </w:p>
        </w:tc>
      </w:tr>
      <w:tr>
        <w:tblPrEx>
          <w:shd w:val="clear" w:color="auto" w:fill="ceddeb"/>
        </w:tblPrEx>
        <w:trPr>
          <w:trHeight w:val="291" w:hRule="atLeast"/>
        </w:trPr>
        <w:tc>
          <w:tcPr>
            <w:tcW w:type="dxa" w:w="2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right" w:pos="3130"/>
              </w:tabs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Bill Hess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en-US"/>
              </w:rPr>
              <w:t>–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FDA 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David Bass- VHA  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Larry Callahan- FDA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Jay Lyle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en-US"/>
              </w:rPr>
              <w:t>–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FHA  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Huma Munir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US Arlington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Gregory Zektser- VHA 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Steve Wagner- FHA 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Robert Crawford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en-US"/>
              </w:rPr>
              <w:t>–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VHA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Jay Sykes- FHA</w:t>
            </w:r>
          </w:p>
        </w:tc>
      </w:tr>
      <w:tr>
        <w:tblPrEx>
          <w:shd w:val="clear" w:color="auto" w:fill="ceddeb"/>
        </w:tblPrEx>
        <w:trPr>
          <w:trHeight w:val="390" w:hRule="atLeast"/>
        </w:trPr>
        <w:tc>
          <w:tcPr>
            <w:tcW w:type="dxa" w:w="2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Sean Muir  - FHA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Benton Bovee- DHA  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Krystol Shaw- DHA</w:t>
            </w:r>
          </w:p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2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Rob McCLure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en-US"/>
              </w:rPr>
              <w:t>–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FHA 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rtl w:val="0"/>
                <w:lang w:val="en-US"/>
              </w:rPr>
              <w:t>Kathleen Connor VHA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Sean Kopka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en-US"/>
              </w:rPr>
              <w:t>–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VHA</w:t>
            </w:r>
          </w:p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2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Galen Mulrooney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en-US"/>
              </w:rPr>
              <w:t>–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FHA 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rtl w:val="0"/>
                <w:lang w:val="en-US"/>
              </w:rPr>
              <w:t>Daniel Liu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Iona Thraen- Utah Dept. of Health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2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Jackie Mulrooney- FHA 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 A A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Heading 2 A A"/>
        <w:rPr>
          <w:rFonts w:ascii="Times New Roman" w:cs="Times New Roman" w:hAnsi="Times New Roman" w:eastAsia="Times New Roman"/>
        </w:rPr>
      </w:pPr>
    </w:p>
    <w:p>
      <w:pPr>
        <w:pStyle w:val="Body B"/>
        <w:spacing w:after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B"/>
        <w:spacing w:after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Updates on S&amp;I and FHA Initiatives</w:t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Steve Wagner</w:t>
      </w:r>
    </w:p>
    <w:p>
      <w:pPr>
        <w:pStyle w:val="Body B"/>
        <w:numPr>
          <w:ilvl w:val="0"/>
          <w:numId w:val="2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Continue support to the DAF and SDC initiatives; focusing on  mapping SDC.</w:t>
      </w:r>
    </w:p>
    <w:p>
      <w:pPr>
        <w:pStyle w:val="Body B"/>
        <w:numPr>
          <w:ilvl w:val="0"/>
          <w:numId w:val="4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Galen reminded the group that the list provided to them by the S&amp;I Simplification WG was insufficient. He and Ioana will bring this up on the Thursday SDC call.</w:t>
      </w:r>
    </w:p>
    <w:p>
      <w:pPr>
        <w:pStyle w:val="Body B"/>
        <w:numPr>
          <w:ilvl w:val="0"/>
          <w:numId w:val="6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Plan to map to all S&amp;I Initiatives:</w:t>
      </w:r>
    </w:p>
    <w:p>
      <w:pPr>
        <w:pStyle w:val="Body B"/>
        <w:numPr>
          <w:ilvl w:val="0"/>
          <w:numId w:val="8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focus is currently on the core data elements as defined by the SDC FHIR initiative</w:t>
      </w:r>
    </w:p>
    <w:p>
      <w:pPr>
        <w:pStyle w:val="Body B"/>
        <w:numPr>
          <w:ilvl w:val="0"/>
          <w:numId w:val="8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next step is to map to all active S&amp;I Initiatives, in priority order</w:t>
      </w:r>
    </w:p>
    <w:p>
      <w:pPr>
        <w:pStyle w:val="Body B"/>
        <w:numPr>
          <w:ilvl w:val="0"/>
          <w:numId w:val="8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Final step would be to complete mapping of closed initiatives.</w:t>
      </w:r>
    </w:p>
    <w:p>
      <w:pPr>
        <w:pStyle w:val="Body B"/>
        <w:numPr>
          <w:ilvl w:val="0"/>
          <w:numId w:val="10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There was a discussion on ISO/IEC11179 and the impact this approach has on the work we are trying to do with the SDC initiative. </w:t>
      </w:r>
    </w:p>
    <w:p>
      <w:pPr>
        <w:pStyle w:val="Body B"/>
        <w:numPr>
          <w:ilvl w:val="1"/>
          <w:numId w:val="12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Rob was concerned there would be a fork between this standards and FHIR.</w:t>
      </w:r>
    </w:p>
    <w:p>
      <w:pPr>
        <w:pStyle w:val="Body B"/>
        <w:numPr>
          <w:ilvl w:val="1"/>
          <w:numId w:val="14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Galen shared that Dave Carleson is creating a new UML standard that creates UML profiles for ISO/IEC 11179 and hopes that by leveraging this that FHIM would bridge FHIR, 11179 and CIMI at least from a technical standpoint.</w:t>
      </w:r>
    </w:p>
    <w:p>
      <w:pPr>
        <w:pStyle w:val="Body B"/>
        <w:spacing w:after="0"/>
        <w:ind w:left="1440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Body B"/>
        <w:spacing w:after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Terminology Modeling Update and Discussion </w:t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Jay Lyle</w:t>
      </w:r>
    </w:p>
    <w:p>
      <w:pPr>
        <w:pStyle w:val="Body B"/>
        <w:numPr>
          <w:ilvl w:val="0"/>
          <w:numId w:val="16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Looked at adverse event terminology; most of that terminology is in buckets. There is a technical task of how these should look. These terminologies have stewards</w:t>
      </w:r>
    </w:p>
    <w:p>
      <w:pPr>
        <w:pStyle w:val="Body B"/>
        <w:numPr>
          <w:ilvl w:val="0"/>
          <w:numId w:val="18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Next week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call will look at reactions. They will look at how to harmonize the reaction concepts that have been submitted from various organizations into one list.</w:t>
      </w:r>
    </w:p>
    <w:p>
      <w:pPr>
        <w:pStyle w:val="Body B"/>
        <w:numPr>
          <w:ilvl w:val="0"/>
          <w:numId w:val="20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NLM is interested in participating</w:t>
      </w:r>
    </w:p>
    <w:p>
      <w:pPr>
        <w:pStyle w:val="Body B"/>
        <w:numPr>
          <w:ilvl w:val="0"/>
          <w:numId w:val="22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 will submit list of official substances to NLM next week; currently trying to harmonize the VA and dieticians list to be sure there are no overlaps</w:t>
      </w:r>
    </w:p>
    <w:p>
      <w:pPr>
        <w:pStyle w:val="Body B"/>
        <w:numPr>
          <w:ilvl w:val="1"/>
          <w:numId w:val="24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After submitting to NLM these substances will presumably go into SNOMED.</w:t>
      </w:r>
    </w:p>
    <w:p>
      <w:pPr>
        <w:pStyle w:val="Body B"/>
        <w:numPr>
          <w:ilvl w:val="1"/>
          <w:numId w:val="26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Rob thinks this should be brought up at his ONC Substance Activity meetings on Monday</w:t>
      </w:r>
    </w:p>
    <w:p>
      <w:pPr>
        <w:pStyle w:val="Body B"/>
        <w:numPr>
          <w:ilvl w:val="0"/>
          <w:numId w:val="28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AI: Jay will send an email to Rob with more specifics that will tell the group what they need and what their use case is.</w:t>
      </w:r>
    </w:p>
    <w:p>
      <w:pPr>
        <w:pStyle w:val="Body B"/>
        <w:spacing w:after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Body B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Other Business</w:t>
      </w:r>
    </w:p>
    <w:p>
      <w:pPr>
        <w:pStyle w:val="Body B"/>
        <w:numPr>
          <w:ilvl w:val="0"/>
          <w:numId w:val="30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Sean and Galen will review the comments that Ben sent to them regarding the FHIM comparative report format that was sent out. </w:t>
      </w:r>
    </w:p>
    <w:p>
      <w:pPr>
        <w:pStyle w:val="Body B"/>
        <w:numPr>
          <w:ilvl w:val="0"/>
          <w:numId w:val="32"/>
        </w:numPr>
        <w:bidi w:val="0"/>
        <w:spacing w:after="0"/>
        <w:ind w:right="0"/>
        <w:jc w:val="left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Susan shared that the CIMI website was live</w:t>
      </w:r>
      <w:r>
        <w:rPr>
          <w:rFonts w:ascii="Times New Roman" w:hAnsi="Times New Roman"/>
          <w:outline w:val="0"/>
          <w:color w:val="ff0000"/>
          <w:sz w:val="24"/>
          <w:szCs w:val="24"/>
          <w:u w:color="00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outline w:val="0"/>
          <w:color w:val="ff0000"/>
          <w14:textFill>
            <w14:solidFill>
              <w14:srgbClr w14:val="FF000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ff0000"/>
          <w14:textFill>
            <w14:solidFill>
              <w14:srgbClr w14:val="FF0000"/>
            </w14:solidFill>
          </w14:textFill>
        </w:rPr>
        <w:instrText xml:space="preserve"> HYPERLINK "http://www.opencimi.org"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ff0000"/>
          <w14:textFill>
            <w14:solidFill>
              <w14:srgbClr w14:val="FF000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  <w:t>www.opencimi.org</w:t>
      </w:r>
      <w:r>
        <w:rPr>
          <w:rFonts w:ascii="Times New Roman" w:cs="Times New Roman" w:hAnsi="Times New Roman" w:eastAsia="Times New Roman"/>
          <w:outline w:val="0"/>
          <w:color w:val="ff0000"/>
          <w14:textFill>
            <w14:solidFill>
              <w14:srgbClr w14:val="FF0000"/>
            </w14:solidFill>
          </w14:textFill>
        </w:rPr>
        <w:fldChar w:fldCharType="end" w:fldLock="0"/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000000"/>
          <w:rtl w:val="0"/>
          <w:lang w:val="en-US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B"/>
        <w:numPr>
          <w:ilvl w:val="0"/>
          <w:numId w:val="34"/>
        </w:numPr>
        <w:bidi w:val="0"/>
        <w:spacing w:after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Wednesday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call examined the Adverse Event Reporting domain ; buckets were created for terminologies.</w:t>
      </w:r>
    </w:p>
    <w:p>
      <w:pPr>
        <w:pStyle w:val="Body B"/>
        <w:spacing w:after="0"/>
        <w:ind w:left="720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 w:line="240" w:lineRule="auto"/>
        <w:ind w:left="0" w:firstLine="0"/>
        <w:rPr>
          <w:rStyle w:val="None"/>
          <w:i w:val="1"/>
          <w:i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Modeling the Privacy and Security Domain</w:t>
        <w:tab/>
      </w:r>
      <w:r>
        <w:rPr>
          <w:rStyle w:val="None"/>
          <w:i w:val="1"/>
          <w:iCs w:val="1"/>
          <w:sz w:val="24"/>
          <w:szCs w:val="24"/>
          <w:rtl w:val="0"/>
          <w:lang w:val="en-US"/>
        </w:rPr>
        <w:t>Galen Mulrooney</w:t>
      </w:r>
    </w:p>
    <w:p>
      <w:pPr>
        <w:pStyle w:val="List Paragraph"/>
        <w:numPr>
          <w:ilvl w:val="0"/>
          <w:numId w:val="36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Kathleen gave a brief review of what exists today in HL7 along with the work that Robert has done for Access Management in iEHR. </w:t>
      </w:r>
    </w:p>
    <w:p>
      <w:pPr>
        <w:pStyle w:val="List Paragraph"/>
        <w:numPr>
          <w:ilvl w:val="1"/>
          <w:numId w:val="38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UMA: User Management Access, a user hub that controls all user information from one space.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AI: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Kathleen will send materials on this to the group</w:t>
      </w:r>
    </w:p>
    <w:p>
      <w:pPr>
        <w:pStyle w:val="List Paragraph"/>
        <w:numPr>
          <w:ilvl w:val="0"/>
          <w:numId w:val="40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The following Next Steps were identified:</w:t>
      </w:r>
    </w:p>
    <w:p>
      <w:pPr>
        <w:pStyle w:val="List Paragraph"/>
        <w:numPr>
          <w:ilvl w:val="1"/>
          <w:numId w:val="4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Start with the FHIM model</w:t>
      </w:r>
    </w:p>
    <w:p>
      <w:pPr>
        <w:pStyle w:val="List Paragraph"/>
        <w:numPr>
          <w:ilvl w:val="1"/>
          <w:numId w:val="44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Add the iEHR concept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s from Robert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s model</w:t>
      </w:r>
    </w:p>
    <w:p>
      <w:pPr>
        <w:pStyle w:val="List Paragraph"/>
        <w:numPr>
          <w:ilvl w:val="1"/>
          <w:numId w:val="46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Add the iEHR enumerated values</w:t>
      </w:r>
    </w:p>
    <w:p>
      <w:pPr>
        <w:pStyle w:val="List Paragraph"/>
        <w:numPr>
          <w:ilvl w:val="1"/>
          <w:numId w:val="48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Add enumerated values from other standards</w:t>
      </w:r>
    </w:p>
    <w:p>
      <w:pPr>
        <w:pStyle w:val="List Paragraph"/>
        <w:numPr>
          <w:ilvl w:val="1"/>
          <w:numId w:val="50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Add the security/enumeration/labels</w:t>
      </w:r>
    </w:p>
    <w:p>
      <w:pPr>
        <w:pStyle w:val="List Paragraph"/>
        <w:numPr>
          <w:ilvl w:val="1"/>
          <w:numId w:val="5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Add use-cases from iEHR and from HL7 DAM</w:t>
      </w:r>
    </w:p>
    <w:p>
      <w:pPr>
        <w:pStyle w:val="List Paragraph"/>
        <w:numPr>
          <w:ilvl w:val="1"/>
          <w:numId w:val="54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Add Provenance concepts</w:t>
      </w:r>
    </w:p>
    <w:p>
      <w:pPr>
        <w:pStyle w:val="List Paragraph"/>
        <w:numPr>
          <w:ilvl w:val="2"/>
          <w:numId w:val="56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Note: FHIR provenance is not finished. </w:t>
      </w:r>
    </w:p>
    <w:p>
      <w:pPr>
        <w:pStyle w:val="List Paragraph"/>
        <w:numPr>
          <w:ilvl w:val="2"/>
          <w:numId w:val="58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See the Order ControlAct (events and wrappers)</w:t>
      </w:r>
    </w:p>
    <w:p>
      <w:pPr>
        <w:pStyle w:val="List Paragraph"/>
        <w:spacing w:after="0" w:line="240" w:lineRule="auto"/>
        <w:ind w:left="2160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(This is data provenance)</w:t>
      </w:r>
    </w:p>
    <w:p>
      <w:pPr>
        <w:pStyle w:val="List Paragraph"/>
        <w:numPr>
          <w:ilvl w:val="1"/>
          <w:numId w:val="60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End Goal: Create a new HL7 model for ballot to become the conceptual information model for privacy and security.</w:t>
      </w:r>
    </w:p>
    <w:p>
      <w:pPr>
        <w:pStyle w:val="List Paragraph"/>
        <w:spacing w:after="0" w:line="240" w:lineRule="auto"/>
        <w:ind w:left="0" w:firstLine="0"/>
        <w:rPr>
          <w:rStyle w:val="None"/>
          <w:sz w:val="24"/>
          <w:szCs w:val="24"/>
        </w:rPr>
      </w:pPr>
    </w:p>
    <w:p>
      <w:pPr>
        <w:pStyle w:val="List Paragraph"/>
        <w:spacing w:after="0" w:line="240" w:lineRule="auto"/>
        <w:ind w:left="0" w:firstLine="0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Next Meeting:</w:t>
      </w:r>
      <w:r>
        <w:rPr>
          <w:rStyle w:val="None"/>
          <w:sz w:val="24"/>
          <w:szCs w:val="24"/>
          <w:rtl w:val="0"/>
          <w:lang w:val="en-US"/>
        </w:rPr>
        <w:t xml:space="preserve"> Friday, May 23, 2014 at 2:30 EDT</w:t>
      </w:r>
    </w:p>
    <w:tbl>
      <w:tblPr>
        <w:tblW w:w="923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5310"/>
        <w:gridCol w:w="1980"/>
        <w:gridCol w:w="1949"/>
      </w:tblGrid>
      <w:tr>
        <w:tblPrEx>
          <w:shd w:val="clear" w:color="auto" w:fill="499bc9"/>
        </w:tblPrEx>
        <w:trPr>
          <w:trHeight w:val="650" w:hRule="atLeast"/>
          <w:tblHeader/>
        </w:trPr>
        <w:tc>
          <w:tcPr>
            <w:tcW w:type="dxa" w:w="5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 A A"/>
              <w:jc w:val="center"/>
            </w:pPr>
            <w:r>
              <w:rPr>
                <w:rStyle w:val="None"/>
                <w:rFonts w:ascii="Times New Roman" w:hAnsi="Times New Roman"/>
                <w:rtl w:val="0"/>
                <w:lang w:val="en-US"/>
              </w:rPr>
              <w:t>Action Item Description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 A A"/>
              <w:jc w:val="center"/>
            </w:pPr>
            <w:r>
              <w:rPr>
                <w:rStyle w:val="None"/>
                <w:rFonts w:ascii="Times New Roman" w:hAnsi="Times New Roman"/>
                <w:rtl w:val="0"/>
                <w:lang w:val="en-US"/>
              </w:rPr>
              <w:t>Responsible Individual</w:t>
            </w:r>
          </w:p>
        </w:tc>
        <w:tc>
          <w:tcPr>
            <w:tcW w:type="dxa" w:w="19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 A A"/>
              <w:jc w:val="center"/>
            </w:pPr>
            <w:r>
              <w:rPr>
                <w:rStyle w:val="None"/>
                <w:rFonts w:ascii="Times New Roman" w:hAnsi="Times New Roman"/>
                <w:rtl w:val="0"/>
                <w:lang w:val="en-US"/>
              </w:rPr>
              <w:t>Due Date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5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Contact Robin Barnes about SDC presentation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</w:pPr>
            <w:r>
              <w:rPr>
                <w:rStyle w:val="None"/>
                <w:rtl w:val="0"/>
                <w:lang w:val="en-US"/>
              </w:rPr>
              <w:t>Jay</w:t>
            </w:r>
          </w:p>
        </w:tc>
        <w:tc>
          <w:tcPr>
            <w:tcW w:type="dxa" w:w="19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</w:pPr>
            <w:r>
              <w:rPr>
                <w:rStyle w:val="None"/>
                <w:rtl w:val="0"/>
                <w:lang w:val="en-US"/>
              </w:rPr>
              <w:t>5/23/2014</w:t>
            </w:r>
          </w:p>
        </w:tc>
      </w:tr>
      <w:tr>
        <w:tblPrEx>
          <w:shd w:val="clear" w:color="auto" w:fill="ceddeb"/>
        </w:tblPrEx>
        <w:trPr>
          <w:trHeight w:val="673" w:hRule="atLeast"/>
        </w:trPr>
        <w:tc>
          <w:tcPr>
            <w:tcW w:type="dxa" w:w="5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Email Rob official documentation on use of the NCI thesaurus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</w:pPr>
            <w:r>
              <w:rPr>
                <w:rStyle w:val="None"/>
                <w:rtl w:val="0"/>
                <w:lang w:val="en-US"/>
              </w:rPr>
              <w:t>Bill</w:t>
            </w:r>
          </w:p>
        </w:tc>
        <w:tc>
          <w:tcPr>
            <w:tcW w:type="dxa" w:w="19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</w:pPr>
            <w:r>
              <w:rPr>
                <w:rStyle w:val="None"/>
                <w:rtl w:val="0"/>
                <w:lang w:val="en-US"/>
              </w:rPr>
              <w:t>5/23/2014</w:t>
            </w:r>
          </w:p>
        </w:tc>
      </w:tr>
    </w:tbl>
    <w:p>
      <w:pPr>
        <w:pStyle w:val="List Paragraph"/>
        <w:widowControl w:val="0"/>
        <w:spacing w:after="0" w:line="240" w:lineRule="auto"/>
        <w:ind w:left="108" w:hanging="108"/>
        <w:rPr>
          <w:rStyle w:val="None"/>
          <w:sz w:val="24"/>
          <w:szCs w:val="24"/>
        </w:rPr>
      </w:pPr>
    </w:p>
    <w:p>
      <w:pPr>
        <w:pStyle w:val="List Paragraph"/>
        <w:spacing w:after="0" w:line="240" w:lineRule="auto"/>
        <w:ind w:left="0" w:firstLine="0"/>
        <w:rPr>
          <w:rStyle w:val="None"/>
          <w:sz w:val="24"/>
          <w:szCs w:val="24"/>
        </w:rPr>
      </w:pPr>
    </w:p>
    <w:p>
      <w:pPr>
        <w:pStyle w:val="List Paragraph"/>
        <w:spacing w:after="0" w:line="240" w:lineRule="auto"/>
        <w:ind w:left="0" w:firstLine="0"/>
        <w:rPr>
          <w:rStyle w:val="None"/>
          <w:sz w:val="24"/>
          <w:szCs w:val="24"/>
        </w:rPr>
      </w:pP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Information for future FHIM information and terminology modeling calls:</w:t>
      </w: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1) Information Modeling (IM) project call (Every Friday)</w:t>
      </w: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Time of Call: 2:30 to 4:30 PM Eastern Time</w:t>
      </w: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Dial-in Information: 1 (773) 897-3018, Access Code: 585-151-437</w:t>
      </w: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Web Meeting URL: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"https://global.gotomeeting.com/meeting/join/585151437"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https://global.gotomeeting.com/meeting/join/585151437</w:t>
      </w:r>
      <w:r>
        <w:rPr/>
        <w:fldChar w:fldCharType="end" w:fldLock="0"/>
      </w: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2) Terminology Modeling calls (Every Wednesday)</w:t>
      </w: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Time of Call: 2:00 to 3:30 PM Eastern Time</w:t>
      </w: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Dial-in Information: 1 1 (773) 945-1031 Access Code: 849-124-653</w:t>
      </w:r>
    </w:p>
    <w:p>
      <w:pPr>
        <w:pStyle w:val="Body B"/>
        <w:spacing w:after="0"/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Web Meeting URL: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"https://global.gotomeeting.com/join/849124653"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https://global.gotomeeting.com/join/849124653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tl w:val="0"/>
        <w:lang w:val="en-US"/>
      </w:rPr>
      <w:t>Federal Health Architecture (FHA) Program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770"/>
        </w:tabs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70"/>
        </w:tabs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770"/>
        </w:tabs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770"/>
        </w:tabs>
        <w:ind w:left="39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70"/>
        </w:tabs>
        <w:ind w:left="46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770"/>
        </w:tabs>
        <w:ind w:left="53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770"/>
        </w:tabs>
        <w:ind w:left="60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bullet"/>
      <w:suff w:val="tab"/>
      <w:lvlText w:val="-"/>
      <w:lvlJc w:val="left"/>
      <w:pPr>
        <w:tabs>
          <w:tab w:val="left" w:pos="690"/>
          <w:tab w:val="left" w:pos="72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  <w:tab w:val="left" w:pos="72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  <w:tab w:val="left" w:pos="72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  <w:tab w:val="left" w:pos="72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  <w:tab w:val="left" w:pos="72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  <w:tab w:val="left" w:pos="72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  <w:tab w:val="left" w:pos="72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  <w:tab w:val="left" w:pos="72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  <w:tab w:val="left" w:pos="72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bullet"/>
      <w:suff w:val="tab"/>
      <w:lvlText w:val="-"/>
      <w:lvlJc w:val="left"/>
      <w:pPr>
        <w:tabs>
          <w:tab w:val="left" w:pos="1410"/>
          <w:tab w:val="left" w:pos="144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bullet"/>
      <w:suff w:val="tab"/>
      <w:lvlText w:val="-"/>
      <w:lvlJc w:val="left"/>
      <w:pPr>
        <w:tabs>
          <w:tab w:val="left" w:pos="663"/>
          <w:tab w:val="left" w:pos="690"/>
        </w:tabs>
        <w:ind w:left="6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63"/>
          <w:tab w:val="left" w:pos="690"/>
        </w:tabs>
        <w:ind w:left="13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63"/>
          <w:tab w:val="left" w:pos="690"/>
        </w:tabs>
        <w:ind w:left="21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3"/>
          <w:tab w:val="left" w:pos="690"/>
        </w:tabs>
        <w:ind w:left="28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63"/>
          <w:tab w:val="left" w:pos="690"/>
        </w:tabs>
        <w:ind w:left="3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63"/>
          <w:tab w:val="left" w:pos="690"/>
        </w:tabs>
        <w:ind w:left="4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3"/>
          <w:tab w:val="left" w:pos="690"/>
        </w:tabs>
        <w:ind w:left="4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63"/>
          <w:tab w:val="left" w:pos="690"/>
        </w:tabs>
        <w:ind w:left="57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63"/>
          <w:tab w:val="left" w:pos="690"/>
        </w:tabs>
        <w:ind w:left="64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bullet"/>
      <w:suff w:val="tab"/>
      <w:lvlText w:val="-"/>
      <w:lvlJc w:val="left"/>
      <w:pPr>
        <w:tabs>
          <w:tab w:val="left" w:pos="1410"/>
          <w:tab w:val="left" w:pos="144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bullet"/>
      <w:suff w:val="tab"/>
      <w:lvlText w:val="-"/>
      <w:lvlJc w:val="left"/>
      <w:pPr>
        <w:tabs>
          <w:tab w:val="left" w:pos="1410"/>
          <w:tab w:val="left" w:pos="144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bullet"/>
      <w:suff w:val="tab"/>
      <w:lvlText w:val="-"/>
      <w:lvlJc w:val="left"/>
      <w:pPr>
        <w:tabs>
          <w:tab w:val="left" w:pos="1410"/>
          <w:tab w:val="left" w:pos="144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bullet"/>
      <w:suff w:val="tab"/>
      <w:lvlText w:val="-"/>
      <w:lvlJc w:val="left"/>
      <w:pPr>
        <w:tabs>
          <w:tab w:val="left" w:pos="1410"/>
          <w:tab w:val="left" w:pos="144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5"/>
  </w:abstractNum>
  <w:abstractNum w:abstractNumId="49">
    <w:multiLevelType w:val="hybridMultilevel"/>
    <w:styleLink w:val="Imported Style 25"/>
    <w:lvl w:ilvl="0">
      <w:start w:val="1"/>
      <w:numFmt w:val="bullet"/>
      <w:suff w:val="tab"/>
      <w:lvlText w:val="-"/>
      <w:lvlJc w:val="left"/>
      <w:pPr>
        <w:tabs>
          <w:tab w:val="left" w:pos="1410"/>
          <w:tab w:val="left" w:pos="144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6"/>
  </w:abstractNum>
  <w:abstractNum w:abstractNumId="51">
    <w:multiLevelType w:val="hybridMultilevel"/>
    <w:styleLink w:val="Imported Style 26"/>
    <w:lvl w:ilvl="0">
      <w:start w:val="1"/>
      <w:numFmt w:val="bullet"/>
      <w:suff w:val="tab"/>
      <w:lvlText w:val="-"/>
      <w:lvlJc w:val="left"/>
      <w:pPr>
        <w:tabs>
          <w:tab w:val="left" w:pos="1410"/>
          <w:tab w:val="left" w:pos="144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7"/>
  </w:abstractNum>
  <w:abstractNum w:abstractNumId="53">
    <w:multiLevelType w:val="hybridMultilevel"/>
    <w:styleLink w:val="Imported Style 27"/>
    <w:lvl w:ilvl="0">
      <w:start w:val="1"/>
      <w:numFmt w:val="bullet"/>
      <w:suff w:val="tab"/>
      <w:lvlText w:val="-"/>
      <w:lvlJc w:val="left"/>
      <w:pPr>
        <w:tabs>
          <w:tab w:val="left" w:pos="1410"/>
          <w:tab w:val="left" w:pos="144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  <w:tab w:val="left" w:pos="144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  <w:tab w:val="left" w:pos="144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  <w:tab w:val="left" w:pos="144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8"/>
  </w:abstractNum>
  <w:abstractNum w:abstractNumId="55">
    <w:multiLevelType w:val="hybridMultilevel"/>
    <w:styleLink w:val="Imported Style 28"/>
    <w:lvl w:ilvl="0">
      <w:start w:val="1"/>
      <w:numFmt w:val="bullet"/>
      <w:suff w:val="tab"/>
      <w:lvlText w:val="-"/>
      <w:lvlJc w:val="left"/>
      <w:pPr>
        <w:tabs>
          <w:tab w:val="left" w:pos="2130"/>
          <w:tab w:val="left" w:pos="216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  <w:tab w:val="left" w:pos="216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  <w:tab w:val="left" w:pos="216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  <w:tab w:val="left" w:pos="216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  <w:tab w:val="left" w:pos="216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  <w:tab w:val="left" w:pos="216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  <w:tab w:val="left" w:pos="216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  <w:tab w:val="left" w:pos="216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  <w:tab w:val="left" w:pos="216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9"/>
  </w:abstractNum>
  <w:abstractNum w:abstractNumId="57">
    <w:multiLevelType w:val="hybridMultilevel"/>
    <w:styleLink w:val="Imported Style 29"/>
    <w:lvl w:ilvl="0">
      <w:start w:val="1"/>
      <w:numFmt w:val="bullet"/>
      <w:suff w:val="tab"/>
      <w:lvlText w:val="-"/>
      <w:lvlJc w:val="left"/>
      <w:pPr>
        <w:tabs>
          <w:tab w:val="left" w:pos="2130"/>
          <w:tab w:val="left" w:pos="216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  <w:tab w:val="left" w:pos="216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  <w:tab w:val="left" w:pos="216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  <w:tab w:val="left" w:pos="216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  <w:tab w:val="left" w:pos="216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  <w:tab w:val="left" w:pos="216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  <w:tab w:val="left" w:pos="216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  <w:tab w:val="left" w:pos="216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  <w:tab w:val="left" w:pos="216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0"/>
  </w:abstractNum>
  <w:abstractNum w:abstractNumId="59">
    <w:multiLevelType w:val="hybridMultilevel"/>
    <w:styleLink w:val="Imported Style 30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  <w:num w:numId="41">
    <w:abstractNumId w:val="41"/>
  </w:num>
  <w:num w:numId="42">
    <w:abstractNumId w:val="40"/>
  </w:num>
  <w:num w:numId="43">
    <w:abstractNumId w:val="43"/>
  </w:num>
  <w:num w:numId="44">
    <w:abstractNumId w:val="42"/>
  </w:num>
  <w:num w:numId="45">
    <w:abstractNumId w:val="45"/>
  </w:num>
  <w:num w:numId="46">
    <w:abstractNumId w:val="44"/>
  </w:num>
  <w:num w:numId="47">
    <w:abstractNumId w:val="47"/>
  </w:num>
  <w:num w:numId="48">
    <w:abstractNumId w:val="46"/>
  </w:num>
  <w:num w:numId="49">
    <w:abstractNumId w:val="49"/>
  </w:num>
  <w:num w:numId="50">
    <w:abstractNumId w:val="48"/>
  </w:num>
  <w:num w:numId="51">
    <w:abstractNumId w:val="51"/>
  </w:num>
  <w:num w:numId="52">
    <w:abstractNumId w:val="50"/>
  </w:num>
  <w:num w:numId="53">
    <w:abstractNumId w:val="53"/>
  </w:num>
  <w:num w:numId="54">
    <w:abstractNumId w:val="52"/>
  </w:num>
  <w:num w:numId="55">
    <w:abstractNumId w:val="55"/>
  </w:num>
  <w:num w:numId="56">
    <w:abstractNumId w:val="54"/>
  </w:num>
  <w:num w:numId="57">
    <w:abstractNumId w:val="57"/>
  </w:num>
  <w:num w:numId="58">
    <w:abstractNumId w:val="56"/>
  </w:num>
  <w:num w:numId="59">
    <w:abstractNumId w:val="59"/>
  </w:num>
  <w:num w:numId="60">
    <w:abstractNumId w:val="5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 A A">
    <w:name w:val="Heading 2 A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  <w:style w:type="numbering" w:styleId="Imported Style 16">
    <w:name w:val="Imported Style 16"/>
    <w:pPr>
      <w:numPr>
        <w:numId w:val="3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 w:color="ff0000"/>
    </w:rPr>
  </w:style>
  <w:style w:type="numbering" w:styleId="Imported Style 17">
    <w:name w:val="Imported Style 17"/>
    <w:pPr>
      <w:numPr>
        <w:numId w:val="3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8">
    <w:name w:val="Imported Style 18"/>
    <w:pPr>
      <w:numPr>
        <w:numId w:val="35"/>
      </w:numPr>
    </w:pPr>
  </w:style>
  <w:style w:type="numbering" w:styleId="Imported Style 19">
    <w:name w:val="Imported Style 19"/>
    <w:pPr>
      <w:numPr>
        <w:numId w:val="37"/>
      </w:numPr>
    </w:pPr>
  </w:style>
  <w:style w:type="numbering" w:styleId="Imported Style 20">
    <w:name w:val="Imported Style 20"/>
    <w:pPr>
      <w:numPr>
        <w:numId w:val="39"/>
      </w:numPr>
    </w:pPr>
  </w:style>
  <w:style w:type="numbering" w:styleId="Imported Style 21">
    <w:name w:val="Imported Style 21"/>
    <w:pPr>
      <w:numPr>
        <w:numId w:val="41"/>
      </w:numPr>
    </w:pPr>
  </w:style>
  <w:style w:type="numbering" w:styleId="Imported Style 22">
    <w:name w:val="Imported Style 22"/>
    <w:pPr>
      <w:numPr>
        <w:numId w:val="43"/>
      </w:numPr>
    </w:pPr>
  </w:style>
  <w:style w:type="numbering" w:styleId="Imported Style 23">
    <w:name w:val="Imported Style 23"/>
    <w:pPr>
      <w:numPr>
        <w:numId w:val="45"/>
      </w:numPr>
    </w:pPr>
  </w:style>
  <w:style w:type="numbering" w:styleId="Imported Style 24">
    <w:name w:val="Imported Style 24"/>
    <w:pPr>
      <w:numPr>
        <w:numId w:val="47"/>
      </w:numPr>
    </w:pPr>
  </w:style>
  <w:style w:type="numbering" w:styleId="Imported Style 25">
    <w:name w:val="Imported Style 25"/>
    <w:pPr>
      <w:numPr>
        <w:numId w:val="49"/>
      </w:numPr>
    </w:pPr>
  </w:style>
  <w:style w:type="numbering" w:styleId="Imported Style 26">
    <w:name w:val="Imported Style 26"/>
    <w:pPr>
      <w:numPr>
        <w:numId w:val="51"/>
      </w:numPr>
    </w:pPr>
  </w:style>
  <w:style w:type="numbering" w:styleId="Imported Style 27">
    <w:name w:val="Imported Style 27"/>
    <w:pPr>
      <w:numPr>
        <w:numId w:val="53"/>
      </w:numPr>
    </w:pPr>
  </w:style>
  <w:style w:type="numbering" w:styleId="Imported Style 28">
    <w:name w:val="Imported Style 28"/>
    <w:pPr>
      <w:numPr>
        <w:numId w:val="55"/>
      </w:numPr>
    </w:pPr>
  </w:style>
  <w:style w:type="numbering" w:styleId="Imported Style 29">
    <w:name w:val="Imported Style 29"/>
    <w:pPr>
      <w:numPr>
        <w:numId w:val="57"/>
      </w:numPr>
    </w:pPr>
  </w:style>
  <w:style w:type="numbering" w:styleId="Imported Style 30">
    <w:name w:val="Imported Style 30"/>
    <w:pPr>
      <w:numPr>
        <w:numId w:val="59"/>
      </w:numPr>
    </w:p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outline w:val="0"/>
      <w:color w:val="000099"/>
      <w:sz w:val="24"/>
      <w:szCs w:val="24"/>
      <w:u w:val="single" w:color="000099"/>
      <w14:textFill>
        <w14:solidFill>
          <w14:srgbClr w14:val="000099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