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Lab-Orders and Observation Domain</w:t>
      </w:r>
    </w:p>
    <w:p w:rsidR="00BA435F" w:rsidRPr="00BA435F" w:rsidRDefault="00E9539B" w:rsidP="00BA435F">
      <w:pPr>
        <w:pStyle w:val="Subtitle"/>
      </w:pPr>
      <w:r>
        <w:t>January</w:t>
      </w:r>
      <w:r w:rsidR="006F0E5B">
        <w:t xml:space="preserve"> </w:t>
      </w:r>
      <w:r w:rsidR="009A42F1">
        <w:t>31</w:t>
      </w:r>
      <w:r w:rsidR="00BA435F">
        <w:t>, 201</w:t>
      </w:r>
      <w:r w:rsidR="00D923A5">
        <w:t>1</w:t>
      </w:r>
      <w:r w:rsidR="00BA435F">
        <w:t xml:space="preserve">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8200B" w:rsidRDefault="0048200B" w:rsidP="00664F24">
      <w:pPr>
        <w:spacing w:after="0"/>
      </w:pPr>
      <w:r>
        <w:lastRenderedPageBreak/>
        <w:t>Robert</w:t>
      </w:r>
    </w:p>
    <w:p w:rsidR="00D923A5" w:rsidRDefault="00D923A5" w:rsidP="00664F24">
      <w:pPr>
        <w:spacing w:after="0"/>
      </w:pPr>
      <w:r>
        <w:t>Neelima Chennamaraja, VA</w:t>
      </w:r>
    </w:p>
    <w:p w:rsidR="0056064C" w:rsidRDefault="00067752" w:rsidP="00664F24">
      <w:pPr>
        <w:spacing w:after="0"/>
      </w:pPr>
      <w:r>
        <w:t>Mike Fitch</w:t>
      </w:r>
      <w:r w:rsidR="004C4B44">
        <w:t xml:space="preserve">, </w:t>
      </w:r>
      <w:proofErr w:type="spellStart"/>
      <w:proofErr w:type="gramStart"/>
      <w:r w:rsidR="004C4B44">
        <w:t>Do</w:t>
      </w:r>
      <w:r w:rsidR="004311D1">
        <w:t>D</w:t>
      </w:r>
      <w:proofErr w:type="spellEnd"/>
      <w:proofErr w:type="gramEnd"/>
    </w:p>
    <w:p w:rsidR="009A42F1" w:rsidRDefault="009A42F1" w:rsidP="004C4B44">
      <w:pPr>
        <w:spacing w:after="0"/>
      </w:pPr>
      <w:r>
        <w:t>Patty Greim, VA</w:t>
      </w:r>
    </w:p>
    <w:p w:rsidR="009A42F1" w:rsidRDefault="009A42F1" w:rsidP="004C4B44">
      <w:pPr>
        <w:spacing w:after="0"/>
      </w:pPr>
      <w:r>
        <w:t>Ira Lubin, CDC</w:t>
      </w:r>
    </w:p>
    <w:p w:rsidR="004C4B44" w:rsidRDefault="004C4B44" w:rsidP="004C4B44">
      <w:pPr>
        <w:spacing w:after="0"/>
      </w:pPr>
      <w:r>
        <w:lastRenderedPageBreak/>
        <w:t>Kosta Makrodimitris, FDA</w:t>
      </w:r>
    </w:p>
    <w:p w:rsidR="00841A6B" w:rsidRDefault="00841A6B" w:rsidP="004C4B44">
      <w:pPr>
        <w:spacing w:after="0"/>
      </w:pPr>
      <w:r w:rsidRPr="00841A6B">
        <w:t>Galen Mulrooney, VA</w:t>
      </w:r>
    </w:p>
    <w:p w:rsidR="00726320" w:rsidRDefault="00726320" w:rsidP="004C4B44">
      <w:pPr>
        <w:spacing w:after="0"/>
      </w:pPr>
      <w:r>
        <w:t>Anne Pollack, CDC</w:t>
      </w:r>
    </w:p>
    <w:p w:rsidR="004C4B44" w:rsidRDefault="004C4B44" w:rsidP="004C4B44">
      <w:pPr>
        <w:spacing w:after="0"/>
      </w:pPr>
      <w:r>
        <w:t xml:space="preserve">Cindy Vinion, </w:t>
      </w:r>
      <w:r w:rsidR="00D923A5">
        <w:t>NG/</w:t>
      </w:r>
      <w:r>
        <w:t>CDC</w:t>
      </w:r>
    </w:p>
    <w:p w:rsidR="00841A6B" w:rsidRDefault="009A42F1" w:rsidP="004C4B44">
      <w:pPr>
        <w:spacing w:after="0"/>
      </w:pPr>
      <w:r>
        <w:t>Steve Wagner, ONC</w:t>
      </w:r>
    </w:p>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Neelima Chennamaraja, Kosta Makrodimitris</w:t>
      </w:r>
      <w:r w:rsidR="00BE23F7">
        <w:t>, Galen Mulrooney, Cindy Vinion</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E95F0C" w:rsidRDefault="00E95F0C" w:rsidP="007B0F5C">
      <w:pPr>
        <w:pStyle w:val="Heading1"/>
      </w:pPr>
      <w:r>
        <w:t>Agenda</w:t>
      </w:r>
    </w:p>
    <w:p w:rsidR="009A42F1" w:rsidRPr="009A42F1" w:rsidRDefault="009A42F1" w:rsidP="009A42F1">
      <w:pPr>
        <w:pStyle w:val="ListParagraph"/>
        <w:numPr>
          <w:ilvl w:val="0"/>
          <w:numId w:val="26"/>
        </w:numPr>
      </w:pPr>
      <w:r w:rsidRPr="009A42F1">
        <w:t xml:space="preserve">ALL-Galen: Modeling Information and decide on classes, patterns and granularity </w:t>
      </w:r>
    </w:p>
    <w:p w:rsidR="009A42F1" w:rsidRPr="009A42F1" w:rsidRDefault="009A42F1" w:rsidP="009A42F1">
      <w:pPr>
        <w:pStyle w:val="ListParagraph"/>
        <w:numPr>
          <w:ilvl w:val="0"/>
          <w:numId w:val="26"/>
        </w:numPr>
      </w:pPr>
      <w:r w:rsidRPr="009A42F1">
        <w:t xml:space="preserve">ALL-Kosta-Neelima-Cindy: Discuss use case and scenarios (10’) </w:t>
      </w:r>
    </w:p>
    <w:p w:rsidR="009A42F1" w:rsidRPr="009A42F1" w:rsidRDefault="009A42F1" w:rsidP="009A42F1">
      <w:pPr>
        <w:pStyle w:val="ListParagraph"/>
        <w:numPr>
          <w:ilvl w:val="0"/>
          <w:numId w:val="26"/>
        </w:numPr>
      </w:pPr>
      <w:r w:rsidRPr="009A42F1">
        <w:t xml:space="preserve">ALL-Kosta-Anne: International Society for Disease Surveillance cases-report(10’) </w:t>
      </w:r>
    </w:p>
    <w:p w:rsidR="009A42F1" w:rsidRPr="009A42F1" w:rsidRDefault="009A42F1" w:rsidP="009A42F1">
      <w:pPr>
        <w:pStyle w:val="ListParagraph"/>
        <w:numPr>
          <w:ilvl w:val="0"/>
          <w:numId w:val="26"/>
        </w:numPr>
      </w:pPr>
      <w:r w:rsidRPr="009A42F1">
        <w:t xml:space="preserve">ALL-Kosta-Galen-Cindy-Neelima: AAAS 2011 poster/Feb17th (10’) </w:t>
      </w:r>
    </w:p>
    <w:p w:rsidR="009A42F1" w:rsidRPr="009A42F1" w:rsidRDefault="009A42F1" w:rsidP="009A42F1">
      <w:pPr>
        <w:pStyle w:val="ListParagraph"/>
        <w:numPr>
          <w:ilvl w:val="0"/>
          <w:numId w:val="26"/>
        </w:numPr>
      </w:pPr>
      <w:r w:rsidRPr="009A42F1">
        <w:t xml:space="preserve">ALL: S&amp;I Framework - Lab Interface Initiative Kickoff- Feb 1st 2-3pm(5’) </w:t>
      </w:r>
    </w:p>
    <w:p w:rsidR="009A42F1" w:rsidRPr="009A42F1" w:rsidRDefault="009A42F1" w:rsidP="009A42F1">
      <w:pPr>
        <w:pStyle w:val="ListParagraph"/>
        <w:numPr>
          <w:ilvl w:val="0"/>
          <w:numId w:val="26"/>
        </w:numPr>
      </w:pPr>
      <w:r w:rsidRPr="009A42F1">
        <w:t xml:space="preserve">ALL: Milestones-Plans-Risks for modeling &amp; use cases(3rd iteration) (5’) </w:t>
      </w:r>
    </w:p>
    <w:p w:rsidR="009A42F1" w:rsidRPr="009A42F1" w:rsidRDefault="009A42F1" w:rsidP="009A42F1">
      <w:pPr>
        <w:pStyle w:val="ListParagraph"/>
        <w:numPr>
          <w:ilvl w:val="0"/>
          <w:numId w:val="26"/>
        </w:numPr>
        <w:rPr>
          <w:b/>
          <w:bCs/>
        </w:rPr>
      </w:pPr>
      <w:r w:rsidRPr="009A42F1">
        <w:t xml:space="preserve">ALL: S&amp;I Lab, NHIN DIRECT lab, HL7 Lab-OO,(5’) </w:t>
      </w:r>
    </w:p>
    <w:p w:rsidR="00D923A5" w:rsidRDefault="00D923A5" w:rsidP="009A42F1">
      <w:pPr>
        <w:pStyle w:val="Heading1"/>
      </w:pPr>
      <w:r>
        <w:t>Provided Resources</w:t>
      </w:r>
    </w:p>
    <w:p w:rsidR="00CB5620" w:rsidRDefault="00CB5620" w:rsidP="00CB5620">
      <w:r>
        <w:t>None</w:t>
      </w:r>
    </w:p>
    <w:p w:rsidR="0052567A" w:rsidRDefault="0052567A" w:rsidP="007B0F5C">
      <w:pPr>
        <w:pStyle w:val="Heading1"/>
      </w:pPr>
      <w:r>
        <w:t>Summary of Discussion</w:t>
      </w:r>
    </w:p>
    <w:p w:rsidR="00506C84" w:rsidRDefault="00726320" w:rsidP="00CB5620">
      <w:pPr>
        <w:pStyle w:val="Heading2"/>
      </w:pPr>
      <w:r>
        <w:t>Modeling</w:t>
      </w:r>
    </w:p>
    <w:p w:rsidR="00506C84" w:rsidRDefault="00726320" w:rsidP="00506C84">
      <w:pPr>
        <w:pStyle w:val="ListParagraph"/>
        <w:numPr>
          <w:ilvl w:val="0"/>
          <w:numId w:val="22"/>
        </w:numPr>
      </w:pPr>
      <w:r>
        <w:t>Started looking at CLIA and started discussing how to breakdown the modeling effort and the granularity needed and desired in the model.</w:t>
      </w:r>
    </w:p>
    <w:p w:rsidR="00726320" w:rsidRDefault="00ED608D" w:rsidP="00506C84">
      <w:pPr>
        <w:pStyle w:val="ListParagraph"/>
        <w:numPr>
          <w:ilvl w:val="0"/>
          <w:numId w:val="22"/>
        </w:numPr>
      </w:pPr>
      <w:r>
        <w:t>Cindy: are "condition" and "standard" in the CLIA regulations different levels or different things?</w:t>
      </w:r>
    </w:p>
    <w:p w:rsidR="00ED608D" w:rsidRDefault="00ED608D" w:rsidP="00ED608D">
      <w:pPr>
        <w:pStyle w:val="ListParagraph"/>
        <w:numPr>
          <w:ilvl w:val="1"/>
          <w:numId w:val="22"/>
        </w:numPr>
      </w:pPr>
      <w:r>
        <w:t xml:space="preserve">Anne: The "standard" breakouts </w:t>
      </w:r>
    </w:p>
    <w:p w:rsidR="00ED608D" w:rsidRDefault="00ED608D" w:rsidP="00ED608D">
      <w:pPr>
        <w:pStyle w:val="ListParagraph"/>
        <w:numPr>
          <w:ilvl w:val="1"/>
          <w:numId w:val="22"/>
        </w:numPr>
      </w:pPr>
      <w:r>
        <w:t xml:space="preserve">Kosta: Add a lot of the details in </w:t>
      </w:r>
    </w:p>
    <w:p w:rsidR="00ED608D" w:rsidRDefault="00ED608D" w:rsidP="00ED608D">
      <w:pPr>
        <w:pStyle w:val="ListParagraph"/>
        <w:numPr>
          <w:ilvl w:val="1"/>
          <w:numId w:val="22"/>
        </w:numPr>
      </w:pPr>
      <w:r>
        <w:t xml:space="preserve">Mike: While the PT standards, as defined by CLIA, may be different for regulation purposes, the information in the test &amp; test result is not different and the </w:t>
      </w:r>
    </w:p>
    <w:p w:rsidR="00ED608D" w:rsidRDefault="00ED608D" w:rsidP="00ED608D">
      <w:pPr>
        <w:pStyle w:val="ListParagraph"/>
        <w:numPr>
          <w:ilvl w:val="1"/>
          <w:numId w:val="22"/>
        </w:numPr>
      </w:pPr>
      <w:r>
        <w:t xml:space="preserve">Anne: </w:t>
      </w:r>
    </w:p>
    <w:p w:rsidR="00ED608D" w:rsidRDefault="00ED608D" w:rsidP="00ED608D">
      <w:pPr>
        <w:pStyle w:val="ListParagraph"/>
        <w:numPr>
          <w:ilvl w:val="0"/>
          <w:numId w:val="22"/>
        </w:numPr>
      </w:pPr>
      <w:r>
        <w:t xml:space="preserve">Kosta: Add structures to the model </w:t>
      </w:r>
      <w:r w:rsidR="0065637F">
        <w:t xml:space="preserve">to reflect </w:t>
      </w:r>
    </w:p>
    <w:p w:rsidR="00ED608D" w:rsidRDefault="00ED608D" w:rsidP="00ED608D">
      <w:pPr>
        <w:pStyle w:val="ListParagraph"/>
        <w:numPr>
          <w:ilvl w:val="0"/>
          <w:numId w:val="22"/>
        </w:numPr>
      </w:pPr>
      <w:r>
        <w:t xml:space="preserve">Ira: This group is well positioned to develop a higher-level framework model and the lower-level modeling is not needed to be done by this group.  Ira feels that he can take a </w:t>
      </w:r>
      <w:r w:rsidR="0065637F">
        <w:t>higher-level framework and work with experts and very detailed scenarios to develop as needed.</w:t>
      </w:r>
    </w:p>
    <w:p w:rsidR="0065637F" w:rsidRDefault="0065637F" w:rsidP="00ED608D">
      <w:pPr>
        <w:pStyle w:val="ListParagraph"/>
        <w:numPr>
          <w:ilvl w:val="0"/>
          <w:numId w:val="22"/>
        </w:numPr>
      </w:pPr>
      <w:r>
        <w:t>Kosta: We should look at the whole business process, from ordering to sample collection to result reporting.</w:t>
      </w:r>
    </w:p>
    <w:p w:rsidR="0065637F" w:rsidRDefault="0065637F" w:rsidP="0065637F">
      <w:pPr>
        <w:pStyle w:val="ListParagraph"/>
        <w:numPr>
          <w:ilvl w:val="1"/>
          <w:numId w:val="22"/>
        </w:numPr>
      </w:pPr>
      <w:r>
        <w:t>Anne: Has some concerns with where data is stored and what they do with it.</w:t>
      </w:r>
      <w:r w:rsidR="00E90315">
        <w:t xml:space="preserve">  This can impact policy.</w:t>
      </w:r>
    </w:p>
    <w:p w:rsidR="00E90315" w:rsidRDefault="00E90315" w:rsidP="00E90315">
      <w:pPr>
        <w:pStyle w:val="ListParagraph"/>
        <w:numPr>
          <w:ilvl w:val="0"/>
          <w:numId w:val="22"/>
        </w:numPr>
      </w:pPr>
      <w:r>
        <w:t xml:space="preserve">Galen: the lifecycle that we are talking about currently, is the lab result reports and some </w:t>
      </w:r>
    </w:p>
    <w:p w:rsidR="00E90315" w:rsidRDefault="00E90315" w:rsidP="00E90315">
      <w:pPr>
        <w:pStyle w:val="ListParagraph"/>
        <w:numPr>
          <w:ilvl w:val="0"/>
          <w:numId w:val="22"/>
        </w:numPr>
      </w:pPr>
      <w:r>
        <w:lastRenderedPageBreak/>
        <w:t xml:space="preserve">Steve: If there is a piece of information needed to either do the order or the result, then it belongs in the FHIMS model.  If there is information needed to get to results or an order, but is not needed in an exchange, then it does not need to be in the FHIMS model.  A lot of modeling has already been done; some have not been done very well and needs to be filled in.  For most of the areas, we already explored the needed information that was gathered or collected </w:t>
      </w:r>
    </w:p>
    <w:p w:rsidR="00E90315" w:rsidRDefault="00E90315" w:rsidP="00E90315">
      <w:pPr>
        <w:pStyle w:val="ListParagraph"/>
        <w:numPr>
          <w:ilvl w:val="0"/>
          <w:numId w:val="22"/>
        </w:numPr>
      </w:pPr>
      <w:r>
        <w:t>Autopsy has been removed from the domain.</w:t>
      </w:r>
      <w:r w:rsidR="00C16003">
        <w:t xml:space="preserve">  CLIA </w:t>
      </w:r>
    </w:p>
    <w:p w:rsidR="00E90315" w:rsidRDefault="00E90315" w:rsidP="00E90315">
      <w:pPr>
        <w:pStyle w:val="ListParagraph"/>
        <w:numPr>
          <w:ilvl w:val="0"/>
          <w:numId w:val="22"/>
        </w:numPr>
      </w:pPr>
      <w:r>
        <w:t>Cindy: I would like to propose a L</w:t>
      </w:r>
      <w:r w:rsidR="00C16003">
        <w:t>ab Report class.  Many, if not all testing efforts send back a comprehensive report.</w:t>
      </w:r>
    </w:p>
    <w:p w:rsidR="00C16003" w:rsidRDefault="00C16003" w:rsidP="00C16003">
      <w:pPr>
        <w:pStyle w:val="ListParagraph"/>
        <w:numPr>
          <w:ilvl w:val="1"/>
          <w:numId w:val="22"/>
        </w:numPr>
      </w:pPr>
      <w:r>
        <w:t>Galen: This is a good idea since a signed, expert report is what is returned.</w:t>
      </w:r>
    </w:p>
    <w:p w:rsidR="00C16003" w:rsidRDefault="00C16003" w:rsidP="00C16003">
      <w:pPr>
        <w:pStyle w:val="ListParagraph"/>
        <w:numPr>
          <w:ilvl w:val="1"/>
          <w:numId w:val="22"/>
        </w:numPr>
      </w:pPr>
      <w:r>
        <w:t>Anne: The results from the lab are always signed and follow a chain of command (and expertise).</w:t>
      </w:r>
      <w:r w:rsidR="006E5B5C">
        <w:t xml:space="preserve">  If we focus on reporting, then the needed detailed information and the lifecycle step where the information is collected or created will fall out of the discussion.</w:t>
      </w:r>
    </w:p>
    <w:p w:rsidR="00EA7241" w:rsidRDefault="004F03F2" w:rsidP="00CB5620">
      <w:pPr>
        <w:pStyle w:val="Heading2"/>
      </w:pPr>
      <w:r>
        <w:t>Use Cases</w:t>
      </w:r>
      <w:r w:rsidR="00726320">
        <w:t xml:space="preserve"> &amp; Scenarios</w:t>
      </w:r>
    </w:p>
    <w:p w:rsidR="00F343CF" w:rsidRDefault="00F343CF" w:rsidP="00F343CF">
      <w:pPr>
        <w:pStyle w:val="ListParagraph"/>
        <w:numPr>
          <w:ilvl w:val="0"/>
          <w:numId w:val="22"/>
        </w:numPr>
      </w:pPr>
      <w:r>
        <w:t>Kosta: Can Ira write up a couple of scenarios for genetic testing?</w:t>
      </w:r>
    </w:p>
    <w:p w:rsidR="00F343CF" w:rsidRDefault="00F343CF" w:rsidP="00F343CF">
      <w:pPr>
        <w:pStyle w:val="ListParagraph"/>
        <w:numPr>
          <w:ilvl w:val="1"/>
          <w:numId w:val="22"/>
        </w:numPr>
      </w:pPr>
      <w:r>
        <w:t xml:space="preserve">Ira can provide the scenarios and would like to work with some FDA people to develop them.  There are several possible scenarios, some are complicated and some are </w:t>
      </w:r>
      <w:r w:rsidR="00B726C3">
        <w:t>simpler</w:t>
      </w:r>
      <w:r>
        <w:t>.</w:t>
      </w:r>
    </w:p>
    <w:p w:rsidR="00F343CF" w:rsidRDefault="00F343CF" w:rsidP="00F343CF">
      <w:pPr>
        <w:pStyle w:val="ListParagraph"/>
        <w:numPr>
          <w:ilvl w:val="0"/>
          <w:numId w:val="22"/>
        </w:numPr>
      </w:pPr>
      <w:r>
        <w:t>Kosta: HL7 has a clinical Genomics group.  He will share the material with Ira.</w:t>
      </w:r>
    </w:p>
    <w:p w:rsidR="001A47D4" w:rsidRDefault="00B726C3" w:rsidP="001A47D4">
      <w:pPr>
        <w:pStyle w:val="ListParagraph"/>
        <w:numPr>
          <w:ilvl w:val="0"/>
          <w:numId w:val="22"/>
        </w:numPr>
      </w:pPr>
      <w:r>
        <w:t xml:space="preserve">Kosta will attempt to import </w:t>
      </w:r>
      <w:r w:rsidR="001A47D4">
        <w:t xml:space="preserve">the BPMN diagram for the </w:t>
      </w:r>
      <w:r w:rsidR="001A47D4" w:rsidRPr="001A47D4">
        <w:t xml:space="preserve">Electronic order, lab-collected specimen </w:t>
      </w:r>
      <w:r w:rsidR="001A47D4">
        <w:t>outpatient scenario provided by Cindy.</w:t>
      </w:r>
    </w:p>
    <w:p w:rsidR="001A47D4" w:rsidRDefault="001A47D4" w:rsidP="001A47D4">
      <w:pPr>
        <w:pStyle w:val="ListParagraph"/>
        <w:numPr>
          <w:ilvl w:val="0"/>
          <w:numId w:val="22"/>
        </w:numPr>
      </w:pPr>
      <w:r>
        <w:t>Kosta: The sentinel system is doing active surveillance and needs lab results.</w:t>
      </w:r>
    </w:p>
    <w:p w:rsidR="001A47D4" w:rsidRDefault="001A47D4" w:rsidP="001A47D4">
      <w:pPr>
        <w:pStyle w:val="ListParagraph"/>
        <w:numPr>
          <w:ilvl w:val="1"/>
          <w:numId w:val="22"/>
        </w:numPr>
      </w:pPr>
      <w:r>
        <w:t>Anne: The sentinel networks define what needs to be reported and by who.  The reporting criteria are critical and many are subjective.  Some of the problems that exist with the sentinel ne</w:t>
      </w:r>
      <w:r w:rsidR="00EE471E">
        <w:t>t</w:t>
      </w:r>
      <w:r>
        <w:t>works are garbage in-garbage out and is it difficult to predict how the information are used.</w:t>
      </w:r>
    </w:p>
    <w:p w:rsidR="001A47D4" w:rsidRDefault="001A47D4" w:rsidP="001A47D4">
      <w:pPr>
        <w:pStyle w:val="ListParagraph"/>
        <w:numPr>
          <w:ilvl w:val="1"/>
          <w:numId w:val="22"/>
        </w:numPr>
      </w:pPr>
      <w:r>
        <w:t xml:space="preserve">Kosta and Neelima are writing a scenario describing the sentinel network.  They will </w:t>
      </w:r>
    </w:p>
    <w:p w:rsidR="00726320" w:rsidRDefault="00726320" w:rsidP="00726320">
      <w:pPr>
        <w:pStyle w:val="Heading2"/>
      </w:pPr>
      <w:r>
        <w:t>ISDS Discussion</w:t>
      </w:r>
    </w:p>
    <w:p w:rsidR="00726320" w:rsidRDefault="00EE471E" w:rsidP="00726320">
      <w:pPr>
        <w:pStyle w:val="ListParagraph"/>
        <w:numPr>
          <w:ilvl w:val="0"/>
          <w:numId w:val="22"/>
        </w:numPr>
      </w:pPr>
      <w:r>
        <w:t>Anne: CDC was a consult on the report.  It points out some of the issues this group is trying to deal with.  Of particular interest to this group would be the process models they have developed.  Please look at the some of the business processes and how they are mapped; these flowcharts should help highlight interoperability with lab reporting.  It might be helpful to explore these interfaces from the lab report interfaces and to explore the advisability of and need to put the report information into a surveillance network.</w:t>
      </w:r>
    </w:p>
    <w:p w:rsidR="004F03F2" w:rsidRDefault="004F03F2" w:rsidP="004F03F2">
      <w:pPr>
        <w:pStyle w:val="Heading2"/>
      </w:pPr>
      <w:r>
        <w:t>AAAS Poster</w:t>
      </w:r>
    </w:p>
    <w:p w:rsidR="004F03F2" w:rsidRDefault="0048200B" w:rsidP="004F03F2">
      <w:pPr>
        <w:pStyle w:val="ListParagraph"/>
        <w:numPr>
          <w:ilvl w:val="0"/>
          <w:numId w:val="22"/>
        </w:numPr>
      </w:pPr>
      <w:r>
        <w:t xml:space="preserve">Kosta has started an outline for the poster.  He will share </w:t>
      </w:r>
      <w:r w:rsidR="00163581">
        <w:t>the outline with the group and discuss it on Friday.</w:t>
      </w:r>
    </w:p>
    <w:p w:rsidR="00163581" w:rsidRDefault="00163581" w:rsidP="00163581">
      <w:pPr>
        <w:pStyle w:val="ListParagraph"/>
        <w:numPr>
          <w:ilvl w:val="0"/>
          <w:numId w:val="22"/>
        </w:numPr>
      </w:pPr>
      <w:r>
        <w:t>Steve: ONC has a website for publishing FHIMS output, such as the model.  This website, or a similar one, will be used for additional information related to the AAAS poster.</w:t>
      </w:r>
    </w:p>
    <w:p w:rsidR="00163581" w:rsidRDefault="00163581" w:rsidP="00163581">
      <w:pPr>
        <w:pStyle w:val="ListParagraph"/>
        <w:numPr>
          <w:ilvl w:val="0"/>
          <w:numId w:val="22"/>
        </w:numPr>
      </w:pPr>
      <w:r>
        <w:t>Kosta will share the power point presentation that will be used for the poster so that each person writing the information on the poster (Galen, Cindy, etc) can edit their section.</w:t>
      </w:r>
    </w:p>
    <w:p w:rsidR="004F03F2" w:rsidRDefault="00726320" w:rsidP="004F03F2">
      <w:pPr>
        <w:pStyle w:val="Heading2"/>
      </w:pPr>
      <w:r>
        <w:t>S&amp;I Framework - Lab Interface Initiative</w:t>
      </w:r>
    </w:p>
    <w:p w:rsidR="00726320" w:rsidRPr="00726320" w:rsidRDefault="00726320" w:rsidP="00726320">
      <w:r>
        <w:t>Kickoff Feb 1st 2-3pm</w:t>
      </w:r>
      <w:r w:rsidR="0086675D">
        <w:t xml:space="preserve"> ET; register at </w:t>
      </w:r>
      <w:hyperlink r:id="rId7" w:history="1">
        <w:r w:rsidR="0086675D" w:rsidRPr="00E97362">
          <w:rPr>
            <w:rStyle w:val="Hyperlink"/>
          </w:rPr>
          <w:t>https://www3.gotomeeting.com/register/784221638</w:t>
        </w:r>
      </w:hyperlink>
      <w:r w:rsidR="0086675D">
        <w:t xml:space="preserve"> </w:t>
      </w:r>
    </w:p>
    <w:p w:rsidR="00726320" w:rsidRDefault="00726320" w:rsidP="004F03F2">
      <w:pPr>
        <w:pStyle w:val="ListParagraph"/>
        <w:numPr>
          <w:ilvl w:val="0"/>
          <w:numId w:val="22"/>
        </w:numPr>
      </w:pPr>
      <w:r>
        <w:t>Anyone can attend the meeting.</w:t>
      </w:r>
    </w:p>
    <w:p w:rsidR="004F03F2" w:rsidRDefault="00726320" w:rsidP="004F03F2">
      <w:pPr>
        <w:pStyle w:val="ListParagraph"/>
        <w:numPr>
          <w:ilvl w:val="0"/>
          <w:numId w:val="22"/>
        </w:numPr>
      </w:pPr>
      <w:r>
        <w:t>Steve will forward the invitation.</w:t>
      </w:r>
    </w:p>
    <w:p w:rsidR="00726320" w:rsidRDefault="00726320" w:rsidP="004F03F2">
      <w:pPr>
        <w:pStyle w:val="ListParagraph"/>
        <w:numPr>
          <w:ilvl w:val="0"/>
          <w:numId w:val="22"/>
        </w:numPr>
      </w:pPr>
      <w:r>
        <w:lastRenderedPageBreak/>
        <w:t>Galen - This conflicts with the Allergy domain modeling meeting.  Anyone who can attend, please provide an overview.</w:t>
      </w:r>
    </w:p>
    <w:p w:rsidR="00CB5620" w:rsidRDefault="00CB5620" w:rsidP="00CB5620">
      <w:pPr>
        <w:pStyle w:val="Heading2"/>
      </w:pPr>
      <w:r>
        <w:t>General Discussion</w:t>
      </w:r>
    </w:p>
    <w:p w:rsidR="00726320" w:rsidRDefault="009A42F1" w:rsidP="00726320">
      <w:pPr>
        <w:pStyle w:val="ListParagraph"/>
        <w:numPr>
          <w:ilvl w:val="0"/>
          <w:numId w:val="22"/>
        </w:numPr>
      </w:pPr>
      <w:r>
        <w:t xml:space="preserve">Patty Greim </w:t>
      </w:r>
      <w:r w:rsidR="00726320">
        <w:t>has asked some SMEs to attend this meeting to provide expertise for the modeling of clinical pathology.</w:t>
      </w:r>
    </w:p>
    <w:p w:rsidR="0056064C" w:rsidRDefault="0056064C" w:rsidP="0056064C">
      <w:pPr>
        <w:pStyle w:val="Heading1"/>
      </w:pPr>
      <w:r>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23801" w:rsidP="00BE57FF">
            <w:pPr>
              <w:spacing w:after="0"/>
            </w:pPr>
            <w:r>
              <w:t>Priority</w:t>
            </w: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6D4F2D" w:rsidRPr="009211E3" w:rsidTr="007B0F5C">
        <w:trPr>
          <w:cantSplit/>
        </w:trPr>
        <w:tc>
          <w:tcPr>
            <w:tcW w:w="1230" w:type="dxa"/>
          </w:tcPr>
          <w:p w:rsidR="006D4F2D" w:rsidRPr="00D23801" w:rsidRDefault="006D4F2D" w:rsidP="00D23801">
            <w:pPr>
              <w:spacing w:after="0"/>
              <w:rPr>
                <w:color w:val="0070C0"/>
              </w:rPr>
            </w:pPr>
            <w:r>
              <w:rPr>
                <w:color w:val="0070C0"/>
              </w:rPr>
              <w:t>1/10/11</w:t>
            </w:r>
          </w:p>
        </w:tc>
        <w:tc>
          <w:tcPr>
            <w:tcW w:w="948" w:type="dxa"/>
          </w:tcPr>
          <w:p w:rsidR="006D4F2D" w:rsidRPr="00D23801" w:rsidRDefault="006D4F2D" w:rsidP="00D23801">
            <w:pPr>
              <w:spacing w:after="0"/>
              <w:rPr>
                <w:color w:val="0070C0"/>
              </w:rPr>
            </w:pPr>
          </w:p>
        </w:tc>
        <w:tc>
          <w:tcPr>
            <w:tcW w:w="7158" w:type="dxa"/>
          </w:tcPr>
          <w:p w:rsidR="006D4F2D" w:rsidRPr="00D23801" w:rsidRDefault="006D4F2D" w:rsidP="00D23801">
            <w:pPr>
              <w:pStyle w:val="Default"/>
              <w:rPr>
                <w:rFonts w:asciiTheme="minorHAnsi" w:hAnsiTheme="minorHAnsi" w:cstheme="minorBidi"/>
                <w:color w:val="0070C0"/>
                <w:sz w:val="22"/>
                <w:szCs w:val="22"/>
              </w:rPr>
            </w:pPr>
            <w:r>
              <w:rPr>
                <w:rFonts w:asciiTheme="minorHAnsi" w:hAnsiTheme="minorHAnsi" w:cstheme="minorBidi"/>
                <w:color w:val="0070C0"/>
                <w:sz w:val="22"/>
                <w:szCs w:val="22"/>
              </w:rPr>
              <w:t>Danny: Check on data dictionary and definitions from ICLN.</w:t>
            </w:r>
          </w:p>
        </w:tc>
        <w:tc>
          <w:tcPr>
            <w:tcW w:w="1249" w:type="dxa"/>
          </w:tcPr>
          <w:p w:rsidR="006D4F2D" w:rsidRPr="00D23801" w:rsidRDefault="006D4F2D" w:rsidP="00D23801">
            <w:pPr>
              <w:spacing w:after="0"/>
              <w:rPr>
                <w:color w:val="0070C0"/>
              </w:rPr>
            </w:pP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Mike-Wendy-Kosta-Galen</w:t>
            </w:r>
            <w:r w:rsidR="00903F46">
              <w:rPr>
                <w:rFonts w:asciiTheme="minorHAnsi" w:hAnsiTheme="minorHAnsi" w:cstheme="minorBidi"/>
                <w:color w:val="0070C0"/>
                <w:sz w:val="22"/>
                <w:szCs w:val="22"/>
              </w:rPr>
              <w:t>-Cindy</w:t>
            </w:r>
            <w:r w:rsidRPr="00D23801">
              <w:rPr>
                <w:rFonts w:asciiTheme="minorHAnsi" w:hAnsiTheme="minorHAnsi" w:cstheme="minorBidi"/>
                <w:color w:val="0070C0"/>
                <w:sz w:val="22"/>
                <w:szCs w:val="22"/>
              </w:rPr>
              <w:t xml:space="preserve">: Define-clarify Specimen-Sample filler and placer order number, test identifier, placer group number and </w:t>
            </w:r>
            <w:proofErr w:type="spellStart"/>
            <w:r w:rsidRPr="00D23801">
              <w:rPr>
                <w:rFonts w:asciiTheme="minorHAnsi" w:hAnsiTheme="minorHAnsi" w:cstheme="minorBidi"/>
                <w:color w:val="0070C0"/>
                <w:sz w:val="22"/>
                <w:szCs w:val="22"/>
              </w:rPr>
              <w:t>universalServiceIdentifier</w:t>
            </w:r>
            <w:proofErr w:type="spellEnd"/>
            <w:r w:rsidRPr="00D23801">
              <w:rPr>
                <w:rFonts w:asciiTheme="minorHAnsi" w:hAnsiTheme="minorHAnsi" w:cstheme="minorBidi"/>
                <w:color w:val="0070C0"/>
                <w:sz w:val="22"/>
                <w:szCs w:val="22"/>
              </w:rPr>
              <w:t>. Pathology Laboratory uses specs from DICOM (Supplement 122) to describe the various units (specimen, accession number, etc) in their workflow.</w:t>
            </w:r>
          </w:p>
        </w:tc>
        <w:tc>
          <w:tcPr>
            <w:tcW w:w="1249" w:type="dxa"/>
          </w:tcPr>
          <w:p w:rsidR="00D23801" w:rsidRPr="00D23801" w:rsidRDefault="00D23801" w:rsidP="00D23801">
            <w:pPr>
              <w:spacing w:after="0"/>
              <w:rPr>
                <w:color w:val="0070C0"/>
              </w:rPr>
            </w:pPr>
            <w:r w:rsidRPr="00D23801">
              <w:rPr>
                <w:color w:val="0070C0"/>
              </w:rPr>
              <w:t>In process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Kosta-Steve : Services Aware Interoperability Framework and Lab-OO FHIMS relevance </w:t>
            </w:r>
          </w:p>
        </w:tc>
        <w:tc>
          <w:tcPr>
            <w:tcW w:w="1249" w:type="dxa"/>
          </w:tcPr>
          <w:p w:rsidR="00D23801" w:rsidRPr="00D23801" w:rsidRDefault="00D23801" w:rsidP="00D23801">
            <w:pPr>
              <w:spacing w:after="0"/>
              <w:rPr>
                <w:color w:val="0070C0"/>
              </w:rPr>
            </w:pPr>
            <w:r w:rsidRPr="00D23801">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11/15/10</w:t>
            </w:r>
          </w:p>
        </w:tc>
        <w:tc>
          <w:tcPr>
            <w:tcW w:w="948" w:type="dxa"/>
          </w:tcPr>
          <w:p w:rsidR="00D143EE" w:rsidRPr="005C22B4" w:rsidRDefault="00D143EE" w:rsidP="00BE57FF">
            <w:pPr>
              <w:spacing w:after="0"/>
              <w:rPr>
                <w:color w:val="0070C0"/>
              </w:rPr>
            </w:pPr>
            <w:r w:rsidRPr="005C22B4">
              <w:rPr>
                <w:color w:val="0070C0"/>
              </w:rPr>
              <w:t>High</w:t>
            </w:r>
          </w:p>
        </w:tc>
        <w:tc>
          <w:tcPr>
            <w:tcW w:w="7158" w:type="dxa"/>
          </w:tcPr>
          <w:p w:rsidR="00D143EE" w:rsidRPr="005C22B4" w:rsidRDefault="00D143EE" w:rsidP="00D32587">
            <w:pPr>
              <w:spacing w:after="0"/>
              <w:rPr>
                <w:color w:val="0070C0"/>
              </w:rPr>
            </w:pPr>
            <w:r w:rsidRPr="005C22B4">
              <w:rPr>
                <w:color w:val="0070C0"/>
              </w:rPr>
              <w:t>Mike, Cindy, Galen: Finalize definitions</w:t>
            </w:r>
            <w:r w:rsidR="00D32587" w:rsidRPr="005C22B4">
              <w:rPr>
                <w:color w:val="0070C0"/>
              </w:rPr>
              <w:t xml:space="preserve"> for and use of</w:t>
            </w:r>
            <w:r w:rsidRPr="005C22B4">
              <w:rPr>
                <w:color w:val="0070C0"/>
              </w:rPr>
              <w:t xml:space="preserve"> different identifiers &amp; numbers in lab </w:t>
            </w:r>
            <w:r w:rsidR="00D32587" w:rsidRPr="005C22B4">
              <w:rPr>
                <w:color w:val="0070C0"/>
              </w:rPr>
              <w:t xml:space="preserve">domain </w:t>
            </w:r>
            <w:r w:rsidRPr="005C22B4">
              <w:rPr>
                <w:color w:val="0070C0"/>
              </w:rPr>
              <w:t>- filler order number, placer order number, group number, test identifier, etc.</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11/1/10</w:t>
            </w:r>
          </w:p>
        </w:tc>
        <w:tc>
          <w:tcPr>
            <w:tcW w:w="948" w:type="dxa"/>
          </w:tcPr>
          <w:p w:rsidR="00D143EE" w:rsidRPr="005C22B4" w:rsidRDefault="00D143EE" w:rsidP="00BE57FF">
            <w:pPr>
              <w:spacing w:after="0"/>
              <w:rPr>
                <w:color w:val="0070C0"/>
              </w:rPr>
            </w:pPr>
          </w:p>
        </w:tc>
        <w:tc>
          <w:tcPr>
            <w:tcW w:w="7158" w:type="dxa"/>
          </w:tcPr>
          <w:p w:rsidR="00D143EE" w:rsidRPr="005C22B4" w:rsidRDefault="00D143EE" w:rsidP="00BE57FF">
            <w:pPr>
              <w:spacing w:after="0"/>
              <w:rPr>
                <w:color w:val="0070C0"/>
              </w:rPr>
            </w:pPr>
            <w:r w:rsidRPr="005C22B4">
              <w:rPr>
                <w:color w:val="0070C0"/>
              </w:rPr>
              <w:t>Cindy to identify and contact FBI person from LRN National Meeting for participation in the FHIMS Lab calls when we start doing Chain of Custody, slated for phase 2.</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p w:rsidR="00D23801" w:rsidRDefault="00D23801" w:rsidP="00D23801">
      <w:pPr>
        <w:pStyle w:val="Heading1"/>
      </w:pPr>
      <w:r>
        <w:t>Completed/Not Tracked Action Items</w:t>
      </w:r>
    </w:p>
    <w:tbl>
      <w:tblPr>
        <w:tblStyle w:val="TableGrid"/>
        <w:tblW w:w="10585" w:type="dxa"/>
        <w:tblLook w:val="04A0"/>
      </w:tblPr>
      <w:tblGrid>
        <w:gridCol w:w="1230"/>
        <w:gridCol w:w="948"/>
        <w:gridCol w:w="7158"/>
        <w:gridCol w:w="1249"/>
      </w:tblGrid>
      <w:tr w:rsidR="00D23801" w:rsidRPr="009211E3" w:rsidTr="00346A86">
        <w:trPr>
          <w:cantSplit/>
          <w:tblHeader/>
        </w:trPr>
        <w:tc>
          <w:tcPr>
            <w:tcW w:w="1230" w:type="dxa"/>
            <w:shd w:val="clear" w:color="auto" w:fill="B8CCE4" w:themeFill="accent1" w:themeFillTint="66"/>
          </w:tcPr>
          <w:p w:rsidR="00D23801" w:rsidRPr="009211E3" w:rsidRDefault="00D23801" w:rsidP="00346A86">
            <w:pPr>
              <w:spacing w:after="0"/>
            </w:pPr>
            <w:r w:rsidRPr="009211E3">
              <w:t>Start Date</w:t>
            </w:r>
          </w:p>
        </w:tc>
        <w:tc>
          <w:tcPr>
            <w:tcW w:w="948" w:type="dxa"/>
            <w:shd w:val="clear" w:color="auto" w:fill="B8CCE4" w:themeFill="accent1" w:themeFillTint="66"/>
          </w:tcPr>
          <w:p w:rsidR="00D23801" w:rsidRPr="009211E3" w:rsidRDefault="00D23801" w:rsidP="00346A86">
            <w:pPr>
              <w:spacing w:after="0"/>
            </w:pPr>
            <w:r>
              <w:t>Priority</w:t>
            </w:r>
          </w:p>
        </w:tc>
        <w:tc>
          <w:tcPr>
            <w:tcW w:w="7158" w:type="dxa"/>
            <w:shd w:val="clear" w:color="auto" w:fill="B8CCE4" w:themeFill="accent1" w:themeFillTint="66"/>
          </w:tcPr>
          <w:p w:rsidR="00D23801" w:rsidRPr="009211E3" w:rsidRDefault="00D23801" w:rsidP="00346A86">
            <w:pPr>
              <w:spacing w:after="0"/>
            </w:pPr>
            <w:r w:rsidRPr="009211E3">
              <w:t>Action Item</w:t>
            </w:r>
          </w:p>
        </w:tc>
        <w:tc>
          <w:tcPr>
            <w:tcW w:w="1249" w:type="dxa"/>
            <w:shd w:val="clear" w:color="auto" w:fill="B8CCE4" w:themeFill="accent1" w:themeFillTint="66"/>
          </w:tcPr>
          <w:p w:rsidR="00D23801" w:rsidRPr="009211E3" w:rsidRDefault="00D23801" w:rsidP="00346A86">
            <w:pPr>
              <w:spacing w:after="0"/>
            </w:pPr>
            <w:r w:rsidRPr="009211E3">
              <w:t>Status</w:t>
            </w:r>
          </w:p>
        </w:tc>
      </w:tr>
      <w:tr w:rsidR="00E4272E" w:rsidRPr="00E4272E" w:rsidTr="00E95F0C">
        <w:trPr>
          <w:cantSplit/>
        </w:trPr>
        <w:tc>
          <w:tcPr>
            <w:tcW w:w="1230" w:type="dxa"/>
          </w:tcPr>
          <w:p w:rsidR="00E4272E" w:rsidRPr="00E4272E" w:rsidRDefault="00E4272E" w:rsidP="00E95F0C">
            <w:pPr>
              <w:spacing w:after="0"/>
              <w:rPr>
                <w:color w:val="00B050"/>
              </w:rPr>
            </w:pPr>
            <w:r w:rsidRPr="00E4272E">
              <w:rPr>
                <w:color w:val="00B050"/>
              </w:rPr>
              <w:lastRenderedPageBreak/>
              <w:t>12/6/10</w:t>
            </w:r>
          </w:p>
        </w:tc>
        <w:tc>
          <w:tcPr>
            <w:tcW w:w="948" w:type="dxa"/>
          </w:tcPr>
          <w:p w:rsidR="00E4272E" w:rsidRPr="00E4272E" w:rsidRDefault="00E4272E" w:rsidP="00E95F0C">
            <w:pPr>
              <w:spacing w:after="0"/>
              <w:rPr>
                <w:color w:val="00B050"/>
              </w:rPr>
            </w:pPr>
          </w:p>
        </w:tc>
        <w:tc>
          <w:tcPr>
            <w:tcW w:w="7158" w:type="dxa"/>
          </w:tcPr>
          <w:p w:rsidR="00E4272E" w:rsidRPr="00E4272E" w:rsidRDefault="00E4272E" w:rsidP="00E95F0C">
            <w:pPr>
              <w:pStyle w:val="Default"/>
              <w:rPr>
                <w:rFonts w:asciiTheme="minorHAnsi" w:hAnsiTheme="minorHAnsi" w:cstheme="minorBidi"/>
                <w:color w:val="00B050"/>
                <w:sz w:val="22"/>
                <w:szCs w:val="22"/>
              </w:rPr>
            </w:pPr>
            <w:r w:rsidRPr="00E4272E">
              <w:rPr>
                <w:rFonts w:asciiTheme="minorHAnsi" w:hAnsiTheme="minorHAnsi" w:cstheme="minorBidi"/>
                <w:color w:val="00B050"/>
                <w:sz w:val="22"/>
                <w:szCs w:val="22"/>
              </w:rPr>
              <w:t>Cindy: Send either DICOM Supplement 122 link or document.</w:t>
            </w:r>
          </w:p>
        </w:tc>
        <w:tc>
          <w:tcPr>
            <w:tcW w:w="1249" w:type="dxa"/>
          </w:tcPr>
          <w:p w:rsidR="00E4272E" w:rsidRPr="00E4272E" w:rsidRDefault="00E4272E" w:rsidP="00E95F0C">
            <w:pPr>
              <w:spacing w:after="0"/>
              <w:rPr>
                <w:color w:val="00B050"/>
              </w:rPr>
            </w:pPr>
          </w:p>
        </w:tc>
      </w:tr>
      <w:tr w:rsidR="00D23801" w:rsidRPr="009211E3" w:rsidTr="00346A86">
        <w:trPr>
          <w:cantSplit/>
        </w:trPr>
        <w:tc>
          <w:tcPr>
            <w:tcW w:w="1230" w:type="dxa"/>
          </w:tcPr>
          <w:p w:rsidR="00D23801" w:rsidRPr="007B0F5C" w:rsidRDefault="00D23801" w:rsidP="00346A86">
            <w:pPr>
              <w:spacing w:after="0"/>
              <w:rPr>
                <w:color w:val="A6A6A6" w:themeColor="background1" w:themeShade="A6"/>
              </w:rPr>
            </w:pPr>
            <w:r w:rsidRPr="007B0F5C">
              <w:rPr>
                <w:color w:val="A6A6A6" w:themeColor="background1" w:themeShade="A6"/>
              </w:rPr>
              <w:t>11/8/10</w:t>
            </w:r>
          </w:p>
        </w:tc>
        <w:tc>
          <w:tcPr>
            <w:tcW w:w="948" w:type="dxa"/>
          </w:tcPr>
          <w:p w:rsidR="00D23801" w:rsidRPr="007B0F5C" w:rsidRDefault="00D23801" w:rsidP="00346A86">
            <w:pPr>
              <w:spacing w:after="0"/>
              <w:rPr>
                <w:color w:val="A6A6A6" w:themeColor="background1" w:themeShade="A6"/>
              </w:rPr>
            </w:pPr>
          </w:p>
        </w:tc>
        <w:tc>
          <w:tcPr>
            <w:tcW w:w="7158" w:type="dxa"/>
          </w:tcPr>
          <w:p w:rsidR="00D23801" w:rsidRPr="007B0F5C" w:rsidRDefault="00D23801" w:rsidP="00346A86">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23801" w:rsidRPr="007B0F5C" w:rsidRDefault="00D23801" w:rsidP="00346A86">
            <w:pPr>
              <w:spacing w:after="0"/>
              <w:rPr>
                <w:color w:val="A6A6A6" w:themeColor="background1" w:themeShade="A6"/>
              </w:rPr>
            </w:pPr>
            <w:r w:rsidRPr="007B0F5C">
              <w:rPr>
                <w:color w:val="A6A6A6" w:themeColor="background1" w:themeShade="A6"/>
              </w:rPr>
              <w:t>Not tracked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share meeting information for the next meeting when it is sent by the co-chairs.</w:t>
            </w:r>
          </w:p>
        </w:tc>
        <w:tc>
          <w:tcPr>
            <w:tcW w:w="1249" w:type="dxa"/>
          </w:tcPr>
          <w:p w:rsidR="00D23801" w:rsidRPr="007B0F5C" w:rsidRDefault="00D23801" w:rsidP="00346A86">
            <w:pPr>
              <w:spacing w:after="0"/>
              <w:rPr>
                <w:color w:val="00B050"/>
              </w:rPr>
            </w:pPr>
            <w:r w:rsidRPr="007B0F5C">
              <w:rPr>
                <w:color w:val="00B050"/>
              </w:rPr>
              <w:t>Completed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send flow chart PDF to Anne Pollack</w:t>
            </w:r>
          </w:p>
        </w:tc>
        <w:tc>
          <w:tcPr>
            <w:tcW w:w="1249" w:type="dxa"/>
          </w:tcPr>
          <w:p w:rsidR="00D23801" w:rsidRPr="007B0F5C" w:rsidRDefault="00D23801" w:rsidP="00346A86">
            <w:pPr>
              <w:spacing w:after="0"/>
              <w:rPr>
                <w:color w:val="00B050"/>
              </w:rPr>
            </w:pPr>
            <w:r w:rsidRPr="007B0F5C">
              <w:rPr>
                <w:color w:val="00B050"/>
              </w:rPr>
              <w:t>Completed</w:t>
            </w:r>
          </w:p>
        </w:tc>
      </w:tr>
    </w:tbl>
    <w:p w:rsidR="00D23801" w:rsidRDefault="00D23801" w:rsidP="00BE57FF"/>
    <w:p w:rsidR="00346A86" w:rsidRDefault="00346A86" w:rsidP="00346A86">
      <w:pPr>
        <w:pStyle w:val="Heading1"/>
      </w:pPr>
      <w:r>
        <w:t xml:space="preserve">Agenda Next Call: </w:t>
      </w:r>
      <w:r w:rsidR="003B2201">
        <w:t xml:space="preserve">January </w:t>
      </w:r>
      <w:r w:rsidR="00B00FD3">
        <w:t>31</w:t>
      </w:r>
      <w:r w:rsidR="003B2201">
        <w:t>, 2011</w:t>
      </w:r>
    </w:p>
    <w:p w:rsidR="00346A86" w:rsidRDefault="00346A86" w:rsidP="00346A86">
      <w:pPr>
        <w:pStyle w:val="Default"/>
        <w:numPr>
          <w:ilvl w:val="0"/>
          <w:numId w:val="14"/>
        </w:numPr>
        <w:rPr>
          <w:sz w:val="22"/>
          <w:szCs w:val="22"/>
        </w:rPr>
      </w:pPr>
    </w:p>
    <w:p w:rsidR="00346A86" w:rsidRDefault="00346A86" w:rsidP="00BE57FF"/>
    <w:sectPr w:rsidR="00346A86"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841F61"/>
    <w:multiLevelType w:val="hybridMultilevel"/>
    <w:tmpl w:val="E6469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7A7840"/>
    <w:multiLevelType w:val="multilevel"/>
    <w:tmpl w:val="21D2C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AF17F11"/>
    <w:multiLevelType w:val="multilevel"/>
    <w:tmpl w:val="FF2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134C1"/>
    <w:multiLevelType w:val="multilevel"/>
    <w:tmpl w:val="1DC0C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C4653E"/>
    <w:multiLevelType w:val="hybridMultilevel"/>
    <w:tmpl w:val="69F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4D0449"/>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A361A7"/>
    <w:multiLevelType w:val="multilevel"/>
    <w:tmpl w:val="0E0E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A76141"/>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nsid w:val="757011B4"/>
    <w:multiLevelType w:val="multilevel"/>
    <w:tmpl w:val="D24E91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8"/>
  </w:num>
  <w:num w:numId="3">
    <w:abstractNumId w:val="24"/>
  </w:num>
  <w:num w:numId="4">
    <w:abstractNumId w:val="2"/>
  </w:num>
  <w:num w:numId="5">
    <w:abstractNumId w:val="21"/>
  </w:num>
  <w:num w:numId="6">
    <w:abstractNumId w:val="0"/>
  </w:num>
  <w:num w:numId="7">
    <w:abstractNumId w:val="8"/>
  </w:num>
  <w:num w:numId="8">
    <w:abstractNumId w:val="15"/>
  </w:num>
  <w:num w:numId="9">
    <w:abstractNumId w:val="16"/>
  </w:num>
  <w:num w:numId="10">
    <w:abstractNumId w:val="9"/>
  </w:num>
  <w:num w:numId="11">
    <w:abstractNumId w:val="14"/>
  </w:num>
  <w:num w:numId="12">
    <w:abstractNumId w:val="1"/>
  </w:num>
  <w:num w:numId="13">
    <w:abstractNumId w:val="10"/>
  </w:num>
  <w:num w:numId="14">
    <w:abstractNumId w:val="20"/>
  </w:num>
  <w:num w:numId="15">
    <w:abstractNumId w:val="25"/>
  </w:num>
  <w:num w:numId="16">
    <w:abstractNumId w:val="19"/>
  </w:num>
  <w:num w:numId="17">
    <w:abstractNumId w:val="12"/>
  </w:num>
  <w:num w:numId="18">
    <w:abstractNumId w:val="22"/>
  </w:num>
  <w:num w:numId="19">
    <w:abstractNumId w:val="17"/>
  </w:num>
  <w:num w:numId="20">
    <w:abstractNumId w:val="23"/>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6"/>
  </w:num>
  <w:num w:numId="24">
    <w:abstractNumId w:val="13"/>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95B77"/>
    <w:rsid w:val="000A3951"/>
    <w:rsid w:val="000E7DD8"/>
    <w:rsid w:val="00135141"/>
    <w:rsid w:val="001407CE"/>
    <w:rsid w:val="00140C93"/>
    <w:rsid w:val="0014729C"/>
    <w:rsid w:val="00163581"/>
    <w:rsid w:val="0016773B"/>
    <w:rsid w:val="001A47D4"/>
    <w:rsid w:val="001C13BA"/>
    <w:rsid w:val="001C5129"/>
    <w:rsid w:val="001E514A"/>
    <w:rsid w:val="001F0BE2"/>
    <w:rsid w:val="00200024"/>
    <w:rsid w:val="002021B1"/>
    <w:rsid w:val="002176BC"/>
    <w:rsid w:val="002272D8"/>
    <w:rsid w:val="002360D2"/>
    <w:rsid w:val="002955BD"/>
    <w:rsid w:val="00307302"/>
    <w:rsid w:val="00323E3E"/>
    <w:rsid w:val="00342BCF"/>
    <w:rsid w:val="00345771"/>
    <w:rsid w:val="00346A86"/>
    <w:rsid w:val="003B1A7D"/>
    <w:rsid w:val="003B2201"/>
    <w:rsid w:val="003B452F"/>
    <w:rsid w:val="003F2E52"/>
    <w:rsid w:val="003F6954"/>
    <w:rsid w:val="004311D1"/>
    <w:rsid w:val="00443E14"/>
    <w:rsid w:val="0048200B"/>
    <w:rsid w:val="004B2CBF"/>
    <w:rsid w:val="004C01CF"/>
    <w:rsid w:val="004C4B44"/>
    <w:rsid w:val="004C621A"/>
    <w:rsid w:val="004F03F2"/>
    <w:rsid w:val="005036F7"/>
    <w:rsid w:val="00506C84"/>
    <w:rsid w:val="0051170C"/>
    <w:rsid w:val="00523513"/>
    <w:rsid w:val="0052567A"/>
    <w:rsid w:val="00530EAA"/>
    <w:rsid w:val="00533F78"/>
    <w:rsid w:val="005404E8"/>
    <w:rsid w:val="0056064C"/>
    <w:rsid w:val="00561CD7"/>
    <w:rsid w:val="00576F39"/>
    <w:rsid w:val="005A3F8F"/>
    <w:rsid w:val="005C1835"/>
    <w:rsid w:val="005C22B4"/>
    <w:rsid w:val="005F461E"/>
    <w:rsid w:val="006051B7"/>
    <w:rsid w:val="006116D2"/>
    <w:rsid w:val="00616E1D"/>
    <w:rsid w:val="006301AA"/>
    <w:rsid w:val="006318E9"/>
    <w:rsid w:val="006370BE"/>
    <w:rsid w:val="00647828"/>
    <w:rsid w:val="0065637F"/>
    <w:rsid w:val="00664F24"/>
    <w:rsid w:val="006809B6"/>
    <w:rsid w:val="006B5735"/>
    <w:rsid w:val="006C2EF5"/>
    <w:rsid w:val="006C31CC"/>
    <w:rsid w:val="006D4F2D"/>
    <w:rsid w:val="006E5B5C"/>
    <w:rsid w:val="006E5DED"/>
    <w:rsid w:val="006F0E5B"/>
    <w:rsid w:val="007073A1"/>
    <w:rsid w:val="00726320"/>
    <w:rsid w:val="00727260"/>
    <w:rsid w:val="0074070A"/>
    <w:rsid w:val="007B01A1"/>
    <w:rsid w:val="007B0F5C"/>
    <w:rsid w:val="007F2544"/>
    <w:rsid w:val="00815421"/>
    <w:rsid w:val="00816247"/>
    <w:rsid w:val="00821BBA"/>
    <w:rsid w:val="008238A4"/>
    <w:rsid w:val="00840DEB"/>
    <w:rsid w:val="008413FD"/>
    <w:rsid w:val="00841A6B"/>
    <w:rsid w:val="00855101"/>
    <w:rsid w:val="0086675D"/>
    <w:rsid w:val="008B136A"/>
    <w:rsid w:val="008C312E"/>
    <w:rsid w:val="008D4FAC"/>
    <w:rsid w:val="00903F46"/>
    <w:rsid w:val="00905333"/>
    <w:rsid w:val="00906A9D"/>
    <w:rsid w:val="009073F6"/>
    <w:rsid w:val="0092063B"/>
    <w:rsid w:val="009211E3"/>
    <w:rsid w:val="0095631D"/>
    <w:rsid w:val="009A36FA"/>
    <w:rsid w:val="009A42F1"/>
    <w:rsid w:val="009D2D99"/>
    <w:rsid w:val="00A52B96"/>
    <w:rsid w:val="00A825B0"/>
    <w:rsid w:val="00AA28DC"/>
    <w:rsid w:val="00AC3540"/>
    <w:rsid w:val="00AF5675"/>
    <w:rsid w:val="00AF5A2B"/>
    <w:rsid w:val="00AF625A"/>
    <w:rsid w:val="00B00FD3"/>
    <w:rsid w:val="00B14C86"/>
    <w:rsid w:val="00B178C2"/>
    <w:rsid w:val="00B312F5"/>
    <w:rsid w:val="00B43930"/>
    <w:rsid w:val="00B726C3"/>
    <w:rsid w:val="00BA435F"/>
    <w:rsid w:val="00BE23F7"/>
    <w:rsid w:val="00BE57FF"/>
    <w:rsid w:val="00C01AEC"/>
    <w:rsid w:val="00C105E0"/>
    <w:rsid w:val="00C16003"/>
    <w:rsid w:val="00C21EB9"/>
    <w:rsid w:val="00C23730"/>
    <w:rsid w:val="00C727C4"/>
    <w:rsid w:val="00C94EBC"/>
    <w:rsid w:val="00CA4017"/>
    <w:rsid w:val="00CB1D7B"/>
    <w:rsid w:val="00CB5620"/>
    <w:rsid w:val="00CD2DE9"/>
    <w:rsid w:val="00CF1F27"/>
    <w:rsid w:val="00D01A72"/>
    <w:rsid w:val="00D143EE"/>
    <w:rsid w:val="00D23801"/>
    <w:rsid w:val="00D31991"/>
    <w:rsid w:val="00D32587"/>
    <w:rsid w:val="00D465EF"/>
    <w:rsid w:val="00D46B3F"/>
    <w:rsid w:val="00D529A6"/>
    <w:rsid w:val="00D542DF"/>
    <w:rsid w:val="00D6425D"/>
    <w:rsid w:val="00D74194"/>
    <w:rsid w:val="00D75AD3"/>
    <w:rsid w:val="00D923A5"/>
    <w:rsid w:val="00DB4759"/>
    <w:rsid w:val="00DB5E57"/>
    <w:rsid w:val="00DE1B9A"/>
    <w:rsid w:val="00DF07FD"/>
    <w:rsid w:val="00E22AFC"/>
    <w:rsid w:val="00E4272E"/>
    <w:rsid w:val="00E501BF"/>
    <w:rsid w:val="00E6343F"/>
    <w:rsid w:val="00E90315"/>
    <w:rsid w:val="00E9412F"/>
    <w:rsid w:val="00E9539B"/>
    <w:rsid w:val="00E95F0C"/>
    <w:rsid w:val="00EA7241"/>
    <w:rsid w:val="00EB1D29"/>
    <w:rsid w:val="00ED608D"/>
    <w:rsid w:val="00EE175E"/>
    <w:rsid w:val="00EE471E"/>
    <w:rsid w:val="00EE660C"/>
    <w:rsid w:val="00EE71E8"/>
    <w:rsid w:val="00EF4FD0"/>
    <w:rsid w:val="00EF741A"/>
    <w:rsid w:val="00F0313C"/>
    <w:rsid w:val="00F06192"/>
    <w:rsid w:val="00F0660C"/>
    <w:rsid w:val="00F11C91"/>
    <w:rsid w:val="00F2608D"/>
    <w:rsid w:val="00F303E7"/>
    <w:rsid w:val="00F343CF"/>
    <w:rsid w:val="00F617CB"/>
    <w:rsid w:val="00F625C1"/>
    <w:rsid w:val="00F938B8"/>
    <w:rsid w:val="00F94416"/>
    <w:rsid w:val="00FB1FE0"/>
    <w:rsid w:val="00FB2D59"/>
    <w:rsid w:val="00FB3734"/>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 w:type="character" w:customStyle="1" w:styleId="art-postheader">
    <w:name w:val="art-postheader"/>
    <w:basedOn w:val="DefaultParagraphFont"/>
    <w:rsid w:val="00F303E7"/>
  </w:style>
</w:styles>
</file>

<file path=word/webSettings.xml><?xml version="1.0" encoding="utf-8"?>
<w:webSettings xmlns:r="http://schemas.openxmlformats.org/officeDocument/2006/relationships" xmlns:w="http://schemas.openxmlformats.org/wordprocessingml/2006/main">
  <w:divs>
    <w:div w:id="424309884">
      <w:bodyDiv w:val="1"/>
      <w:marLeft w:val="0"/>
      <w:marRight w:val="0"/>
      <w:marTop w:val="0"/>
      <w:marBottom w:val="0"/>
      <w:divBdr>
        <w:top w:val="none" w:sz="0" w:space="0" w:color="auto"/>
        <w:left w:val="none" w:sz="0" w:space="0" w:color="auto"/>
        <w:bottom w:val="none" w:sz="0" w:space="0" w:color="auto"/>
        <w:right w:val="none" w:sz="0" w:space="0" w:color="auto"/>
      </w:divBdr>
      <w:divsChild>
        <w:div w:id="1083916019">
          <w:marLeft w:val="0"/>
          <w:marRight w:val="0"/>
          <w:marTop w:val="0"/>
          <w:marBottom w:val="0"/>
          <w:divBdr>
            <w:top w:val="none" w:sz="0" w:space="0" w:color="auto"/>
            <w:left w:val="none" w:sz="0" w:space="0" w:color="auto"/>
            <w:bottom w:val="none" w:sz="0" w:space="0" w:color="auto"/>
            <w:right w:val="none" w:sz="0" w:space="0" w:color="auto"/>
          </w:divBdr>
          <w:divsChild>
            <w:div w:id="484593661">
              <w:marLeft w:val="0"/>
              <w:marRight w:val="0"/>
              <w:marTop w:val="120"/>
              <w:marBottom w:val="0"/>
              <w:divBdr>
                <w:top w:val="none" w:sz="0" w:space="0" w:color="auto"/>
                <w:left w:val="none" w:sz="0" w:space="0" w:color="auto"/>
                <w:bottom w:val="none" w:sz="0" w:space="0" w:color="auto"/>
                <w:right w:val="none" w:sz="0" w:space="0" w:color="auto"/>
              </w:divBdr>
              <w:divsChild>
                <w:div w:id="1642727368">
                  <w:marLeft w:val="0"/>
                  <w:marRight w:val="0"/>
                  <w:marTop w:val="0"/>
                  <w:marBottom w:val="0"/>
                  <w:divBdr>
                    <w:top w:val="none" w:sz="0" w:space="0" w:color="auto"/>
                    <w:left w:val="none" w:sz="0" w:space="0" w:color="auto"/>
                    <w:bottom w:val="none" w:sz="0" w:space="0" w:color="auto"/>
                    <w:right w:val="none" w:sz="0" w:space="0" w:color="auto"/>
                  </w:divBdr>
                  <w:divsChild>
                    <w:div w:id="2041583437">
                      <w:marLeft w:val="0"/>
                      <w:marRight w:val="0"/>
                      <w:marTop w:val="0"/>
                      <w:marBottom w:val="0"/>
                      <w:divBdr>
                        <w:top w:val="none" w:sz="0" w:space="0" w:color="auto"/>
                        <w:left w:val="none" w:sz="0" w:space="0" w:color="auto"/>
                        <w:bottom w:val="none" w:sz="0" w:space="0" w:color="auto"/>
                        <w:right w:val="none" w:sz="0" w:space="0" w:color="auto"/>
                      </w:divBdr>
                      <w:divsChild>
                        <w:div w:id="1976400978">
                          <w:marLeft w:val="0"/>
                          <w:marRight w:val="0"/>
                          <w:marTop w:val="0"/>
                          <w:marBottom w:val="0"/>
                          <w:divBdr>
                            <w:top w:val="none" w:sz="0" w:space="0" w:color="auto"/>
                            <w:left w:val="none" w:sz="0" w:space="0" w:color="auto"/>
                            <w:bottom w:val="none" w:sz="0" w:space="0" w:color="auto"/>
                            <w:right w:val="none" w:sz="0" w:space="0" w:color="auto"/>
                          </w:divBdr>
                          <w:divsChild>
                            <w:div w:id="728773051">
                              <w:marLeft w:val="60"/>
                              <w:marRight w:val="60"/>
                              <w:marTop w:val="60"/>
                              <w:marBottom w:val="60"/>
                              <w:divBdr>
                                <w:top w:val="none" w:sz="0" w:space="0" w:color="auto"/>
                                <w:left w:val="none" w:sz="0" w:space="0" w:color="auto"/>
                                <w:bottom w:val="none" w:sz="0" w:space="0" w:color="auto"/>
                                <w:right w:val="none" w:sz="0" w:space="0" w:color="auto"/>
                              </w:divBdr>
                              <w:divsChild>
                                <w:div w:id="762803496">
                                  <w:marLeft w:val="0"/>
                                  <w:marRight w:val="0"/>
                                  <w:marTop w:val="0"/>
                                  <w:marBottom w:val="0"/>
                                  <w:divBdr>
                                    <w:top w:val="none" w:sz="0" w:space="0" w:color="auto"/>
                                    <w:left w:val="none" w:sz="0" w:space="0" w:color="auto"/>
                                    <w:bottom w:val="none" w:sz="0" w:space="0" w:color="auto"/>
                                    <w:right w:val="none" w:sz="0" w:space="0" w:color="auto"/>
                                  </w:divBdr>
                                  <w:divsChild>
                                    <w:div w:id="1047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131214">
      <w:bodyDiv w:val="1"/>
      <w:marLeft w:val="0"/>
      <w:marRight w:val="0"/>
      <w:marTop w:val="0"/>
      <w:marBottom w:val="0"/>
      <w:divBdr>
        <w:top w:val="none" w:sz="0" w:space="0" w:color="auto"/>
        <w:left w:val="none" w:sz="0" w:space="0" w:color="auto"/>
        <w:bottom w:val="none" w:sz="0" w:space="0" w:color="auto"/>
        <w:right w:val="none" w:sz="0" w:space="0" w:color="auto"/>
      </w:divBdr>
    </w:div>
    <w:div w:id="944771124">
      <w:bodyDiv w:val="1"/>
      <w:marLeft w:val="0"/>
      <w:marRight w:val="0"/>
      <w:marTop w:val="0"/>
      <w:marBottom w:val="0"/>
      <w:divBdr>
        <w:top w:val="none" w:sz="0" w:space="0" w:color="auto"/>
        <w:left w:val="none" w:sz="0" w:space="0" w:color="auto"/>
        <w:bottom w:val="none" w:sz="0" w:space="0" w:color="auto"/>
        <w:right w:val="none" w:sz="0" w:space="0" w:color="auto"/>
      </w:divBdr>
    </w:div>
    <w:div w:id="981691609">
      <w:bodyDiv w:val="1"/>
      <w:marLeft w:val="0"/>
      <w:marRight w:val="0"/>
      <w:marTop w:val="0"/>
      <w:marBottom w:val="0"/>
      <w:divBdr>
        <w:top w:val="none" w:sz="0" w:space="0" w:color="auto"/>
        <w:left w:val="none" w:sz="0" w:space="0" w:color="auto"/>
        <w:bottom w:val="none" w:sz="0" w:space="0" w:color="auto"/>
        <w:right w:val="none" w:sz="0" w:space="0" w:color="auto"/>
      </w:divBdr>
    </w:div>
    <w:div w:id="1001354436">
      <w:bodyDiv w:val="1"/>
      <w:marLeft w:val="0"/>
      <w:marRight w:val="0"/>
      <w:marTop w:val="0"/>
      <w:marBottom w:val="0"/>
      <w:divBdr>
        <w:top w:val="none" w:sz="0" w:space="0" w:color="auto"/>
        <w:left w:val="none" w:sz="0" w:space="0" w:color="auto"/>
        <w:bottom w:val="none" w:sz="0" w:space="0" w:color="auto"/>
        <w:right w:val="none" w:sz="0" w:space="0" w:color="auto"/>
      </w:divBdr>
    </w:div>
    <w:div w:id="1041632989">
      <w:bodyDiv w:val="1"/>
      <w:marLeft w:val="0"/>
      <w:marRight w:val="0"/>
      <w:marTop w:val="0"/>
      <w:marBottom w:val="0"/>
      <w:divBdr>
        <w:top w:val="none" w:sz="0" w:space="0" w:color="auto"/>
        <w:left w:val="none" w:sz="0" w:space="0" w:color="auto"/>
        <w:bottom w:val="none" w:sz="0" w:space="0" w:color="auto"/>
        <w:right w:val="none" w:sz="0" w:space="0" w:color="auto"/>
      </w:divBdr>
    </w:div>
    <w:div w:id="1488091653">
      <w:bodyDiv w:val="1"/>
      <w:marLeft w:val="0"/>
      <w:marRight w:val="0"/>
      <w:marTop w:val="0"/>
      <w:marBottom w:val="0"/>
      <w:divBdr>
        <w:top w:val="none" w:sz="0" w:space="0" w:color="auto"/>
        <w:left w:val="none" w:sz="0" w:space="0" w:color="auto"/>
        <w:bottom w:val="none" w:sz="0" w:space="0" w:color="auto"/>
        <w:right w:val="none" w:sz="0" w:space="0" w:color="auto"/>
      </w:divBdr>
    </w:div>
    <w:div w:id="1580863978">
      <w:bodyDiv w:val="1"/>
      <w:marLeft w:val="0"/>
      <w:marRight w:val="0"/>
      <w:marTop w:val="0"/>
      <w:marBottom w:val="0"/>
      <w:divBdr>
        <w:top w:val="none" w:sz="0" w:space="0" w:color="auto"/>
        <w:left w:val="none" w:sz="0" w:space="0" w:color="auto"/>
        <w:bottom w:val="none" w:sz="0" w:space="0" w:color="auto"/>
        <w:right w:val="none" w:sz="0" w:space="0" w:color="auto"/>
      </w:divBdr>
    </w:div>
    <w:div w:id="1743409662">
      <w:bodyDiv w:val="1"/>
      <w:marLeft w:val="0"/>
      <w:marRight w:val="0"/>
      <w:marTop w:val="0"/>
      <w:marBottom w:val="0"/>
      <w:divBdr>
        <w:top w:val="none" w:sz="0" w:space="0" w:color="auto"/>
        <w:left w:val="none" w:sz="0" w:space="0" w:color="auto"/>
        <w:bottom w:val="none" w:sz="0" w:space="0" w:color="auto"/>
        <w:right w:val="none" w:sz="0" w:space="0" w:color="auto"/>
      </w:divBdr>
    </w:div>
    <w:div w:id="1899243021">
      <w:bodyDiv w:val="1"/>
      <w:marLeft w:val="0"/>
      <w:marRight w:val="0"/>
      <w:marTop w:val="0"/>
      <w:marBottom w:val="0"/>
      <w:divBdr>
        <w:top w:val="none" w:sz="0" w:space="0" w:color="auto"/>
        <w:left w:val="none" w:sz="0" w:space="0" w:color="auto"/>
        <w:bottom w:val="none" w:sz="0" w:space="0" w:color="auto"/>
        <w:right w:val="none" w:sz="0" w:space="0" w:color="auto"/>
      </w:divBdr>
    </w:div>
    <w:div w:id="211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3.gotomeeting.com/register/7842216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0739B-0F2D-438E-A8AA-89B1F3C0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10</cp:revision>
  <dcterms:created xsi:type="dcterms:W3CDTF">2011-01-31T15:08:00Z</dcterms:created>
  <dcterms:modified xsi:type="dcterms:W3CDTF">2011-01-31T16:39:00Z</dcterms:modified>
</cp:coreProperties>
</file>