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18E" w:rsidRDefault="00B135DF">
      <w:pPr>
        <w:pStyle w:val="BodyA"/>
        <w:tabs>
          <w:tab w:val="left" w:pos="6030"/>
        </w:tabs>
        <w:spacing w:before="240" w:after="0" w:line="288" w:lineRule="auto"/>
        <w:rPr>
          <w:rFonts w:ascii="Arial" w:eastAsia="Arial" w:hAnsi="Arial" w:cs="Arial"/>
          <w:b/>
          <w:bCs/>
          <w:color w:val="FFFFFF"/>
          <w:sz w:val="28"/>
          <w:szCs w:val="28"/>
          <w:u w:color="FFFFFF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4638675</wp:posOffset>
            </wp:positionH>
            <wp:positionV relativeFrom="line">
              <wp:posOffset>-60325</wp:posOffset>
            </wp:positionV>
            <wp:extent cx="1028700" cy="1028700"/>
            <wp:effectExtent l="0" t="0" r="0" b="0"/>
            <wp:wrapNone/>
            <wp:docPr id="1073741825" name="officeArt object" descr="Description: Description: Macintosh HD:Users:shannonleigh:Desktop:fh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Description: Description: Macintosh HD:Users:shannonleigh:Desktop:fha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line">
                  <wp:posOffset>-209550</wp:posOffset>
                </wp:positionV>
                <wp:extent cx="6318250" cy="1320800"/>
                <wp:effectExtent l="0" t="0" r="0" b="0"/>
                <wp:wrapNone/>
                <wp:docPr id="1073741826" name="officeArt object" descr="Description: 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1320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A334E"/>
                            </a:gs>
                            <a:gs pos="100000">
                              <a:srgbClr val="3D618A"/>
                            </a:gs>
                          </a:gsLst>
                          <a:lin ang="5400000" scaled="0"/>
                        </a:gra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>
                          <a:outerShdw blurRad="12700"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32.4pt;margin-top:-16.5pt;width:497.5pt;height:104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angle="0fd" focus="100%" color="#1A334E" opacity="100.0%" color2="#3D618A" o:opacity2="100.0%" type="gradientUnscale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shadow on="t" color="#808080" opacity="0.34998" offset="0.0pt,1.8pt"/>
                <w10:wrap type="none" side="bothSides" anchorx="text"/>
              </v:rect>
            </w:pict>
          </mc:Fallback>
        </mc:AlternateContent>
      </w:r>
      <w:r>
        <w:rPr>
          <w:rFonts w:ascii="Arial" w:hAnsi="Arial"/>
          <w:b/>
          <w:bCs/>
          <w:color w:val="FFFFFF"/>
          <w:sz w:val="28"/>
          <w:szCs w:val="28"/>
          <w:u w:color="FFFFFF"/>
        </w:rPr>
        <w:t>MEETING TITLE Agenda</w:t>
      </w:r>
    </w:p>
    <w:p w:rsidR="0036518E" w:rsidRDefault="00B135DF">
      <w:pPr>
        <w:pStyle w:val="BodyA"/>
        <w:spacing w:after="0" w:line="288" w:lineRule="auto"/>
        <w:rPr>
          <w:rFonts w:ascii="Arial" w:eastAsia="Arial" w:hAnsi="Arial" w:cs="Arial"/>
          <w:b/>
          <w:bCs/>
          <w:color w:val="FFFFFF"/>
          <w:u w:color="FFFFFF"/>
        </w:rPr>
      </w:pPr>
      <w:r>
        <w:rPr>
          <w:rFonts w:ascii="Arial" w:hAnsi="Arial"/>
          <w:b/>
          <w:bCs/>
          <w:color w:val="FFFFFF"/>
          <w:u w:color="FFFFFF"/>
        </w:rPr>
        <w:t>DAY, DATE</w:t>
      </w:r>
    </w:p>
    <w:p w:rsidR="0036518E" w:rsidRDefault="00B135DF">
      <w:pPr>
        <w:pStyle w:val="BodyA"/>
        <w:spacing w:after="480" w:line="288" w:lineRule="auto"/>
        <w:rPr>
          <w:rFonts w:ascii="Arial" w:eastAsia="Arial" w:hAnsi="Arial" w:cs="Arial"/>
          <w:b/>
          <w:bCs/>
          <w:color w:val="FFFFFF"/>
          <w:u w:color="FFFFFF"/>
        </w:rPr>
      </w:pPr>
      <w:r>
        <w:rPr>
          <w:rFonts w:ascii="Arial" w:hAnsi="Arial"/>
          <w:b/>
          <w:bCs/>
          <w:color w:val="FFFFFF"/>
          <w:u w:color="FFFFFF"/>
        </w:rPr>
        <w:t>TIME / Capitol View</w:t>
      </w:r>
      <w:r>
        <w:t xml:space="preserve"> </w:t>
      </w:r>
    </w:p>
    <w:p w:rsidR="0036518E" w:rsidRDefault="0036518E">
      <w:pPr>
        <w:pStyle w:val="BodyA"/>
        <w:spacing w:line="240" w:lineRule="auto"/>
        <w:jc w:val="center"/>
        <w:rPr>
          <w:rFonts w:ascii="Arial" w:eastAsia="Arial" w:hAnsi="Arial" w:cs="Arial"/>
          <w:b/>
          <w:bCs/>
          <w:color w:val="365F91"/>
          <w:sz w:val="20"/>
          <w:szCs w:val="20"/>
          <w:u w:color="365F91"/>
        </w:rPr>
      </w:pPr>
    </w:p>
    <w:p w:rsidR="0036518E" w:rsidRPr="00DD3A4E" w:rsidRDefault="00AA3AD1">
      <w:pPr>
        <w:pStyle w:val="BodyA"/>
        <w:spacing w:line="240" w:lineRule="auto"/>
        <w:jc w:val="center"/>
        <w:rPr>
          <w:rFonts w:ascii="Arial" w:hAnsi="Arial"/>
          <w:b/>
          <w:bCs/>
          <w:color w:val="365F91"/>
          <w:sz w:val="20"/>
          <w:szCs w:val="20"/>
          <w:u w:color="365F91"/>
        </w:rPr>
      </w:pPr>
      <w:r w:rsidRPr="00DD3A4E">
        <w:rPr>
          <w:rFonts w:ascii="Arial" w:hAnsi="Arial"/>
          <w:b/>
          <w:bCs/>
          <w:color w:val="365F91"/>
          <w:sz w:val="20"/>
          <w:szCs w:val="20"/>
          <w:u w:color="365F91"/>
        </w:rPr>
        <w:t>FHA Health Information Modeling WG</w:t>
      </w:r>
    </w:p>
    <w:p w:rsidR="00DD3A4E" w:rsidRPr="00DD3A4E" w:rsidRDefault="00DD3A4E">
      <w:pPr>
        <w:pStyle w:val="BodyA"/>
        <w:spacing w:line="240" w:lineRule="auto"/>
        <w:jc w:val="center"/>
        <w:rPr>
          <w:rFonts w:ascii="Arial" w:hAnsi="Arial"/>
          <w:b/>
          <w:bCs/>
          <w:color w:val="365F91"/>
          <w:sz w:val="28"/>
          <w:szCs w:val="28"/>
          <w:u w:val="single"/>
        </w:rPr>
      </w:pPr>
      <w:r w:rsidRPr="00DD3A4E">
        <w:rPr>
          <w:rFonts w:ascii="Arial" w:hAnsi="Arial"/>
          <w:b/>
          <w:bCs/>
          <w:color w:val="365F91"/>
          <w:sz w:val="28"/>
          <w:szCs w:val="28"/>
          <w:u w:val="single"/>
        </w:rPr>
        <w:t>Discussion Points</w:t>
      </w:r>
    </w:p>
    <w:p w:rsidR="00AA3AD1" w:rsidRPr="00DD3A4E" w:rsidRDefault="00AA3AD1">
      <w:pPr>
        <w:pStyle w:val="BodyA"/>
        <w:spacing w:line="240" w:lineRule="auto"/>
        <w:jc w:val="center"/>
        <w:rPr>
          <w:rFonts w:ascii="Arial" w:eastAsia="Arial" w:hAnsi="Arial" w:cs="Arial"/>
          <w:b/>
          <w:bCs/>
          <w:color w:val="365F91"/>
          <w:sz w:val="20"/>
          <w:szCs w:val="20"/>
          <w:u w:color="365F91"/>
        </w:rPr>
      </w:pPr>
      <w:r w:rsidRPr="00DD3A4E">
        <w:rPr>
          <w:rFonts w:ascii="Arial" w:hAnsi="Arial"/>
          <w:b/>
          <w:bCs/>
          <w:color w:val="365F91"/>
          <w:sz w:val="20"/>
          <w:szCs w:val="20"/>
          <w:u w:color="365F91"/>
        </w:rPr>
        <w:t>11/10/2015</w:t>
      </w:r>
    </w:p>
    <w:tbl>
      <w:tblPr>
        <w:tblW w:w="9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599"/>
        <w:gridCol w:w="5470"/>
        <w:gridCol w:w="2220"/>
      </w:tblGrid>
      <w:tr w:rsidR="0036518E" w:rsidTr="00AA3AD1">
        <w:trPr>
          <w:trHeight w:val="887"/>
        </w:trPr>
        <w:tc>
          <w:tcPr>
            <w:tcW w:w="1599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518E" w:rsidRPr="005C7386" w:rsidRDefault="005C7386" w:rsidP="005C7386">
            <w:pPr>
              <w:pStyle w:val="BodyA"/>
              <w:spacing w:after="24" w:line="240" w:lineRule="auto"/>
              <w:rPr>
                <w:rFonts w:ascii="Arial" w:hAnsi="Arial" w:cs="Arial"/>
                <w:sz w:val="20"/>
                <w:szCs w:val="20"/>
              </w:rPr>
            </w:pPr>
            <w:r w:rsidRPr="005C7386">
              <w:rPr>
                <w:rFonts w:ascii="Arial" w:hAnsi="Arial" w:cs="Arial"/>
                <w:sz w:val="20"/>
                <w:szCs w:val="20"/>
              </w:rPr>
              <w:t>1</w:t>
            </w:r>
            <w:r w:rsidR="00B135DF" w:rsidRPr="005C7386">
              <w:rPr>
                <w:rFonts w:ascii="Arial" w:hAnsi="Arial" w:cs="Arial"/>
                <w:sz w:val="20"/>
                <w:szCs w:val="20"/>
              </w:rPr>
              <w:t>:10</w:t>
            </w:r>
            <w:r w:rsidR="00B135DF" w:rsidRPr="005C7386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5C7386">
              <w:rPr>
                <w:rFonts w:ascii="Arial" w:hAnsi="Arial" w:cs="Arial"/>
                <w:sz w:val="20"/>
                <w:szCs w:val="20"/>
              </w:rPr>
              <w:t>1</w:t>
            </w:r>
            <w:r w:rsidR="00B135DF" w:rsidRPr="005C7386">
              <w:rPr>
                <w:rFonts w:ascii="Arial" w:hAnsi="Arial" w:cs="Arial"/>
                <w:sz w:val="20"/>
                <w:szCs w:val="20"/>
              </w:rPr>
              <w:t>:20</w:t>
            </w:r>
          </w:p>
        </w:tc>
        <w:tc>
          <w:tcPr>
            <w:tcW w:w="5470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518E" w:rsidRDefault="00B135DF">
            <w:pPr>
              <w:pStyle w:val="BodyA"/>
              <w:spacing w:after="24" w:line="240" w:lineRule="auto"/>
              <w:rPr>
                <w:rFonts w:ascii="Arial" w:hAnsi="Arial" w:cs="Arial"/>
                <w:sz w:val="20"/>
                <w:szCs w:val="20"/>
              </w:rPr>
            </w:pPr>
            <w:r w:rsidRPr="005C7386">
              <w:rPr>
                <w:rFonts w:ascii="Arial" w:hAnsi="Arial" w:cs="Arial"/>
                <w:sz w:val="20"/>
                <w:szCs w:val="20"/>
              </w:rPr>
              <w:t>Review Terminology Modeling Work on Care Plans Info</w:t>
            </w:r>
            <w:r w:rsidRPr="005C7386">
              <w:rPr>
                <w:rFonts w:ascii="Arial" w:hAnsi="Arial" w:cs="Arial"/>
                <w:sz w:val="20"/>
                <w:szCs w:val="20"/>
              </w:rPr>
              <w:t>r</w:t>
            </w:r>
            <w:r w:rsidRPr="005C7386">
              <w:rPr>
                <w:rFonts w:ascii="Arial" w:hAnsi="Arial" w:cs="Arial"/>
                <w:sz w:val="20"/>
                <w:szCs w:val="20"/>
              </w:rPr>
              <w:t>mation Domain</w:t>
            </w:r>
          </w:p>
          <w:p w:rsidR="001B4680" w:rsidRDefault="001B4680">
            <w:pPr>
              <w:pStyle w:val="BodyA"/>
              <w:spacing w:after="24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4680" w:rsidRPr="005C7386" w:rsidRDefault="001B4680" w:rsidP="001B4680">
            <w:pPr>
              <w:pStyle w:val="BodyA"/>
              <w:numPr>
                <w:ilvl w:val="0"/>
                <w:numId w:val="1"/>
              </w:numPr>
              <w:spacing w:after="24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 hopes to receive the value sets for the VA Care Plan Model before the end of the project.</w:t>
            </w:r>
          </w:p>
        </w:tc>
        <w:tc>
          <w:tcPr>
            <w:tcW w:w="2220" w:type="dxa"/>
            <w:tcBorders>
              <w:top w:val="dashed" w:sz="6" w:space="0" w:color="D99594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518E" w:rsidRPr="005C7386" w:rsidRDefault="00B135DF">
            <w:pPr>
              <w:pStyle w:val="TableStyle2"/>
              <w:spacing w:after="24"/>
              <w:rPr>
                <w:rFonts w:ascii="Arial" w:hAnsi="Arial" w:cs="Arial"/>
              </w:rPr>
            </w:pPr>
            <w:r w:rsidRPr="005C7386">
              <w:rPr>
                <w:rFonts w:ascii="Arial" w:eastAsia="Calibri" w:hAnsi="Arial" w:cs="Arial"/>
              </w:rPr>
              <w:t>Jay Lyle</w:t>
            </w:r>
          </w:p>
        </w:tc>
      </w:tr>
      <w:tr w:rsidR="0036518E" w:rsidTr="00AA3AD1">
        <w:trPr>
          <w:trHeight w:val="719"/>
        </w:trPr>
        <w:tc>
          <w:tcPr>
            <w:tcW w:w="1599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518E" w:rsidRPr="005C7386" w:rsidRDefault="005C7386" w:rsidP="005C7386">
            <w:pPr>
              <w:spacing w:after="24"/>
              <w:rPr>
                <w:rFonts w:ascii="Arial" w:hAnsi="Arial" w:cs="Arial"/>
                <w:sz w:val="20"/>
                <w:szCs w:val="20"/>
              </w:rPr>
            </w:pPr>
            <w:r w:rsidRPr="005C7386">
              <w:rPr>
                <w:rFonts w:ascii="Arial" w:eastAsia="Calibri" w:hAnsi="Arial" w:cs="Arial"/>
                <w:color w:val="000000"/>
                <w:sz w:val="20"/>
                <w:szCs w:val="20"/>
                <w:u w:color="000000"/>
              </w:rPr>
              <w:t>1</w:t>
            </w:r>
            <w:r w:rsidR="00B135DF" w:rsidRPr="005C7386">
              <w:rPr>
                <w:rFonts w:ascii="Arial" w:eastAsia="Calibri" w:hAnsi="Arial" w:cs="Arial"/>
                <w:color w:val="000000"/>
                <w:sz w:val="20"/>
                <w:szCs w:val="20"/>
                <w:u w:color="000000"/>
              </w:rPr>
              <w:t xml:space="preserve">:20 - </w:t>
            </w:r>
            <w:r w:rsidRPr="005C7386">
              <w:rPr>
                <w:rFonts w:ascii="Arial" w:eastAsia="Calibri" w:hAnsi="Arial" w:cs="Arial"/>
                <w:color w:val="000000"/>
                <w:sz w:val="20"/>
                <w:szCs w:val="20"/>
                <w:u w:color="000000"/>
              </w:rPr>
              <w:t>1</w:t>
            </w:r>
            <w:r w:rsidR="00B135DF" w:rsidRPr="005C7386">
              <w:rPr>
                <w:rFonts w:ascii="Arial" w:eastAsia="Calibri" w:hAnsi="Arial" w:cs="Arial"/>
                <w:color w:val="000000"/>
                <w:sz w:val="20"/>
                <w:szCs w:val="20"/>
                <w:u w:color="000000"/>
              </w:rPr>
              <w:t>:30</w:t>
            </w:r>
          </w:p>
        </w:tc>
        <w:tc>
          <w:tcPr>
            <w:tcW w:w="5470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E22" w:rsidRPr="00C82E22" w:rsidRDefault="00B135DF" w:rsidP="00C82E22">
            <w:pPr>
              <w:spacing w:after="24"/>
              <w:rPr>
                <w:rFonts w:ascii="Arial" w:hAnsi="Arial" w:cs="Arial"/>
                <w:color w:val="000000"/>
                <w:sz w:val="20"/>
                <w:szCs w:val="20"/>
                <w:u w:color="000000"/>
              </w:rPr>
            </w:pPr>
            <w:r w:rsidRPr="005C7386">
              <w:rPr>
                <w:rFonts w:ascii="Arial" w:hAnsi="Arial" w:cs="Arial"/>
                <w:color w:val="000000"/>
                <w:sz w:val="20"/>
                <w:szCs w:val="20"/>
                <w:u w:color="000000"/>
              </w:rPr>
              <w:t>Review Information Modeling work on Radiology</w:t>
            </w:r>
            <w:r w:rsidRPr="005C7386">
              <w:rPr>
                <w:rFonts w:ascii="Arial" w:hAnsi="Arial" w:cs="Arial"/>
                <w:color w:val="000000"/>
                <w:sz w:val="20"/>
                <w:szCs w:val="20"/>
                <w:u w:color="000000"/>
              </w:rPr>
              <w:t xml:space="preserve"> and Ima</w:t>
            </w:r>
            <w:r w:rsidRPr="005C7386">
              <w:rPr>
                <w:rFonts w:ascii="Arial" w:hAnsi="Arial" w:cs="Arial"/>
                <w:color w:val="000000"/>
                <w:sz w:val="20"/>
                <w:szCs w:val="20"/>
                <w:u w:color="000000"/>
              </w:rPr>
              <w:t>g</w:t>
            </w:r>
            <w:r w:rsidRPr="005C7386">
              <w:rPr>
                <w:rFonts w:ascii="Arial" w:hAnsi="Arial" w:cs="Arial"/>
                <w:color w:val="000000"/>
                <w:sz w:val="20"/>
                <w:szCs w:val="20"/>
                <w:u w:color="000000"/>
              </w:rPr>
              <w:t>ing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518E" w:rsidRPr="005C7386" w:rsidRDefault="00B135DF">
            <w:pPr>
              <w:spacing w:after="24"/>
              <w:rPr>
                <w:rFonts w:ascii="Arial" w:hAnsi="Arial" w:cs="Arial"/>
                <w:sz w:val="20"/>
                <w:szCs w:val="20"/>
              </w:rPr>
            </w:pPr>
            <w:r w:rsidRPr="005C7386">
              <w:rPr>
                <w:rFonts w:ascii="Arial" w:hAnsi="Arial" w:cs="Arial"/>
                <w:color w:val="000000"/>
                <w:sz w:val="20"/>
                <w:szCs w:val="20"/>
                <w:u w:color="000000"/>
              </w:rPr>
              <w:t xml:space="preserve">Galen </w:t>
            </w:r>
            <w:proofErr w:type="spellStart"/>
            <w:r w:rsidRPr="005C7386">
              <w:rPr>
                <w:rFonts w:ascii="Arial" w:hAnsi="Arial" w:cs="Arial"/>
                <w:color w:val="000000"/>
                <w:sz w:val="20"/>
                <w:szCs w:val="20"/>
                <w:u w:color="000000"/>
              </w:rPr>
              <w:t>Mulrooney</w:t>
            </w:r>
            <w:proofErr w:type="spellEnd"/>
          </w:p>
        </w:tc>
      </w:tr>
      <w:tr w:rsidR="0036518E" w:rsidTr="00AA3AD1">
        <w:trPr>
          <w:trHeight w:val="719"/>
        </w:trPr>
        <w:tc>
          <w:tcPr>
            <w:tcW w:w="1599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518E" w:rsidRPr="005C7386" w:rsidRDefault="005C7386" w:rsidP="005C7386">
            <w:pPr>
              <w:pStyle w:val="BodyA"/>
              <w:spacing w:after="24" w:line="240" w:lineRule="auto"/>
              <w:rPr>
                <w:rFonts w:ascii="Arial" w:hAnsi="Arial" w:cs="Arial"/>
                <w:sz w:val="20"/>
                <w:szCs w:val="20"/>
              </w:rPr>
            </w:pPr>
            <w:r w:rsidRPr="005C7386">
              <w:rPr>
                <w:rFonts w:ascii="Arial" w:hAnsi="Arial" w:cs="Arial"/>
                <w:sz w:val="20"/>
                <w:szCs w:val="20"/>
              </w:rPr>
              <w:t>1</w:t>
            </w:r>
            <w:r w:rsidR="00B135DF" w:rsidRPr="005C7386">
              <w:rPr>
                <w:rFonts w:ascii="Arial" w:hAnsi="Arial" w:cs="Arial"/>
                <w:sz w:val="20"/>
                <w:szCs w:val="20"/>
              </w:rPr>
              <w:t xml:space="preserve">:30  - </w:t>
            </w:r>
            <w:r w:rsidRPr="005C7386">
              <w:rPr>
                <w:rFonts w:ascii="Arial" w:hAnsi="Arial" w:cs="Arial"/>
                <w:sz w:val="20"/>
                <w:szCs w:val="20"/>
              </w:rPr>
              <w:t>1</w:t>
            </w:r>
            <w:r w:rsidR="00B135DF" w:rsidRPr="005C7386">
              <w:rPr>
                <w:rFonts w:ascii="Arial" w:hAnsi="Arial" w:cs="Arial"/>
                <w:sz w:val="20"/>
                <w:szCs w:val="20"/>
              </w:rPr>
              <w:t>:55</w:t>
            </w:r>
          </w:p>
        </w:tc>
        <w:tc>
          <w:tcPr>
            <w:tcW w:w="5470" w:type="dxa"/>
            <w:tcBorders>
              <w:top w:val="dashed" w:sz="6" w:space="0" w:color="D99594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518E" w:rsidRDefault="00B135DF">
            <w:pPr>
              <w:pStyle w:val="TableStyle2"/>
              <w:spacing w:after="24"/>
              <w:rPr>
                <w:rFonts w:ascii="Arial" w:eastAsia="Calibri" w:hAnsi="Arial" w:cs="Arial"/>
              </w:rPr>
            </w:pPr>
            <w:r w:rsidRPr="005C7386">
              <w:rPr>
                <w:rFonts w:ascii="Arial" w:eastAsia="Calibri" w:hAnsi="Arial" w:cs="Arial"/>
              </w:rPr>
              <w:t>Review and Discuss Reports Generated from the FHIM U</w:t>
            </w:r>
            <w:r w:rsidRPr="005C7386">
              <w:rPr>
                <w:rFonts w:ascii="Arial" w:eastAsia="Calibri" w:hAnsi="Arial" w:cs="Arial"/>
              </w:rPr>
              <w:t>s</w:t>
            </w:r>
            <w:r w:rsidRPr="005C7386">
              <w:rPr>
                <w:rFonts w:ascii="Arial" w:eastAsia="Calibri" w:hAnsi="Arial" w:cs="Arial"/>
              </w:rPr>
              <w:t>ing our Mapping/Categorization Information</w:t>
            </w:r>
          </w:p>
          <w:p w:rsidR="00C82E22" w:rsidRDefault="00C82E22">
            <w:pPr>
              <w:pStyle w:val="TableStyle2"/>
              <w:spacing w:after="24"/>
              <w:rPr>
                <w:rFonts w:ascii="Arial" w:eastAsia="Calibri" w:hAnsi="Arial" w:cs="Arial"/>
              </w:rPr>
            </w:pPr>
          </w:p>
          <w:p w:rsidR="00C82E22" w:rsidRDefault="00C82E22" w:rsidP="00C82E22">
            <w:pPr>
              <w:pStyle w:val="TableStyle2"/>
              <w:numPr>
                <w:ilvl w:val="0"/>
                <w:numId w:val="1"/>
              </w:numPr>
              <w:spacing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Nona</w:t>
            </w:r>
            <w:r w:rsidR="002F4BD4">
              <w:rPr>
                <w:rFonts w:ascii="Arial" w:hAnsi="Arial" w:cs="Arial"/>
              </w:rPr>
              <w:t xml:space="preserve"> Hall</w:t>
            </w:r>
            <w:r>
              <w:rPr>
                <w:rFonts w:ascii="Arial" w:hAnsi="Arial" w:cs="Arial"/>
              </w:rPr>
              <w:t xml:space="preserve"> asked about adding level of mapping co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pletion to the </w:t>
            </w:r>
            <w:r w:rsidR="006D49C9">
              <w:rPr>
                <w:rFonts w:ascii="Arial" w:hAnsi="Arial" w:cs="Arial"/>
              </w:rPr>
              <w:t>report</w:t>
            </w:r>
            <w:r>
              <w:rPr>
                <w:rFonts w:ascii="Arial" w:hAnsi="Arial" w:cs="Arial"/>
              </w:rPr>
              <w:t>. Sean replied that he is unsure how to calculate a completeness mapping. Rules would have to be developed.</w:t>
            </w:r>
          </w:p>
          <w:p w:rsidR="006D49C9" w:rsidRDefault="006D49C9" w:rsidP="007B69B0">
            <w:pPr>
              <w:pStyle w:val="TableStyle2"/>
              <w:numPr>
                <w:ilvl w:val="0"/>
                <w:numId w:val="1"/>
              </w:numPr>
              <w:spacing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Bob </w:t>
            </w:r>
            <w:r w:rsidR="002F4BD4">
              <w:rPr>
                <w:rFonts w:ascii="Arial" w:hAnsi="Arial" w:cs="Arial"/>
              </w:rPr>
              <w:t xml:space="preserve">Bishop </w:t>
            </w:r>
            <w:r>
              <w:rPr>
                <w:rFonts w:ascii="Arial" w:hAnsi="Arial" w:cs="Arial"/>
              </w:rPr>
              <w:t>asked about how to determine the reason that the blank cells are without information. Sean r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sponded that the purpose of the FHIM is to create the implementation guides </w:t>
            </w:r>
            <w:r w:rsidR="007B69B0">
              <w:rPr>
                <w:rFonts w:ascii="Arial" w:hAnsi="Arial" w:cs="Arial"/>
              </w:rPr>
              <w:t>for the standards</w:t>
            </w:r>
            <w:r>
              <w:rPr>
                <w:rFonts w:ascii="Arial" w:hAnsi="Arial" w:cs="Arial"/>
              </w:rPr>
              <w:t>.</w:t>
            </w:r>
            <w:r w:rsidR="007B69B0">
              <w:rPr>
                <w:rFonts w:ascii="Arial" w:hAnsi="Arial" w:cs="Arial"/>
              </w:rPr>
              <w:t xml:space="preserve"> If you look across all the standards and the rows of mappings are blank, this means that it doesn’t exist in any standard and the SMEs have added it. </w:t>
            </w:r>
            <w:r>
              <w:rPr>
                <w:rFonts w:ascii="Arial" w:hAnsi="Arial" w:cs="Arial"/>
              </w:rPr>
              <w:t>In the future when the r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port is more complete, the blanks</w:t>
            </w:r>
            <w:r w:rsidR="007B69B0">
              <w:rPr>
                <w:rFonts w:ascii="Arial" w:hAnsi="Arial" w:cs="Arial"/>
              </w:rPr>
              <w:t xml:space="preserve"> in certain cells</w:t>
            </w:r>
            <w:r>
              <w:rPr>
                <w:rFonts w:ascii="Arial" w:hAnsi="Arial" w:cs="Arial"/>
              </w:rPr>
              <w:t xml:space="preserve"> will i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dicate where the implementation team still needs to d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velop mapping.</w:t>
            </w:r>
            <w:r w:rsidR="007B69B0">
              <w:rPr>
                <w:rFonts w:ascii="Arial" w:hAnsi="Arial" w:cs="Arial"/>
              </w:rPr>
              <w:t xml:space="preserve"> </w:t>
            </w:r>
          </w:p>
          <w:p w:rsidR="002F17F5" w:rsidRDefault="002F17F5" w:rsidP="007B69B0">
            <w:pPr>
              <w:pStyle w:val="TableStyle2"/>
              <w:numPr>
                <w:ilvl w:val="0"/>
                <w:numId w:val="1"/>
              </w:numPr>
              <w:spacing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 of a report that singles out the specific ma</w:t>
            </w: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pings of a certain initiative versus one that shows ev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rything.</w:t>
            </w:r>
          </w:p>
          <w:p w:rsidR="002F17F5" w:rsidRDefault="002F17F5" w:rsidP="007B69B0">
            <w:pPr>
              <w:pStyle w:val="TableStyle2"/>
              <w:numPr>
                <w:ilvl w:val="0"/>
                <w:numId w:val="1"/>
              </w:numPr>
              <w:spacing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 of leveraging MDMI to make linkages b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tween standards.</w:t>
            </w:r>
          </w:p>
          <w:p w:rsidR="002F4BD4" w:rsidRDefault="002F4BD4" w:rsidP="002F4BD4">
            <w:pPr>
              <w:pStyle w:val="TableStyle2"/>
              <w:numPr>
                <w:ilvl w:val="0"/>
                <w:numId w:val="1"/>
              </w:numPr>
              <w:spacing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Gary Dickenson asked how readily the partners can find their data requirements in the particular stan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ards. Galen responded that the particular standards you want to search can be specified and the domains in the FHIM that are applicable.</w:t>
            </w:r>
          </w:p>
          <w:p w:rsidR="009C0BB6" w:rsidRPr="005C7386" w:rsidRDefault="00B069D0" w:rsidP="002F4BD4">
            <w:pPr>
              <w:pStyle w:val="TableStyle2"/>
              <w:numPr>
                <w:ilvl w:val="0"/>
                <w:numId w:val="1"/>
              </w:numPr>
              <w:spacing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9C0BB6">
              <w:rPr>
                <w:rFonts w:ascii="Arial" w:hAnsi="Arial" w:cs="Arial"/>
              </w:rPr>
              <w:t>linical decision support SMEs requested to attend</w:t>
            </w:r>
            <w:r>
              <w:rPr>
                <w:rFonts w:ascii="Arial" w:hAnsi="Arial" w:cs="Arial"/>
              </w:rPr>
              <w:t xml:space="preserve"> the WG’s Friday calls.</w:t>
            </w:r>
          </w:p>
        </w:tc>
        <w:tc>
          <w:tcPr>
            <w:tcW w:w="2220" w:type="dxa"/>
            <w:tcBorders>
              <w:top w:val="nil"/>
              <w:left w:val="nil"/>
              <w:bottom w:val="dashed" w:sz="6" w:space="0" w:color="D9959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518E" w:rsidRPr="005C7386" w:rsidRDefault="00B135DF">
            <w:pPr>
              <w:pStyle w:val="TableStyle2"/>
              <w:spacing w:after="24"/>
              <w:rPr>
                <w:rFonts w:ascii="Arial" w:hAnsi="Arial" w:cs="Arial"/>
              </w:rPr>
            </w:pPr>
            <w:r w:rsidRPr="005C7386">
              <w:rPr>
                <w:rFonts w:ascii="Arial" w:eastAsia="Calibri" w:hAnsi="Arial" w:cs="Arial"/>
                <w:lang w:val="nl-NL"/>
              </w:rPr>
              <w:t>Galen Mulrooney</w:t>
            </w:r>
            <w:r w:rsidRPr="005C7386">
              <w:rPr>
                <w:rFonts w:ascii="Arial" w:eastAsia="Calibri" w:hAnsi="Arial" w:cs="Arial"/>
              </w:rPr>
              <w:t xml:space="preserve"> and Sean Muir</w:t>
            </w:r>
          </w:p>
        </w:tc>
      </w:tr>
    </w:tbl>
    <w:p w:rsidR="0036518E" w:rsidRDefault="0036518E">
      <w:pPr>
        <w:pStyle w:val="BodyA"/>
        <w:widowControl w:val="0"/>
        <w:spacing w:line="240" w:lineRule="auto"/>
        <w:ind w:left="108" w:hanging="108"/>
      </w:pPr>
      <w:bookmarkStart w:id="0" w:name="_GoBack"/>
      <w:bookmarkEnd w:id="0"/>
    </w:p>
    <w:sectPr w:rsidR="0036518E" w:rsidSect="00A25796">
      <w:headerReference w:type="default" r:id="rId9"/>
      <w:footerReference w:type="default" r:id="rId10"/>
      <w:pgSz w:w="12240" w:h="15840"/>
      <w:pgMar w:top="1440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5DF" w:rsidRDefault="00B135DF">
      <w:r>
        <w:separator/>
      </w:r>
    </w:p>
  </w:endnote>
  <w:endnote w:type="continuationSeparator" w:id="0">
    <w:p w:rsidR="00B135DF" w:rsidRDefault="00B13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18E" w:rsidRDefault="0036518E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5DF" w:rsidRDefault="00B135DF">
      <w:r>
        <w:separator/>
      </w:r>
    </w:p>
  </w:footnote>
  <w:footnote w:type="continuationSeparator" w:id="0">
    <w:p w:rsidR="00B135DF" w:rsidRDefault="00B135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18E" w:rsidRDefault="0036518E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A68F0"/>
    <w:multiLevelType w:val="hybridMultilevel"/>
    <w:tmpl w:val="74020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6518E"/>
    <w:rsid w:val="001B4680"/>
    <w:rsid w:val="002F17F5"/>
    <w:rsid w:val="002F4BD4"/>
    <w:rsid w:val="0036518E"/>
    <w:rsid w:val="0045091F"/>
    <w:rsid w:val="005C7386"/>
    <w:rsid w:val="006D49C9"/>
    <w:rsid w:val="007B69B0"/>
    <w:rsid w:val="009C0BB6"/>
    <w:rsid w:val="00A25796"/>
    <w:rsid w:val="00AA3AD1"/>
    <w:rsid w:val="00B069D0"/>
    <w:rsid w:val="00B135DF"/>
    <w:rsid w:val="00C82E22"/>
    <w:rsid w:val="00DD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Style2">
    <w:name w:val="Table Style 2"/>
    <w:rPr>
      <w:rFonts w:ascii="Helvetica" w:hAnsi="Helvetica" w:cs="Arial Unicode MS"/>
      <w:color w:val="000000"/>
      <w:u w:color="000000"/>
    </w:rPr>
  </w:style>
  <w:style w:type="paragraph" w:styleId="ListParagraph">
    <w:name w:val="List Paragraph"/>
    <w:basedOn w:val="Normal"/>
    <w:uiPriority w:val="34"/>
    <w:qFormat/>
    <w:rsid w:val="001B46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Style2">
    <w:name w:val="Table Style 2"/>
    <w:rPr>
      <w:rFonts w:ascii="Helvetica" w:hAnsi="Helvetica" w:cs="Arial Unicode MS"/>
      <w:color w:val="000000"/>
      <w:u w:color="000000"/>
    </w:rPr>
  </w:style>
  <w:style w:type="paragraph" w:styleId="ListParagraph">
    <w:name w:val="List Paragraph"/>
    <w:basedOn w:val="Normal"/>
    <w:uiPriority w:val="34"/>
    <w:qFormat/>
    <w:rsid w:val="001B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Cushing, Lindsay (OS/ONC) (CTR)</dc:creator>
  <cp:lastModifiedBy>Cushing, Lindsay (OS/ONC) (CTR)</cp:lastModifiedBy>
  <cp:revision>7</cp:revision>
  <dcterms:created xsi:type="dcterms:W3CDTF">2015-11-12T14:28:00Z</dcterms:created>
  <dcterms:modified xsi:type="dcterms:W3CDTF">2015-11-12T17:50:00Z</dcterms:modified>
</cp:coreProperties>
</file>