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195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320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20% complete on SDC.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45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80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10%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6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06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