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935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600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85% complete on SDC; about 85%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27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50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1150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01/16/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01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16/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