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3203" w:type="dxa"/>
        <w:jc w:val="left"/>
        <w:tblInd w:w="231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25"/>
        <w:gridCol w:w="8484"/>
        <w:gridCol w:w="1770"/>
        <w:gridCol w:w="2124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82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848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Steven Wagner</w:t>
            </w:r>
          </w:p>
        </w:tc>
        <w:tc>
          <w:tcPr>
            <w:tcW w:type="dxa" w:w="177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Week Ended</w:t>
            </w:r>
          </w:p>
        </w:tc>
        <w:tc>
          <w:tcPr>
            <w:tcW w:type="dxa" w:w="212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sz w:val="24"/>
                <w:szCs w:val="24"/>
                <w:rtl w:val="0"/>
                <w:lang w:val="en-US"/>
              </w:rPr>
              <w:t>05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29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/201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</w:tr>
    </w:tbl>
    <w:p>
      <w:pPr>
        <w:pStyle w:val="Body"/>
        <w:ind w:left="123" w:hanging="123"/>
      </w:pPr>
    </w:p>
    <w:p>
      <w:pPr>
        <w:pStyle w:val="Free Form"/>
        <w:ind w:left="15" w:firstLine="0"/>
      </w:pPr>
    </w:p>
    <w:p>
      <w:pPr>
        <w:pStyle w:val="Body"/>
        <w:spacing w:after="12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1:  Task Status at the End of the Reporting Period (both Completed/In Progress task)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52"/>
        <w:gridCol w:w="3589"/>
        <w:gridCol w:w="1142"/>
        <w:gridCol w:w="1198"/>
        <w:gridCol w:w="1222"/>
        <w:gridCol w:w="1149"/>
        <w:gridCol w:w="3650"/>
      </w:tblGrid>
      <w:tr>
        <w:tblPrEx>
          <w:shd w:val="clear" w:color="auto" w:fill="bdc0bf"/>
        </w:tblPrEx>
        <w:trPr>
          <w:trHeight w:val="1208" w:hRule="atLeast"/>
          <w:tblHeader/>
        </w:trPr>
        <w:tc>
          <w:tcPr>
            <w:tcW w:type="dxa" w:w="125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Deltek </w:t>
            </w:r>
          </w:p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Code #</w:t>
            </w:r>
          </w:p>
          <w:p>
            <w:pPr>
              <w:pStyle w:val="Body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358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14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Start Date </w:t>
            </w: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mm/dd/yyyy)</w:t>
            </w:r>
          </w:p>
        </w:tc>
        <w:tc>
          <w:tcPr>
            <w:tcW w:type="dxa" w:w="119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Remaining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114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Hours Charged</w:t>
            </w:r>
          </w:p>
        </w:tc>
        <w:tc>
          <w:tcPr>
            <w:tcW w:type="dxa" w:w="365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Identify Missing Domain Documents and Add to Repository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03/22/2013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sz w:val="16"/>
                <w:szCs w:val="16"/>
                <w:rtl w:val="0"/>
                <w:lang w:val="en-US"/>
              </w:rPr>
              <w:t>06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30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/201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Low priority. Time line extended.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support for SDC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,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DAF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and CQF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S&amp;I Framework initiatives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02/13/2013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/>
                <w:sz w:val="16"/>
                <w:szCs w:val="16"/>
                <w:rtl w:val="0"/>
              </w:rPr>
              <w:t>11/30/2015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350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765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Information modeling about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on DAF; about 100% complete on SDC; about 95% complete on CQF.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Fully integrate FHIM into S&amp;I Framework Process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02/01/14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5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29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2015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115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1185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Phase 1 of 3 integration step process is complete. 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W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ork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progressing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on phase 2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- about 90</w:t>
            </w:r>
          </w:p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complete.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8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2:  NEW tasks YOU think should be pulled into FHA Project Schedule (Not started yet)</w:t>
      </w:r>
    </w:p>
    <w:tbl>
      <w:tblPr>
        <w:tblW w:w="1320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41"/>
        <w:gridCol w:w="2295"/>
        <w:gridCol w:w="1412"/>
        <w:gridCol w:w="1588"/>
        <w:gridCol w:w="1235"/>
        <w:gridCol w:w="5332"/>
      </w:tblGrid>
      <w:tr>
        <w:tblPrEx>
          <w:shd w:val="clear" w:color="auto" w:fill="auto"/>
        </w:tblPrEx>
        <w:trPr>
          <w:trHeight w:val="896" w:hRule="atLeast"/>
        </w:trPr>
        <w:tc>
          <w:tcPr>
            <w:tcW w:type="dxa" w:w="134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Deltek Code #</w:t>
            </w:r>
          </w:p>
          <w:p>
            <w:pPr>
              <w:pStyle w:val="Body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229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41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Task Type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(Milestone, Deliverable)</w:t>
            </w:r>
          </w:p>
        </w:tc>
        <w:tc>
          <w:tcPr>
            <w:tcW w:type="dxa" w:w="158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3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FC Head2"/>
            </w:pPr>
          </w:p>
          <w:p>
            <w:pPr>
              <w:pStyle w:val="CFC Head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533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3:  Issue, Risks and Concerns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90"/>
        <w:gridCol w:w="955"/>
        <w:gridCol w:w="2461"/>
        <w:gridCol w:w="1230"/>
        <w:gridCol w:w="6066"/>
      </w:tblGrid>
      <w:tr>
        <w:tblPrEx>
          <w:shd w:val="clear" w:color="auto" w:fill="auto"/>
        </w:tblPrEx>
        <w:trPr>
          <w:trHeight w:val="456" w:hRule="atLeast"/>
        </w:trPr>
        <w:tc>
          <w:tcPr>
            <w:tcW w:type="dxa" w:w="249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Issue</w:t>
            </w:r>
          </w:p>
        </w:tc>
        <w:tc>
          <w:tcPr>
            <w:tcW w:type="dxa" w:w="95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% PO</w:t>
            </w:r>
          </w:p>
        </w:tc>
        <w:tc>
          <w:tcPr>
            <w:tcW w:type="dxa" w:w="246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Impact</w:t>
            </w:r>
          </w:p>
        </w:tc>
        <w:tc>
          <w:tcPr>
            <w:tcW w:type="dxa" w:w="123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Assigned to</w:t>
            </w:r>
          </w:p>
        </w:tc>
        <w:tc>
          <w:tcPr>
            <w:tcW w:type="dxa" w:w="606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Mitigation steps:</w:t>
            </w:r>
          </w:p>
        </w:tc>
      </w:tr>
      <w:tr>
        <w:tblPrEx>
          <w:shd w:val="clear" w:color="auto" w:fill="auto"/>
        </w:tblPrEx>
        <w:trPr>
          <w:trHeight w:val="55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resources may be insufficient for projected workload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Timely completion of projects may be impacted.</w:t>
            </w:r>
          </w:p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Gail</w:t>
            </w:r>
          </w:p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Some additional resources were provided, but not all that were requested, so insufficient resources are still having an impact on the project.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63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</w:pPr>
      <w:r>
        <w:rPr>
          <w:sz w:val="22"/>
          <w:szCs w:val="22"/>
        </w:rPr>
      </w:r>
    </w:p>
    <w:sectPr>
      <w:headerReference w:type="default" r:id="rId4"/>
      <w:headerReference w:type="even" r:id="rId5"/>
      <w:footerReference w:type="default" r:id="rId6"/>
      <w:footerReference w:type="even" r:id="rId7"/>
      <w:pgSz w:w="15840" w:h="12240" w:orient="landscape"/>
      <w:pgMar w:top="1296" w:right="1296" w:bottom="1296" w:left="1296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 xml:space="preserve">Status Report for Steve Wagner, week ended </w:t>
    </w:r>
    <w:r>
      <w:rPr>
        <w:rFonts w:ascii="Arial"/>
        <w:sz w:val="16"/>
        <w:szCs w:val="16"/>
        <w:rtl w:val="0"/>
        <w:lang w:val="en-US"/>
      </w:rPr>
      <w:t>05/29/</w:t>
    </w:r>
    <w:r>
      <w:rPr>
        <w:rFonts w:ascii="Arial"/>
        <w:sz w:val="16"/>
        <w:szCs w:val="16"/>
        <w:rtl w:val="0"/>
        <w:lang w:val="en-US"/>
      </w:rPr>
      <w:t>201</w:t>
    </w:r>
    <w:r>
      <w:rPr>
        <w:rFonts w:ascii="Arial"/>
        <w:sz w:val="16"/>
        <w:szCs w:val="16"/>
        <w:rtl w:val="0"/>
        <w:lang w:val="en-US"/>
      </w:rPr>
      <w:t>5</w:t>
    </w:r>
    <w:r>
      <w:rPr>
        <w:rFonts w:ascii="Arial" w:cs="Arial" w:hAnsi="Arial" w:eastAsia="Arial"/>
        <w:sz w:val="16"/>
        <w:szCs w:val="16"/>
        <w:rtl w:val="0"/>
        <w:lang w:val="en-US"/>
      </w:rPr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1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 xml:space="preserve">Status Report for Steve Wagner, week ended </w:t>
    </w:r>
    <w:r>
      <w:rPr>
        <w:rFonts w:ascii="Arial"/>
        <w:sz w:val="16"/>
        <w:szCs w:val="16"/>
        <w:rtl w:val="0"/>
        <w:lang w:val="en-US"/>
      </w:rPr>
      <w:t>05/29</w:t>
    </w:r>
    <w:r>
      <w:rPr>
        <w:rFonts w:ascii="Arial"/>
        <w:sz w:val="16"/>
        <w:szCs w:val="16"/>
        <w:rtl w:val="0"/>
        <w:lang w:val="en-US"/>
      </w:rPr>
      <w:t>/</w:t>
    </w:r>
    <w:r>
      <w:rPr>
        <w:rFonts w:ascii="Arial"/>
        <w:sz w:val="16"/>
        <w:szCs w:val="16"/>
        <w:rtl w:val="0"/>
        <w:lang w:val="en-US"/>
      </w:rPr>
      <w:t>201</w:t>
    </w:r>
    <w:r>
      <w:rPr>
        <w:rFonts w:ascii="Arial"/>
        <w:sz w:val="16"/>
        <w:szCs w:val="16"/>
        <w:rtl w:val="0"/>
        <w:lang w:val="en-US"/>
      </w:rPr>
      <w:t>5</w:t>
    </w:r>
    <w:r>
      <w:rPr>
        <w:rFonts w:ascii="Arial" w:cs="Arial" w:hAnsi="Arial" w:eastAsia="Arial"/>
        <w:sz w:val="16"/>
        <w:szCs w:val="16"/>
        <w:rtl w:val="0"/>
        <w:lang w:val="en-US"/>
      </w:rPr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1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1">
    <w:name w:val="Header1"/>
    <w:next w:val="Head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er1">
    <w:name w:val="Footer1"/>
    <w:next w:val="Foot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3 A A">
    <w:name w:val="Heading 3 A A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2"/>
    </w:pPr>
    <w:rPr>
      <w:rFonts w:ascii="Times New Roman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CFC Head2">
    <w:name w:val="CFC Head2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