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Decem</w:t>
      </w:r>
      <w:r>
        <w:rPr>
          <w:rtl w:val="0"/>
          <w:lang w:val="en-US"/>
        </w:rPr>
        <w:t xml:space="preserve">ber </w:t>
      </w:r>
      <w:r>
        <w:rPr>
          <w:rtl w:val="0"/>
          <w:lang w:val="en-US"/>
        </w:rPr>
        <w:t>11</w:t>
      </w:r>
      <w:r>
        <w:rPr>
          <w:rtl w:val="0"/>
          <w:lang w:val="en-US"/>
        </w:rPr>
        <w:t>, 2015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Information Modeling - </w:t>
      </w:r>
      <w:r>
        <w:rPr>
          <w:rtl w:val="0"/>
          <w:lang w:val="en-US"/>
        </w:rPr>
        <w:t>the information modeling call for this week continued modeling the Clinical Decision Support information domain.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We expect modeling of this information domain to take 4-6 months.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- </w:t>
      </w:r>
      <w:r>
        <w:rPr>
          <w:rtl w:val="0"/>
          <w:lang w:val="en-US"/>
        </w:rPr>
        <w:t>terminology</w:t>
      </w:r>
      <w:r>
        <w:rPr>
          <w:rtl w:val="0"/>
          <w:lang w:val="en-US"/>
        </w:rPr>
        <w:t xml:space="preserve"> modeling </w:t>
      </w:r>
      <w:r>
        <w:rPr>
          <w:rtl w:val="0"/>
          <w:lang w:val="en-US"/>
        </w:rPr>
        <w:t>of</w:t>
      </w:r>
      <w:r>
        <w:rPr>
          <w:rtl w:val="0"/>
          <w:lang w:val="en-US"/>
        </w:rPr>
        <w:t xml:space="preserve"> the Care Plan information domain</w:t>
      </w:r>
      <w:r>
        <w:rPr>
          <w:rtl w:val="0"/>
          <w:lang w:val="en-US"/>
        </w:rPr>
        <w:t xml:space="preserve"> was completed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 xml:space="preserve">odeling </w:t>
      </w:r>
      <w:r>
        <w:rPr>
          <w:rtl w:val="0"/>
          <w:lang w:val="en-US"/>
        </w:rPr>
        <w:t xml:space="preserve">of </w:t>
      </w:r>
      <w:r>
        <w:rPr>
          <w:rtl w:val="0"/>
          <w:lang w:val="en-US"/>
        </w:rPr>
        <w:t>the Radiology and Imaging domains</w:t>
      </w:r>
      <w:r>
        <w:rPr>
          <w:rtl w:val="0"/>
          <w:lang w:val="en-US"/>
        </w:rPr>
        <w:t xml:space="preserve"> continued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>We e</w:t>
      </w:r>
      <w:r>
        <w:rPr>
          <w:rtl w:val="0"/>
          <w:lang w:val="en-US"/>
        </w:rPr>
        <w:t xml:space="preserve">xpect this modeling to take </w:t>
      </w:r>
      <w:r>
        <w:rPr>
          <w:rtl w:val="0"/>
          <w:lang w:val="en-US"/>
        </w:rPr>
        <w:t>2-3 more</w:t>
      </w:r>
      <w:r>
        <w:rPr>
          <w:rtl w:val="0"/>
          <w:lang w:val="en-US"/>
        </w:rPr>
        <w:t xml:space="preserve"> weeks.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Support for S&amp;I Framework Initiatives - Continuing to follow DAF, SDC and CQF initiatives.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Report Generation from the FHIM - </w:t>
      </w:r>
      <w:r>
        <w:rPr>
          <w:rtl w:val="0"/>
          <w:lang w:val="en-US"/>
        </w:rPr>
        <w:t>Completed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improvements to report generation based on the feedback received at the last HIM WG meeting.  Additional report formats have been created and tested.  A presentation of the improvements was given on the HIM WG call on 12/8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 The new report formats appear to meet all federal partner needs at the present time.  Further work will be done if new requirements are identified in the future.</w:t>
      </w:r>
    </w:p>
    <w:p>
      <w:pPr>
        <w:pStyle w:val="Body A A"/>
        <w:tabs>
          <w:tab w:val="left" w:pos="180"/>
        </w:tabs>
      </w:pPr>
    </w:p>
    <w:p>
      <w:pPr>
        <w:pStyle w:val="Body A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Development of FHIM Master Slide Deck - Continued developing the slide deck through weekly calls. 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 xml:space="preserve">ocusing on </w:t>
      </w:r>
      <w:r>
        <w:rPr>
          <w:rtl w:val="0"/>
          <w:lang w:val="en-US"/>
        </w:rPr>
        <w:t>the Plan section of the deck</w:t>
      </w:r>
      <w:r>
        <w:rPr>
          <w:rtl w:val="0"/>
          <w:lang w:val="en-US"/>
        </w:rPr>
        <w:t>.  Continued to review and improve the content of some slides.</w:t>
      </w:r>
      <w:r>
        <w:rPr>
          <w:rtl w:val="0"/>
          <w:lang w:val="en-US"/>
        </w:rPr>
        <w:t xml:space="preserve"> 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rPr>
          <w:rtl w:val="0"/>
        </w:rPr>
        <w:t> </w:t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