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 13</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and the call this week were canceled due to the HL7 meeting.  Discussions concerning the integration of CIMI and FHIM will continue at the HL7 meeting. We expect the discussions to be completed </w:t>
      </w:r>
      <w:r>
        <w:rPr>
          <w:rtl w:val="0"/>
          <w:lang w:val="en-US"/>
        </w:rPr>
        <w:t>by 1/31</w:t>
      </w:r>
      <w:r>
        <w:rPr>
          <w:rtl w:val="0"/>
          <w:lang w:val="en-US"/>
        </w:rPr>
        <w:t xml:space="preserve"> and the FHIM restructuring should be completed mid-February.</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last week discussed the TM modeling process.  The TM call for this week is canceled due to the HL7 meeting.  We will continue modeling the Eligibility, Enrollment and Coordination of Benefits (EECOB) information domain next week.  We expect the EECOB work to be completed by mid-February.</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on the CIMI calls and will continue at the HL7 meeting</w:t>
      </w:r>
      <w:r>
        <w:rPr>
          <w:rtl w:val="0"/>
          <w:lang w:val="en-US"/>
        </w:rPr>
        <w:t xml:space="preserve">. </w:t>
      </w:r>
      <w:r>
        <w:rPr>
          <w:rtl w:val="0"/>
          <w:lang w:val="en-US"/>
        </w:rPr>
        <w:t xml:space="preserve"> This work is estimated to be completed by mid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by the end of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