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February 9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resumed modeling related to CIMI harmonization.  The call this week will continue this work.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discussed value set versioning and CIMI harmonization work.  </w:t>
      </w:r>
      <w:r>
        <w:rPr>
          <w:rtl w:val="0"/>
          <w:lang w:val="en-US"/>
        </w:rPr>
        <w:t xml:space="preserve">The call this week </w:t>
      </w:r>
      <w:r>
        <w:rPr>
          <w:rtl w:val="0"/>
          <w:lang w:val="en-US"/>
        </w:rPr>
        <w:t>will resume Security modeling work if security Sees can attend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tab/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