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July 06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continued</w:t>
      </w:r>
      <w:r>
        <w:rPr>
          <w:rtl w:val="0"/>
          <w:lang w:val="en-US"/>
        </w:rPr>
        <w:t xml:space="preserve"> modeling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Skin and Wound Assessment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omain. This domain will har</w:t>
      </w:r>
      <w:r>
        <w:rPr>
          <w:rtl w:val="0"/>
          <w:lang w:val="en-US"/>
        </w:rPr>
        <w:t>monize</w:t>
      </w:r>
      <w:r>
        <w:rPr>
          <w:rtl w:val="0"/>
          <w:lang w:val="en-US"/>
        </w:rPr>
        <w:t xml:space="preserve"> work done for CIMI and for SOLOR with the long-term goal of producing FHIR Profiles for Skin and Wound Assessment.</w:t>
      </w:r>
      <w:r>
        <w:rPr>
          <w:rtl w:val="0"/>
          <w:lang w:val="en-US"/>
        </w:rPr>
        <w:t xml:space="preserve">  The call this week will continue work on the </w:t>
      </w:r>
      <w:r>
        <w:rPr>
          <w:rtl w:val="0"/>
          <w:lang w:val="en-US"/>
        </w:rPr>
        <w:t xml:space="preserve">Skin and Wound Assessment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omain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was canceled due to the holiday.  The TM call this week will continue discussing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Wound and Skin Assessment model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awaiting review by the FHA leads.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