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July 13</w:t>
      </w:r>
      <w:r>
        <w:rPr>
          <w:rtl w:val="0"/>
          <w:lang w:val="en-US"/>
        </w:rPr>
        <w:t>, 201</w:t>
      </w:r>
      <w:r>
        <w:rPr>
          <w:rtl w:val="0"/>
          <w:lang w:val="en-US"/>
        </w:rPr>
        <w:t>8</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 (IM) -  the IM call last week</w:t>
      </w:r>
      <w:r>
        <w:rPr>
          <w:rtl w:val="0"/>
          <w:lang w:val="en-US"/>
        </w:rPr>
        <w:t xml:space="preserve"> was canceled due to the lead modeler having equipment/connectivity problems.  The call this week will continue work on the </w:t>
      </w:r>
      <w:r>
        <w:rPr>
          <w:rtl w:val="0"/>
          <w:lang w:val="en-US"/>
        </w:rPr>
        <w:t xml:space="preserve">Skin and Wound Assessment </w:t>
      </w:r>
      <w:r>
        <w:rPr>
          <w:rtl w:val="0"/>
          <w:lang w:val="en-US"/>
        </w:rPr>
        <w:t>d</w:t>
      </w:r>
      <w:r>
        <w:rPr>
          <w:rtl w:val="0"/>
          <w:lang w:val="en-US"/>
        </w:rPr>
        <w:t>omain</w:t>
      </w:r>
      <w:r>
        <w:rPr>
          <w:rtl w:val="0"/>
          <w:lang w:val="en-US"/>
        </w:rPr>
        <w:t>.</w:t>
      </w:r>
    </w:p>
    <w:p>
      <w:pPr>
        <w:pStyle w:val="Body A A"/>
      </w:pPr>
    </w:p>
    <w:p>
      <w:pPr>
        <w:pStyle w:val="Body A A"/>
        <w:numPr>
          <w:ilvl w:val="0"/>
          <w:numId w:val="2"/>
        </w:numPr>
        <w:rPr>
          <w:lang w:val="en-US"/>
        </w:rPr>
      </w:pPr>
      <w:r>
        <w:rPr>
          <w:rtl w:val="0"/>
          <w:lang w:val="en-US"/>
        </w:rPr>
        <w:t>Terminology Modeling (TM) - the TM call last week discussed the FHIM approach to the upcoming CIMI ballot and general agreement was reached on the FHIM approach. The group identified that some modeling questions may be problematic, e.g., sub-assertion, but having their implications spelled out in end-state specifications will help guide decisions</w:t>
      </w:r>
      <w:r>
        <w:rPr>
          <w:rtl w:val="0"/>
          <w:lang w:val="en-US"/>
        </w:rPr>
        <w:t>.  The TM call this week will continue discussing</w:t>
      </w:r>
      <w:r>
        <w:rPr>
          <w:rtl w:val="0"/>
          <w:lang w:val="en-US"/>
        </w:rPr>
        <w:t xml:space="preserve"> </w:t>
      </w:r>
      <w:r>
        <w:rPr>
          <w:rtl w:val="0"/>
          <w:lang w:val="en-US"/>
        </w:rPr>
        <w:t>the Wound and Skin Assessment model</w:t>
      </w:r>
      <w:r>
        <w:rPr>
          <w:rtl w:val="0"/>
          <w:lang w:val="en-US"/>
        </w:rPr>
        <w:t>.</w:t>
      </w:r>
      <w:r>
        <w:rPr>
          <w:rtl w:val="0"/>
          <w:lang w:val="en-US"/>
        </w:rPr>
        <w:t xml:space="preserve"> </w:t>
      </w:r>
    </w:p>
    <w:p>
      <w:pPr>
        <w:pStyle w:val="Body A A"/>
      </w:pPr>
    </w:p>
    <w:p>
      <w:pPr>
        <w:pStyle w:val="Body A A"/>
        <w:numPr>
          <w:ilvl w:val="0"/>
          <w:numId w:val="2"/>
        </w:numPr>
        <w:rPr>
          <w:lang w:val="en-US"/>
        </w:rPr>
      </w:pPr>
      <w:r>
        <w:rPr>
          <w:rtl w:val="0"/>
          <w:lang w:val="en-US"/>
        </w:rPr>
        <w:t>The FHIM presentations for NLM and HHS CIO Office are awaiting review by the FHA leads.</w:t>
      </w:r>
    </w:p>
    <w:p>
      <w:pPr>
        <w:pStyle w:val="Body A A"/>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