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November 09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  <w:r>
        <w:rPr>
          <w:rFonts w:ascii="Cambria" w:cs="Cambria" w:hAnsi="Cambria" w:eastAsia="Cambria"/>
          <w:rtl w:val="0"/>
          <w:lang w:val="en-US"/>
        </w:rPr>
        <w:t>Avinash Shanbhag</w:t>
      </w:r>
      <w:r>
        <w:rPr>
          <w:rFonts w:ascii="Cambria" w:cs="Cambria" w:hAnsi="Cambria" w:eastAsia="Cambria"/>
          <w:rtl w:val="0"/>
          <w:lang w:val="en-US"/>
        </w:rPr>
        <w:t xml:space="preserve">, </w:t>
      </w:r>
      <w:r>
        <w:rPr>
          <w:rFonts w:ascii="Cambria" w:cs="Cambria" w:hAnsi="Cambria" w:eastAsia="Cambria"/>
          <w:rtl w:val="0"/>
          <w:lang w:val="en-US"/>
        </w:rPr>
        <w:t>Sherilyn Pruitt, Dan Chaput</w:t>
      </w:r>
      <w:r>
        <w:rPr>
          <w:rFonts w:ascii="Cambria" w:cs="Cambria" w:hAnsi="Cambria" w:eastAsia="Cambria"/>
          <w:rtl w:val="0"/>
          <w:lang w:val="en-US"/>
        </w:rPr>
        <w:t>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ind w:left="909"/>
      </w:pPr>
      <w:r>
        <w:rPr>
          <w:rtl w:val="0"/>
          <w:lang w:val="en-US"/>
        </w:rPr>
        <w:t>11/07- On the Terminology Call the team reviewed the current ballot document outline and reviewed the project objectives with the reminder that the intent is that this effort be a separate bur parallel transition effort to what The Open Group is doing. The team also reviewed each contributor's role and added items to the findings list.</w:t>
      </w:r>
      <w:r>
        <w:rPr>
          <w:rtl w:val="0"/>
          <w:lang w:val="en-US"/>
        </w:rPr>
        <w:t>  </w:t>
      </w:r>
    </w:p>
    <w:p>
      <w:pPr>
        <w:pStyle w:val="Body A A"/>
        <w:ind w:left="909"/>
      </w:pPr>
      <w:r>
        <w:rPr>
          <w:rtl w:val="0"/>
          <w:lang w:val="en-US"/>
        </w:rPr>
        <w:t>11/09-description/progress towards deliverables</w:t>
      </w:r>
    </w:p>
    <w:p>
      <w:pPr>
        <w:pStyle w:val="Body A A"/>
        <w:ind w:left="909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Transition</w:t>
      </w:r>
    </w:p>
    <w:p>
      <w:pPr>
        <w:pStyle w:val="Body A A"/>
        <w:ind w:left="909"/>
      </w:pPr>
      <w:r>
        <w:rPr>
          <w:rtl w:val="0"/>
          <w:lang w:val="en-US"/>
        </w:rPr>
        <w:t>11/09- The FHIM Transition Council continues to meet and discuss various members perspective of FHIM value in the future and how it can be leverages for future adoption.</w:t>
      </w:r>
      <w:r>
        <w:rPr>
          <w:rtl w:val="0"/>
          <w:lang w:val="en-US"/>
        </w:rPr>
        <w:t> </w:t>
      </w:r>
    </w:p>
    <w:p>
      <w:pPr>
        <w:pStyle w:val="Body A A"/>
        <w:ind w:left="909"/>
        <w:rPr>
          <w:b w:val="1"/>
          <w:bCs w:val="1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