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EC2D9D">
        <w:t>Wednesday</w:t>
      </w:r>
      <w:r w:rsidR="00EB67A4">
        <w:t xml:space="preserve">, </w:t>
      </w:r>
      <w:r w:rsidR="00EC2D9D">
        <w:t>June 5</w:t>
      </w:r>
      <w:r w:rsidR="005A03D5">
        <w:t>, 201</w:t>
      </w:r>
      <w:r w:rsidR="00EB67A4">
        <w:t>3</w:t>
      </w:r>
      <w:r>
        <w:t>, 2:</w:t>
      </w:r>
      <w:r w:rsidR="00EC2D9D">
        <w:t>0</w:t>
      </w:r>
      <w:r>
        <w:t xml:space="preserve">0 - </w:t>
      </w:r>
      <w:r w:rsidR="00EC2D9D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B7454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153AC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EC2D9D" w:rsidRDefault="00EC2D9D" w:rsidP="00897E9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Confirm immunization loose ends</w:t>
      </w:r>
    </w:p>
    <w:p w:rsidR="00897E94" w:rsidRDefault="00897E94" w:rsidP="00897E9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 w:rsidRPr="00465C7A">
        <w:rPr>
          <w:rFonts w:ascii="Tahoma" w:hAnsi="Tahoma" w:cs="Tahoma"/>
          <w:color w:val="000000"/>
          <w:sz w:val="20"/>
          <w:szCs w:val="18"/>
        </w:rPr>
        <w:t>ImmunityStatus.statusCategory</w:t>
      </w:r>
      <w:proofErr w:type="spellEnd"/>
    </w:p>
    <w:p w:rsidR="00897E94" w:rsidRDefault="00897E94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30777F">
        <w:rPr>
          <w:rFonts w:ascii="Tahoma" w:hAnsi="Tahoma" w:cs="Tahoma"/>
          <w:color w:val="000000"/>
          <w:sz w:val="20"/>
          <w:szCs w:val="18"/>
        </w:rPr>
        <w:t>Susceptible, Equiv</w:t>
      </w:r>
      <w:r>
        <w:rPr>
          <w:rFonts w:ascii="Tahoma" w:hAnsi="Tahoma" w:cs="Tahoma"/>
          <w:color w:val="000000"/>
          <w:sz w:val="20"/>
          <w:szCs w:val="18"/>
        </w:rPr>
        <w:t>o</w:t>
      </w:r>
      <w:r w:rsidRPr="0030777F">
        <w:rPr>
          <w:rFonts w:ascii="Tahoma" w:hAnsi="Tahoma" w:cs="Tahoma"/>
          <w:color w:val="000000"/>
          <w:sz w:val="20"/>
          <w:szCs w:val="18"/>
        </w:rPr>
        <w:t>cal, Immune, Currently infected</w:t>
      </w:r>
    </w:p>
    <w:p w:rsidR="00E77E3A" w:rsidRDefault="00E77E3A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Not dependent on a vaccination event</w:t>
      </w:r>
    </w:p>
    <w:p w:rsidR="00E77E3A" w:rsidRDefault="00E77E3A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Optionally linked to a source problem, or test, or vaccination series</w:t>
      </w:r>
    </w:p>
    <w:p w:rsidR="00FE64A6" w:rsidRPr="00FE64A6" w:rsidRDefault="00C04F93" w:rsidP="00C04F93">
      <w:pPr>
        <w:shd w:val="clear" w:color="auto" w:fill="FFFFFF"/>
        <w:jc w:val="center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noProof/>
          <w:color w:val="000000"/>
          <w:sz w:val="20"/>
          <w:szCs w:val="18"/>
        </w:rPr>
        <w:lastRenderedPageBreak/>
        <w:drawing>
          <wp:inline distT="0" distB="0" distL="0" distR="0">
            <wp:extent cx="5538912" cy="4684035"/>
            <wp:effectExtent l="19050" t="0" r="463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95" cy="468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C7A" w:rsidRDefault="00465C7A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>
        <w:rPr>
          <w:rFonts w:ascii="Tahoma" w:hAnsi="Tahoma" w:cs="Tahoma"/>
          <w:color w:val="000000"/>
          <w:sz w:val="20"/>
          <w:szCs w:val="18"/>
        </w:rPr>
        <w:t>EvidenceOfImmunity.evidenceCategory</w:t>
      </w:r>
      <w:proofErr w:type="spellEnd"/>
    </w:p>
    <w:p w:rsidR="00E77E3A" w:rsidRDefault="00465C7A" w:rsidP="00E77E3A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“serological test,” “history of disease</w:t>
      </w:r>
      <w:r w:rsidR="00FE64A6">
        <w:rPr>
          <w:rFonts w:ascii="Tahoma" w:hAnsi="Tahoma" w:cs="Tahoma"/>
          <w:color w:val="000000"/>
          <w:sz w:val="20"/>
          <w:szCs w:val="18"/>
        </w:rPr>
        <w:t>,</w:t>
      </w:r>
      <w:r>
        <w:rPr>
          <w:rFonts w:ascii="Tahoma" w:hAnsi="Tahoma" w:cs="Tahoma"/>
          <w:color w:val="000000"/>
          <w:sz w:val="20"/>
          <w:szCs w:val="18"/>
        </w:rPr>
        <w:t>”</w:t>
      </w:r>
      <w:r w:rsidR="00FE64A6">
        <w:rPr>
          <w:rFonts w:ascii="Tahoma" w:hAnsi="Tahoma" w:cs="Tahoma"/>
          <w:color w:val="000000"/>
          <w:sz w:val="20"/>
          <w:szCs w:val="18"/>
        </w:rPr>
        <w:t xml:space="preserve"> “completed immunization series”</w:t>
      </w:r>
      <w:r>
        <w:rPr>
          <w:rFonts w:ascii="Tahoma" w:hAnsi="Tahoma" w:cs="Tahoma"/>
          <w:color w:val="000000"/>
          <w:sz w:val="20"/>
          <w:szCs w:val="18"/>
        </w:rPr>
        <w:t xml:space="preserve"> for </w:t>
      </w:r>
      <w:r w:rsidR="001338D9">
        <w:rPr>
          <w:rFonts w:ascii="Tahoma" w:hAnsi="Tahoma" w:cs="Tahoma"/>
          <w:color w:val="000000"/>
          <w:sz w:val="20"/>
          <w:szCs w:val="18"/>
        </w:rPr>
        <w:t>evidence category</w:t>
      </w:r>
    </w:p>
    <w:p w:rsidR="0090651A" w:rsidRPr="00E77E3A" w:rsidRDefault="00E77E3A" w:rsidP="00E77E3A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gramStart"/>
      <w:r>
        <w:rPr>
          <w:rFonts w:ascii="Tahoma" w:hAnsi="Tahoma" w:cs="Tahoma"/>
          <w:color w:val="000000"/>
          <w:sz w:val="20"/>
          <w:szCs w:val="18"/>
        </w:rPr>
        <w:t>plus</w:t>
      </w:r>
      <w:proofErr w:type="gramEnd"/>
      <w:r w:rsidR="00465C7A">
        <w:rPr>
          <w:rFonts w:ascii="Tahoma" w:hAnsi="Tahoma" w:cs="Tahoma"/>
          <w:color w:val="000000"/>
          <w:sz w:val="20"/>
          <w:szCs w:val="18"/>
        </w:rPr>
        <w:t xml:space="preserve"> </w:t>
      </w:r>
      <w:r w:rsidR="001338D9">
        <w:rPr>
          <w:rFonts w:ascii="Tahoma" w:hAnsi="Tahoma" w:cs="Tahoma"/>
          <w:color w:val="000000"/>
          <w:sz w:val="20"/>
          <w:szCs w:val="18"/>
        </w:rPr>
        <w:t>“disease” property to clarify for which disease we have this evidence (and to support use of IIS values).</w:t>
      </w:r>
    </w:p>
    <w:p w:rsidR="00465C7A" w:rsidRDefault="00465C7A" w:rsidP="00465C7A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 w:rsidRPr="00465C7A">
        <w:rPr>
          <w:rFonts w:ascii="Tahoma" w:hAnsi="Tahoma" w:cs="Tahoma"/>
          <w:color w:val="000000"/>
          <w:sz w:val="20"/>
          <w:szCs w:val="18"/>
        </w:rPr>
        <w:t>MedicationAdministrationEvent.doseForm</w:t>
      </w:r>
      <w:proofErr w:type="spellEnd"/>
    </w:p>
    <w:p w:rsidR="00E77E3A" w:rsidRDefault="00E77E3A" w:rsidP="00E77E3A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hyperlink r:id="rId9" w:history="1">
        <w:r>
          <w:rPr>
            <w:rStyle w:val="Hyperlink"/>
          </w:rPr>
          <w:t>http://www.fda.gov/Drugs/DevelopmentApprovalProcess/FormsSubmissionRequirements/ElectronicSubmissions/DataStandardsManualmonographs/ucm071666.htm</w:t>
        </w:r>
      </w:hyperlink>
    </w:p>
    <w:p w:rsidR="00B43556" w:rsidRPr="00B37ECF" w:rsidRDefault="00B43556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 outcome and reason</w:t>
      </w:r>
    </w:p>
    <w:p w:rsidR="00E77E3A" w:rsidRPr="00B37ECF" w:rsidRDefault="00CF1680" w:rsidP="00B4355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FHIM draft: </w:t>
      </w:r>
      <w:r w:rsidR="00E77E3A" w:rsidRPr="00B37ECF">
        <w:rPr>
          <w:rFonts w:ascii="Tahoma" w:hAnsi="Tahoma" w:cs="Tahoma"/>
          <w:sz w:val="20"/>
          <w:szCs w:val="18"/>
        </w:rPr>
        <w:t>Valid, invalid, never evaluated</w:t>
      </w:r>
    </w:p>
    <w:p w:rsidR="00B37ECF" w:rsidRPr="00B37ECF" w:rsidRDefault="00B37ECF" w:rsidP="00B4355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sz w:val="20"/>
          <w:szCs w:val="18"/>
        </w:rPr>
      </w:pPr>
      <w:r w:rsidRPr="00B37ECF">
        <w:rPr>
          <w:rFonts w:ascii="Tahoma" w:hAnsi="Tahoma" w:cs="Tahoma"/>
          <w:sz w:val="20"/>
          <w:szCs w:val="18"/>
        </w:rPr>
        <w:t>ACIP implementation guidance:</w:t>
      </w:r>
    </w:p>
    <w:tbl>
      <w:tblPr>
        <w:tblW w:w="10561" w:type="dxa"/>
        <w:tblInd w:w="95" w:type="dxa"/>
        <w:tblLook w:val="04A0"/>
      </w:tblPr>
      <w:tblGrid>
        <w:gridCol w:w="1723"/>
        <w:gridCol w:w="8838"/>
      </w:tblGrid>
      <w:tr w:rsidR="00B37ECF" w:rsidRPr="00B37ECF" w:rsidTr="00B37ECF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37ECF" w:rsidRPr="00B37ECF" w:rsidRDefault="00B37ECF">
            <w:pPr>
              <w:rPr>
                <w:rFonts w:ascii="Calibri" w:hAnsi="Calibri"/>
                <w:b/>
                <w:sz w:val="22"/>
                <w:szCs w:val="22"/>
              </w:rPr>
            </w:pPr>
            <w:r w:rsidRPr="00B37ECF">
              <w:rPr>
                <w:rFonts w:ascii="Calibri" w:hAnsi="Calibri"/>
                <w:b/>
                <w:sz w:val="22"/>
                <w:szCs w:val="22"/>
              </w:rPr>
              <w:t>Status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37ECF" w:rsidRPr="00B37ECF" w:rsidRDefault="00B37ECF">
            <w:pPr>
              <w:rPr>
                <w:rFonts w:ascii="Calibri" w:hAnsi="Calibri"/>
                <w:b/>
                <w:sz w:val="22"/>
                <w:szCs w:val="22"/>
              </w:rPr>
            </w:pPr>
            <w:r w:rsidRPr="00B37ECF">
              <w:rPr>
                <w:rFonts w:ascii="Calibri" w:hAnsi="Calibri"/>
                <w:b/>
                <w:sz w:val="22"/>
                <w:szCs w:val="22"/>
              </w:rPr>
              <w:t xml:space="preserve">Relevant Meaning </w:t>
            </w:r>
          </w:p>
        </w:tc>
      </w:tr>
      <w:tr w:rsidR="00B37ECF" w:rsidTr="00B37ECF">
        <w:trPr>
          <w:trHeight w:val="9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Extraneous 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 extraneous evaluation status means the vaccine dose administered was not administered according to ACIP recommendations, but the dose does not need to be repeated (including maximum age and extra doses.)</w:t>
            </w:r>
          </w:p>
        </w:tc>
      </w:tr>
      <w:tr w:rsidR="00B37ECF" w:rsidTr="00B37ECF">
        <w:trPr>
          <w:trHeight w:val="55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Valid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not valid evaluation status means the vaccine dose administered was not administered according to ACIP recommendations and must be repeated at an appropriate time in the future. </w:t>
            </w:r>
          </w:p>
        </w:tc>
      </w:tr>
      <w:tr w:rsidR="00B37ECF" w:rsidTr="00B37ECF">
        <w:trPr>
          <w:trHeight w:val="6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valid evaluation status means the vaccine dose administered was administered according to ACIP recommendations.</w:t>
            </w:r>
          </w:p>
        </w:tc>
      </w:tr>
      <w:tr w:rsidR="00B37ECF" w:rsidTr="00B37ECF">
        <w:trPr>
          <w:trHeight w:val="9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Sub-standard</w:t>
            </w:r>
          </w:p>
        </w:tc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sub-standard evaluation status means the vaccine dose administered has a known dose condition (e.g., expired, sub-potent, and recall) which requires the dose to be repeated at an appropriate time in the future.</w:t>
            </w:r>
          </w:p>
        </w:tc>
      </w:tr>
    </w:tbl>
    <w:p w:rsidR="00B37ECF" w:rsidRPr="00B37ECF" w:rsidRDefault="00B37ECF" w:rsidP="00B37ECF">
      <w:p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</w:p>
    <w:p w:rsidR="00CF1680" w:rsidRDefault="00CF1680" w:rsidP="00CF1680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Reason: possible to infer from ACIP implementation, but also possibly volatile. Keep as text, but recommend using guide values?</w:t>
      </w:r>
    </w:p>
    <w:p w:rsidR="00B43556" w:rsidRDefault="00E77E3A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Target dose number </w:t>
      </w:r>
      <w:r w:rsidR="00B43556" w:rsidRPr="00E77E3A">
        <w:rPr>
          <w:rFonts w:ascii="Tahoma" w:hAnsi="Tahoma" w:cs="Tahoma"/>
          <w:sz w:val="20"/>
          <w:szCs w:val="18"/>
        </w:rPr>
        <w:t>status: satisfied or not satisfied.</w:t>
      </w:r>
    </w:p>
    <w:tbl>
      <w:tblPr>
        <w:tblW w:w="1056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3"/>
        <w:gridCol w:w="8478"/>
      </w:tblGrid>
      <w:tr w:rsidR="00B37ECF" w:rsidTr="00B37ECF">
        <w:trPr>
          <w:trHeight w:val="300"/>
        </w:trPr>
        <w:tc>
          <w:tcPr>
            <w:tcW w:w="2083" w:type="dxa"/>
            <w:shd w:val="clear" w:color="000000" w:fill="D8D8D8"/>
            <w:noWrap/>
            <w:vAlign w:val="bottom"/>
            <w:hideMark/>
          </w:tcPr>
          <w:p w:rsidR="00B37ECF" w:rsidRPr="00B37ECF" w:rsidRDefault="00B37EC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7ECF">
              <w:rPr>
                <w:rFonts w:ascii="Calibri" w:hAnsi="Calibri"/>
                <w:b/>
                <w:color w:val="000000"/>
                <w:sz w:val="22"/>
                <w:szCs w:val="22"/>
              </w:rPr>
              <w:t>Target Dose Status</w:t>
            </w:r>
          </w:p>
        </w:tc>
        <w:tc>
          <w:tcPr>
            <w:tcW w:w="8478" w:type="dxa"/>
            <w:shd w:val="clear" w:color="000000" w:fill="D8D8D8"/>
            <w:noWrap/>
            <w:vAlign w:val="bottom"/>
            <w:hideMark/>
          </w:tcPr>
          <w:p w:rsidR="00B37ECF" w:rsidRPr="00B37ECF" w:rsidRDefault="00B37EC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37ECF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Relevant Meaning </w:t>
            </w:r>
          </w:p>
        </w:tc>
      </w:tr>
      <w:tr w:rsidR="00B37ECF" w:rsidTr="00B37ECF">
        <w:trPr>
          <w:trHeight w:val="600"/>
        </w:trPr>
        <w:tc>
          <w:tcPr>
            <w:tcW w:w="2083" w:type="dxa"/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 Satisfied </w:t>
            </w:r>
          </w:p>
        </w:tc>
        <w:tc>
          <w:tcPr>
            <w:tcW w:w="8478" w:type="dxa"/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not satisfied target dose status means no vaccine dose administered has met the goals of the target dose.</w:t>
            </w:r>
          </w:p>
        </w:tc>
      </w:tr>
      <w:tr w:rsidR="00B37ECF" w:rsidTr="00B37ECF">
        <w:trPr>
          <w:trHeight w:val="600"/>
        </w:trPr>
        <w:tc>
          <w:tcPr>
            <w:tcW w:w="2083" w:type="dxa"/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Satisfied</w:t>
            </w:r>
          </w:p>
        </w:tc>
        <w:tc>
          <w:tcPr>
            <w:tcW w:w="8478" w:type="dxa"/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satisfied target dose status means a vaccine dose administered has met the goals of the target dose. </w:t>
            </w:r>
          </w:p>
        </w:tc>
      </w:tr>
      <w:tr w:rsidR="00B37ECF" w:rsidTr="00B37ECF">
        <w:trPr>
          <w:trHeight w:val="638"/>
        </w:trPr>
        <w:tc>
          <w:tcPr>
            <w:tcW w:w="2083" w:type="dxa"/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Skipped </w:t>
            </w:r>
          </w:p>
        </w:tc>
        <w:tc>
          <w:tcPr>
            <w:tcW w:w="8478" w:type="dxa"/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skipped target dose status means no vaccine dose administered has met the goals of the target dose; due to the patient’s age, the target Dose does not need to be satisfied.</w:t>
            </w:r>
          </w:p>
        </w:tc>
      </w:tr>
      <w:tr w:rsidR="00B37ECF" w:rsidTr="00B37ECF">
        <w:trPr>
          <w:trHeight w:val="600"/>
        </w:trPr>
        <w:tc>
          <w:tcPr>
            <w:tcW w:w="2083" w:type="dxa"/>
            <w:shd w:val="clear" w:color="auto" w:fill="auto"/>
            <w:noWrap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Substituted</w:t>
            </w:r>
          </w:p>
        </w:tc>
        <w:tc>
          <w:tcPr>
            <w:tcW w:w="8478" w:type="dxa"/>
            <w:shd w:val="clear" w:color="auto" w:fill="auto"/>
            <w:vAlign w:val="bottom"/>
            <w:hideMark/>
          </w:tcPr>
          <w:p w:rsidR="00B37ECF" w:rsidRDefault="00B37E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substituted target dose status means a vaccine dose administered earlier in the patient series was used for the target dose.</w:t>
            </w:r>
          </w:p>
        </w:tc>
      </w:tr>
    </w:tbl>
    <w:p w:rsidR="00B37ECF" w:rsidRPr="00B37ECF" w:rsidRDefault="00B37ECF" w:rsidP="00B37ECF">
      <w:pPr>
        <w:shd w:val="clear" w:color="auto" w:fill="FFFFFF"/>
        <w:rPr>
          <w:rFonts w:ascii="Tahoma" w:hAnsi="Tahoma" w:cs="Tahoma"/>
          <w:sz w:val="20"/>
          <w:szCs w:val="18"/>
        </w:rPr>
      </w:pPr>
    </w:p>
    <w:p w:rsidR="00DD4A1D" w:rsidRDefault="00DD4A1D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Patient Series status (was “V3 state machine”)</w:t>
      </w:r>
    </w:p>
    <w:tbl>
      <w:tblPr>
        <w:tblW w:w="1008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8"/>
        <w:gridCol w:w="7473"/>
      </w:tblGrid>
      <w:tr w:rsidR="00DD4A1D" w:rsidTr="00DD4A1D">
        <w:trPr>
          <w:trHeight w:val="300"/>
        </w:trPr>
        <w:tc>
          <w:tcPr>
            <w:tcW w:w="5680" w:type="dxa"/>
            <w:shd w:val="clear" w:color="000000" w:fill="D8D8D8"/>
            <w:noWrap/>
            <w:vAlign w:val="bottom"/>
            <w:hideMark/>
          </w:tcPr>
          <w:p w:rsidR="00DD4A1D" w:rsidRPr="00DD4A1D" w:rsidRDefault="00DD4A1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D4A1D">
              <w:rPr>
                <w:rFonts w:ascii="Calibri" w:hAnsi="Calibri"/>
                <w:b/>
                <w:color w:val="000000"/>
                <w:sz w:val="22"/>
                <w:szCs w:val="22"/>
              </w:rPr>
              <w:t>Patient Series Status</w:t>
            </w:r>
          </w:p>
        </w:tc>
        <w:tc>
          <w:tcPr>
            <w:tcW w:w="14024" w:type="dxa"/>
            <w:shd w:val="clear" w:color="000000" w:fill="D8D8D8"/>
            <w:noWrap/>
            <w:vAlign w:val="bottom"/>
            <w:hideMark/>
          </w:tcPr>
          <w:p w:rsidR="00DD4A1D" w:rsidRPr="00DD4A1D" w:rsidRDefault="00DD4A1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D4A1D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Relevant Meaning </w:t>
            </w:r>
          </w:p>
        </w:tc>
      </w:tr>
      <w:tr w:rsidR="00DD4A1D" w:rsidTr="00DD4A1D">
        <w:trPr>
          <w:trHeight w:val="600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Complete </w:t>
            </w:r>
          </w:p>
        </w:tc>
        <w:tc>
          <w:tcPr>
            <w:tcW w:w="14024" w:type="dxa"/>
            <w:shd w:val="clear" w:color="auto" w:fill="auto"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complete patient series status means the patient has met all of the ACIP recommendations for the patient series.</w:t>
            </w:r>
          </w:p>
        </w:tc>
      </w:tr>
      <w:tr w:rsidR="00DD4A1D" w:rsidTr="00DD4A1D">
        <w:trPr>
          <w:trHeight w:val="300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Contraindicated</w:t>
            </w:r>
          </w:p>
        </w:tc>
        <w:tc>
          <w:tcPr>
            <w:tcW w:w="14024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contraindicated patient series status means the patient’s medical history indicates no further immunizations should be administered for the patient series. </w:t>
            </w:r>
          </w:p>
        </w:tc>
      </w:tr>
      <w:tr w:rsidR="00DD4A1D" w:rsidTr="00DD4A1D">
        <w:trPr>
          <w:trHeight w:val="600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Immune </w:t>
            </w:r>
          </w:p>
        </w:tc>
        <w:tc>
          <w:tcPr>
            <w:tcW w:w="14024" w:type="dxa"/>
            <w:shd w:val="clear" w:color="auto" w:fill="auto"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 immune patient series status means the patient has evidence of immunity indicating no further immunizations are needed for the patient series.</w:t>
            </w:r>
          </w:p>
        </w:tc>
      </w:tr>
      <w:tr w:rsidR="00DD4A1D" w:rsidTr="00DD4A1D">
        <w:trPr>
          <w:trHeight w:val="300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 Complete</w:t>
            </w:r>
          </w:p>
        </w:tc>
        <w:tc>
          <w:tcPr>
            <w:tcW w:w="14024" w:type="dxa"/>
            <w:shd w:val="clear" w:color="auto" w:fill="auto"/>
            <w:noWrap/>
            <w:vAlign w:val="bottom"/>
            <w:hideMark/>
          </w:tcPr>
          <w:p w:rsidR="00DD4A1D" w:rsidRDefault="00DD4A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not complete patient series status means the patient has not yet met all of the ACIP recommendations for the patient series.</w:t>
            </w:r>
          </w:p>
        </w:tc>
      </w:tr>
    </w:tbl>
    <w:p w:rsidR="00DD4A1D" w:rsidRPr="00DD4A1D" w:rsidRDefault="00DD4A1D" w:rsidP="00DD4A1D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3519E2" w:rsidRDefault="00543E25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Homework: </w:t>
      </w:r>
      <w:r w:rsidR="003519E2" w:rsidRPr="003519E2">
        <w:rPr>
          <w:rFonts w:ascii="Tahoma" w:hAnsi="Tahoma" w:cs="Tahoma"/>
          <w:color w:val="000000"/>
          <w:sz w:val="20"/>
          <w:szCs w:val="18"/>
        </w:rPr>
        <w:t>Review dispositions of Immunization requirements</w:t>
      </w:r>
    </w:p>
    <w:p w:rsidR="003519E2" w:rsidRDefault="003519E2" w:rsidP="003519E2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Not coded</w:t>
      </w:r>
    </w:p>
    <w:tbl>
      <w:tblPr>
        <w:tblW w:w="9823" w:type="dxa"/>
        <w:tblInd w:w="95" w:type="dxa"/>
        <w:tblLayout w:type="fixed"/>
        <w:tblLook w:val="04A0"/>
      </w:tblPr>
      <w:tblGrid>
        <w:gridCol w:w="3973"/>
        <w:gridCol w:w="2610"/>
        <w:gridCol w:w="3240"/>
      </w:tblGrid>
      <w:tr w:rsidR="00797C13" w:rsidTr="00797C13">
        <w:trPr>
          <w:trHeight w:val="300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Property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Disposition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Contraindication</w:t>
            </w:r>
          </w:p>
        </w:tc>
        <w:tc>
          <w:tcPr>
            <w:tcW w:w="26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Evaluation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longer coded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routingInstruction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longer coded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indicationCode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treatmentRefusalReason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MedicationAdministrationPromise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administrationStatus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siteModifier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VaccineGroup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</w:tbl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3519E2" w:rsidRPr="003519E2" w:rsidRDefault="003519E2" w:rsidP="003519E2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3519E2">
        <w:rPr>
          <w:rFonts w:ascii="Tahoma" w:hAnsi="Tahoma" w:cs="Tahoma"/>
          <w:color w:val="000000"/>
          <w:sz w:val="20"/>
          <w:szCs w:val="18"/>
        </w:rPr>
        <w:t>coded</w:t>
      </w:r>
    </w:p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  <w:sectPr w:rsidR="003519E2" w:rsidSect="00D140D3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720" w:right="720" w:bottom="1080" w:left="1080" w:header="720" w:footer="864" w:gutter="0"/>
          <w:cols w:space="720"/>
        </w:sectPr>
      </w:pPr>
    </w:p>
    <w:tbl>
      <w:tblPr>
        <w:tblW w:w="14400" w:type="dxa"/>
        <w:tblInd w:w="95" w:type="dxa"/>
        <w:tblLayout w:type="fixed"/>
        <w:tblLook w:val="04A0"/>
      </w:tblPr>
      <w:tblGrid>
        <w:gridCol w:w="1955"/>
        <w:gridCol w:w="1792"/>
        <w:gridCol w:w="2021"/>
        <w:gridCol w:w="1715"/>
        <w:gridCol w:w="6917"/>
      </w:tblGrid>
      <w:tr w:rsidR="00797C13" w:rsidTr="00797C13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Property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bindingStatus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valueSetName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valueSetOID</w:t>
            </w:r>
            <w:proofErr w:type="spellEnd"/>
          </w:p>
        </w:tc>
        <w:tc>
          <w:tcPr>
            <w:tcW w:w="8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valueSetDefinition</w:t>
            </w:r>
            <w:proofErr w:type="spellEnd"/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CommentEvent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conditionOfUse</w:t>
            </w:r>
            <w:proofErr w:type="spellEnd"/>
          </w:p>
        </w:tc>
        <w:tc>
          <w:tcPr>
            <w:tcW w:w="207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Vaccination Special Indication (IIS)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2.16.840.1.114222.4.11.3290</w:t>
            </w:r>
          </w:p>
        </w:tc>
        <w:tc>
          <w:tcPr>
            <w:tcW w:w="811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Describes a factor about the client which may impact forecasting of next dose of vaccine needed.</w:t>
            </w:r>
          </w:p>
        </w:tc>
      </w:tr>
      <w:tr w:rsidR="00797C13" w:rsidTr="00797C13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Evaluation outcome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Dose Evaluation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EvidenceOfImmunity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evidenceCategory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Exemption reason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Refusal Reason Excluding Nulls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2.16.840.1.113883.3.2074.1.1.4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Causes specified for refusing vaccination, combined with roles of those deciding to refuse it. This value set includes all the codes from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PHVS_SubstanceRefusalReason_IIS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(2.16.840.1.114222.4.11.3380) except "Other."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ImmunityStatus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statusCategory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ImmunizationFundingEligibility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financialClass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Financial Class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2.16.840.1.114222.4.11.3366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User-defined Table 0064 - Financial class [NIP suggested values] (use in PV1-20) Financial class references a client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 eligibility status at a point in time. The values in this table relate to eligibility for the Vaccine for Children (VFC) program. Local 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ImmunizationHistory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informationSource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Information Source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2.16.840.1.113883.3.88.12.80.39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identifies the source of information for this immunization record or, more generically, whether the immunization being reported has just been administered (new) or came from other records (historical)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Manufacturer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mvx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Manufacturers of vaccines (MVX)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2.16.840.1.114222.4.11.826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CDC's National Immunization Program (NIP) maintains the HL7 external code set MVX. HL7 version 2.x Manufacturers of vaccines (code=MVX) used in chapter(s) 4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doseForm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route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Route Of Administration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HITSP has specified the use of the FDA route of administration. Implementation guide has mapping to the Table 0162 Route of Administration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Administrative Site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2.16.840.1.114222.4.11.3370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HL7-defined Table 0163 - Administrative site [only selected values listed] (use in RXR-2)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Treatment Completion Status (HL7)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2.16.840.1.114222.4.11.821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treatment administration event. Uses HL7 table 0322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ActStatus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2.16.840.1.113883.1.11.15933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Contains the names (codes) for each of the states in the state-machine of the RIM Act class.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route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Route Of Administration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HITSP has specified the use of the FDA route of administration. Implementation guide has mapping to the Table 0162 Route of Administration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Administrative Site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2.16.840.1.114222.4.11.3370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HL7-defined Table 0163 - Administrative site [only selected values listed] (use in RXR-2)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PatientSeries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ActStatus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2.16.840.1.113883.1.11.15933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Contains the names (codes) for each of the states in the state-machine of the RIM Act class.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PublicHealthClient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Pt Immunization Registry Status Excluding Nulls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2.16.840.1.113883.3.2074.1.1.2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Standing of registry information regarding a patient. This information indicates whether patient information is current and appropriate for updates, and is used in HL7 V2 segment PD1-16.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TargetDoseNumber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Dose Fulfillment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fundingSource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Information Source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2.16.840.1.113883.3.88.12.80.39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identifies the source of information for this immunization record or, more generically, whether the immunization being reported has just been administered (new) or came from other records (historical)</w:t>
            </w:r>
          </w:p>
        </w:tc>
      </w:tr>
      <w:tr w:rsidR="00797C13" w:rsidTr="00797C13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Vaccine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vaccineCode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Vaccines administered (CVX)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2.16.840.1.114222.4.11.934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Vaccine Name Keyword: Clinical Vaccines, Vaccine Names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VaccineContraindication_CDC_IIS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Vaccination Contraindication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2.16.840.1.114222.4.11.3288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Indicates a contraindication to vaccination.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VaccineInformationStatement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language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2.16.840.1.114222.4.11.831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spoken language</w:t>
            </w:r>
          </w:p>
        </w:tc>
      </w:tr>
    </w:tbl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  <w:sectPr w:rsidR="003519E2" w:rsidSect="003519E2">
          <w:pgSz w:w="15840" w:h="12240" w:orient="landscape"/>
          <w:pgMar w:top="1080" w:right="720" w:bottom="720" w:left="1080" w:header="720" w:footer="864" w:gutter="0"/>
          <w:cols w:space="720"/>
          <w:docGrid w:linePitch="326"/>
        </w:sectPr>
      </w:pPr>
    </w:p>
    <w:p w:rsidR="003519E2" w:rsidRPr="00CB6B7B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D140D3" w:rsidRDefault="001718A7" w:rsidP="001718A7">
      <w:pPr>
        <w:pStyle w:val="FreeFormA"/>
        <w:numPr>
          <w:ilvl w:val="0"/>
          <w:numId w:val="38"/>
        </w:numPr>
      </w:pPr>
      <w:r>
        <w:t>Allergy domain</w:t>
      </w:r>
    </w:p>
    <w:p w:rsidR="001718A7" w:rsidRDefault="00F855AE" w:rsidP="001718A7">
      <w:pPr>
        <w:pStyle w:val="FreeFormA"/>
        <w:numPr>
          <w:ilvl w:val="1"/>
          <w:numId w:val="38"/>
        </w:numPr>
      </w:pPr>
      <w:r>
        <w:t>SMEs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proofErr w:type="spellStart"/>
      <w:proofErr w:type="gramStart"/>
      <w:r>
        <w:t>iEHR</w:t>
      </w:r>
      <w:proofErr w:type="spellEnd"/>
      <w:proofErr w:type="gramEnd"/>
      <w:r>
        <w:t xml:space="preserve"> representative. Ask Erik </w:t>
      </w:r>
      <w:proofErr w:type="spellStart"/>
      <w:r>
        <w:t>Pupo</w:t>
      </w:r>
      <w:proofErr w:type="spellEnd"/>
      <w:r>
        <w:t xml:space="preserve">. 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r>
        <w:t>Kevin.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r>
        <w:t>Mike Lincoln had been involved.</w:t>
      </w:r>
    </w:p>
    <w:p w:rsidR="00F855AE" w:rsidRDefault="00F855AE" w:rsidP="00122B7A">
      <w:pPr>
        <w:pStyle w:val="FreeFormA"/>
        <w:numPr>
          <w:ilvl w:val="2"/>
          <w:numId w:val="38"/>
        </w:numPr>
      </w:pPr>
      <w:r>
        <w:t>David Bass</w:t>
      </w:r>
    </w:p>
    <w:p w:rsidR="001718A7" w:rsidRDefault="001718A7" w:rsidP="001718A7">
      <w:pPr>
        <w:pStyle w:val="FreeFormA"/>
        <w:numPr>
          <w:ilvl w:val="1"/>
          <w:numId w:val="38"/>
        </w:numPr>
      </w:pPr>
      <w:r>
        <w:t>Use cases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>Transition of care (e.g., S&amp;I)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>HITSP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 xml:space="preserve">Ask </w:t>
      </w:r>
      <w:proofErr w:type="spellStart"/>
      <w:r>
        <w:t>iEHR</w:t>
      </w:r>
      <w:proofErr w:type="spellEnd"/>
    </w:p>
    <w:p w:rsidR="00F855AE" w:rsidRDefault="00F855AE" w:rsidP="00F855AE">
      <w:pPr>
        <w:pStyle w:val="FreeFormA"/>
        <w:numPr>
          <w:ilvl w:val="2"/>
          <w:numId w:val="38"/>
        </w:numPr>
      </w:pPr>
      <w:r>
        <w:t>HL7 DAM (</w:t>
      </w:r>
      <w:hyperlink r:id="rId14" w:history="1">
        <w:r w:rsidRPr="002B500C">
          <w:rPr>
            <w:rStyle w:val="Hyperlink"/>
          </w:rPr>
          <w:t>allergy</w:t>
        </w:r>
      </w:hyperlink>
      <w:r>
        <w:t>, care coordination)</w:t>
      </w:r>
    </w:p>
    <w:p w:rsidR="00122B7A" w:rsidRDefault="00122B7A" w:rsidP="00122B7A">
      <w:pPr>
        <w:pStyle w:val="FreeFormA"/>
        <w:numPr>
          <w:ilvl w:val="1"/>
          <w:numId w:val="38"/>
        </w:numPr>
      </w:pPr>
      <w:r>
        <w:t>FHIM team did review terminology once.</w:t>
      </w:r>
    </w:p>
    <w:p w:rsidR="00122B7A" w:rsidRDefault="00122B7A" w:rsidP="00122B7A">
      <w:pPr>
        <w:pStyle w:val="FreeFormA"/>
        <w:numPr>
          <w:ilvl w:val="1"/>
          <w:numId w:val="38"/>
        </w:numPr>
      </w:pPr>
      <w:r>
        <w:t>Note: reactant is one slot but MU may require separation.</w:t>
      </w:r>
    </w:p>
    <w:p w:rsidR="00F855AE" w:rsidRDefault="00F855AE" w:rsidP="00122B7A">
      <w:pPr>
        <w:pStyle w:val="FreeFormA"/>
        <w:numPr>
          <w:ilvl w:val="1"/>
          <w:numId w:val="38"/>
        </w:numPr>
      </w:pPr>
      <w:r>
        <w:t xml:space="preserve">Add an occurrence time to </w:t>
      </w:r>
      <w:proofErr w:type="spellStart"/>
      <w:r>
        <w:t>ReportedReaction</w:t>
      </w:r>
      <w:proofErr w:type="spellEnd"/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lastRenderedPageBreak/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05" w:rsidRDefault="00CA2905">
      <w:r>
        <w:separator/>
      </w:r>
    </w:p>
  </w:endnote>
  <w:endnote w:type="continuationSeparator" w:id="0">
    <w:p w:rsidR="00CA2905" w:rsidRDefault="00CA2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5A71E7">
        <w:rPr>
          <w:noProof/>
        </w:rPr>
        <w:t>2</w:t>
      </w:r>
    </w:fldSimple>
    <w:r>
      <w:t xml:space="preserve"> of </w:t>
    </w:r>
    <w:fldSimple w:instr=" NUMPAGES ">
      <w:r w:rsidR="005A71E7">
        <w:rPr>
          <w:noProof/>
        </w:rP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497027">
        <w:rPr>
          <w:noProof/>
        </w:rPr>
        <w:t>Thursday, May 30, 2013</w:t>
      </w:r>
    </w:fldSimple>
    <w:r>
      <w:tab/>
      <w:t xml:space="preserve">Page </w:t>
    </w:r>
    <w:fldSimple w:instr=" PAGE ">
      <w:r w:rsidR="005A71E7">
        <w:rPr>
          <w:noProof/>
        </w:rPr>
        <w:t>1</w:t>
      </w:r>
    </w:fldSimple>
    <w:r>
      <w:t xml:space="preserve"> of </w:t>
    </w:r>
    <w:fldSimple w:instr=" NUMPAGES ">
      <w:r w:rsidR="005A71E7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05" w:rsidRDefault="00CA2905">
      <w:r>
        <w:separator/>
      </w:r>
    </w:p>
  </w:footnote>
  <w:footnote w:type="continuationSeparator" w:id="0">
    <w:p w:rsidR="00CA2905" w:rsidRDefault="00CA29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8A4C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2"/>
  </w:num>
  <w:num w:numId="5">
    <w:abstractNumId w:val="16"/>
  </w:num>
  <w:num w:numId="6">
    <w:abstractNumId w:val="6"/>
  </w:num>
  <w:num w:numId="7">
    <w:abstractNumId w:val="36"/>
  </w:num>
  <w:num w:numId="8">
    <w:abstractNumId w:val="38"/>
  </w:num>
  <w:num w:numId="9">
    <w:abstractNumId w:val="4"/>
  </w:num>
  <w:num w:numId="10">
    <w:abstractNumId w:val="21"/>
  </w:num>
  <w:num w:numId="11">
    <w:abstractNumId w:val="34"/>
  </w:num>
  <w:num w:numId="12">
    <w:abstractNumId w:val="35"/>
  </w:num>
  <w:num w:numId="13">
    <w:abstractNumId w:val="26"/>
  </w:num>
  <w:num w:numId="14">
    <w:abstractNumId w:val="2"/>
  </w:num>
  <w:num w:numId="15">
    <w:abstractNumId w:val="31"/>
  </w:num>
  <w:num w:numId="16">
    <w:abstractNumId w:val="33"/>
  </w:num>
  <w:num w:numId="17">
    <w:abstractNumId w:val="32"/>
  </w:num>
  <w:num w:numId="18">
    <w:abstractNumId w:val="29"/>
  </w:num>
  <w:num w:numId="19">
    <w:abstractNumId w:val="12"/>
  </w:num>
  <w:num w:numId="20">
    <w:abstractNumId w:val="20"/>
  </w:num>
  <w:num w:numId="21">
    <w:abstractNumId w:val="19"/>
  </w:num>
  <w:num w:numId="22">
    <w:abstractNumId w:val="37"/>
  </w:num>
  <w:num w:numId="23">
    <w:abstractNumId w:val="1"/>
  </w:num>
  <w:num w:numId="24">
    <w:abstractNumId w:val="24"/>
  </w:num>
  <w:num w:numId="25">
    <w:abstractNumId w:val="28"/>
  </w:num>
  <w:num w:numId="26">
    <w:abstractNumId w:val="27"/>
  </w:num>
  <w:num w:numId="27">
    <w:abstractNumId w:val="13"/>
  </w:num>
  <w:num w:numId="28">
    <w:abstractNumId w:val="17"/>
  </w:num>
  <w:num w:numId="29">
    <w:abstractNumId w:val="23"/>
  </w:num>
  <w:num w:numId="30">
    <w:abstractNumId w:val="5"/>
  </w:num>
  <w:num w:numId="31">
    <w:abstractNumId w:val="15"/>
  </w:num>
  <w:num w:numId="32">
    <w:abstractNumId w:val="3"/>
  </w:num>
  <w:num w:numId="33">
    <w:abstractNumId w:val="18"/>
  </w:num>
  <w:num w:numId="34">
    <w:abstractNumId w:val="14"/>
  </w:num>
  <w:num w:numId="35">
    <w:abstractNumId w:val="9"/>
  </w:num>
  <w:num w:numId="36">
    <w:abstractNumId w:val="7"/>
  </w:num>
  <w:num w:numId="37">
    <w:abstractNumId w:val="25"/>
  </w:num>
  <w:num w:numId="38">
    <w:abstractNumId w:val="10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28A8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36177"/>
    <w:rsid w:val="00036FE2"/>
    <w:rsid w:val="000407E9"/>
    <w:rsid w:val="00040B16"/>
    <w:rsid w:val="00041908"/>
    <w:rsid w:val="00043D41"/>
    <w:rsid w:val="00046A84"/>
    <w:rsid w:val="000479AE"/>
    <w:rsid w:val="0005342A"/>
    <w:rsid w:val="0005561B"/>
    <w:rsid w:val="000563F8"/>
    <w:rsid w:val="00062904"/>
    <w:rsid w:val="00062E2F"/>
    <w:rsid w:val="000648A0"/>
    <w:rsid w:val="000658AA"/>
    <w:rsid w:val="000667DC"/>
    <w:rsid w:val="00066D2C"/>
    <w:rsid w:val="00072BED"/>
    <w:rsid w:val="0007595E"/>
    <w:rsid w:val="00077470"/>
    <w:rsid w:val="0008128F"/>
    <w:rsid w:val="000819F3"/>
    <w:rsid w:val="0008419C"/>
    <w:rsid w:val="000851E6"/>
    <w:rsid w:val="00085795"/>
    <w:rsid w:val="000859A7"/>
    <w:rsid w:val="000924C0"/>
    <w:rsid w:val="000A00C6"/>
    <w:rsid w:val="000A0BD0"/>
    <w:rsid w:val="000A2B54"/>
    <w:rsid w:val="000A43CC"/>
    <w:rsid w:val="000A4FC0"/>
    <w:rsid w:val="000A6440"/>
    <w:rsid w:val="000A7950"/>
    <w:rsid w:val="000B0FAA"/>
    <w:rsid w:val="000B1CF1"/>
    <w:rsid w:val="000B247A"/>
    <w:rsid w:val="000C06AC"/>
    <w:rsid w:val="000C2A20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0F7F47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57EF"/>
    <w:rsid w:val="001358BB"/>
    <w:rsid w:val="00144E9B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53BB"/>
    <w:rsid w:val="00175ADD"/>
    <w:rsid w:val="00181319"/>
    <w:rsid w:val="0018505C"/>
    <w:rsid w:val="00185CFA"/>
    <w:rsid w:val="00185E9C"/>
    <w:rsid w:val="00187688"/>
    <w:rsid w:val="00192363"/>
    <w:rsid w:val="00195342"/>
    <w:rsid w:val="001A0CC6"/>
    <w:rsid w:val="001A26E6"/>
    <w:rsid w:val="001A4ACB"/>
    <w:rsid w:val="001A4D9A"/>
    <w:rsid w:val="001A5BFF"/>
    <w:rsid w:val="001B4F14"/>
    <w:rsid w:val="001B5D6D"/>
    <w:rsid w:val="001C0762"/>
    <w:rsid w:val="001C0EB8"/>
    <w:rsid w:val="001C333F"/>
    <w:rsid w:val="001C6C95"/>
    <w:rsid w:val="001C70A5"/>
    <w:rsid w:val="001C7D89"/>
    <w:rsid w:val="001D44C2"/>
    <w:rsid w:val="001D5FD2"/>
    <w:rsid w:val="001E2FC8"/>
    <w:rsid w:val="001E5565"/>
    <w:rsid w:val="001F43B7"/>
    <w:rsid w:val="001F4B65"/>
    <w:rsid w:val="001F4C6B"/>
    <w:rsid w:val="001F4E31"/>
    <w:rsid w:val="001F7D60"/>
    <w:rsid w:val="001F7ED4"/>
    <w:rsid w:val="0020145F"/>
    <w:rsid w:val="002021E1"/>
    <w:rsid w:val="0020258A"/>
    <w:rsid w:val="00212360"/>
    <w:rsid w:val="002141C6"/>
    <w:rsid w:val="002163CA"/>
    <w:rsid w:val="00222FF2"/>
    <w:rsid w:val="00224715"/>
    <w:rsid w:val="0022506E"/>
    <w:rsid w:val="00227DDC"/>
    <w:rsid w:val="0023007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B09E1"/>
    <w:rsid w:val="002B16DB"/>
    <w:rsid w:val="002B500C"/>
    <w:rsid w:val="002B6780"/>
    <w:rsid w:val="002C0DE9"/>
    <w:rsid w:val="002C1D18"/>
    <w:rsid w:val="002C4865"/>
    <w:rsid w:val="002C7267"/>
    <w:rsid w:val="002D69EE"/>
    <w:rsid w:val="002D7F44"/>
    <w:rsid w:val="002E2FF6"/>
    <w:rsid w:val="002E758E"/>
    <w:rsid w:val="002E79D5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758B"/>
    <w:rsid w:val="00350C59"/>
    <w:rsid w:val="003519E2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427A"/>
    <w:rsid w:val="00386E62"/>
    <w:rsid w:val="00387370"/>
    <w:rsid w:val="00393BCD"/>
    <w:rsid w:val="003A3226"/>
    <w:rsid w:val="003A33D9"/>
    <w:rsid w:val="003A3A66"/>
    <w:rsid w:val="003A598F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54E4"/>
    <w:rsid w:val="003C5C90"/>
    <w:rsid w:val="003D0004"/>
    <w:rsid w:val="003D0325"/>
    <w:rsid w:val="003D16B8"/>
    <w:rsid w:val="003D2D0F"/>
    <w:rsid w:val="003D4232"/>
    <w:rsid w:val="003D4278"/>
    <w:rsid w:val="003E3E73"/>
    <w:rsid w:val="003E5F98"/>
    <w:rsid w:val="003E614C"/>
    <w:rsid w:val="003E6835"/>
    <w:rsid w:val="003E7DEB"/>
    <w:rsid w:val="003F3D57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76B2"/>
    <w:rsid w:val="00452E79"/>
    <w:rsid w:val="004531DB"/>
    <w:rsid w:val="00453C3E"/>
    <w:rsid w:val="004612E4"/>
    <w:rsid w:val="004621F7"/>
    <w:rsid w:val="00462936"/>
    <w:rsid w:val="004629FA"/>
    <w:rsid w:val="00465C7A"/>
    <w:rsid w:val="0047376F"/>
    <w:rsid w:val="00477307"/>
    <w:rsid w:val="00477836"/>
    <w:rsid w:val="004779BD"/>
    <w:rsid w:val="004809DE"/>
    <w:rsid w:val="00481C3B"/>
    <w:rsid w:val="0049199A"/>
    <w:rsid w:val="00494195"/>
    <w:rsid w:val="00497027"/>
    <w:rsid w:val="004A3CA0"/>
    <w:rsid w:val="004A52C5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376A"/>
    <w:rsid w:val="004D498F"/>
    <w:rsid w:val="004D7A44"/>
    <w:rsid w:val="004E0AFC"/>
    <w:rsid w:val="004E348C"/>
    <w:rsid w:val="004E5AD3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77F5D"/>
    <w:rsid w:val="0058048F"/>
    <w:rsid w:val="00581229"/>
    <w:rsid w:val="0058225C"/>
    <w:rsid w:val="00585B0F"/>
    <w:rsid w:val="00585C56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D1F74"/>
    <w:rsid w:val="005D38DF"/>
    <w:rsid w:val="005D61B6"/>
    <w:rsid w:val="005D6ADA"/>
    <w:rsid w:val="005E0B6E"/>
    <w:rsid w:val="005E35D1"/>
    <w:rsid w:val="005E556F"/>
    <w:rsid w:val="005E602A"/>
    <w:rsid w:val="005F19CF"/>
    <w:rsid w:val="005F5FCA"/>
    <w:rsid w:val="0060048A"/>
    <w:rsid w:val="00602350"/>
    <w:rsid w:val="0060752A"/>
    <w:rsid w:val="0061474A"/>
    <w:rsid w:val="00615D16"/>
    <w:rsid w:val="006163BA"/>
    <w:rsid w:val="006220BB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6F81"/>
    <w:rsid w:val="00647CE5"/>
    <w:rsid w:val="00653671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DC6"/>
    <w:rsid w:val="00697F5E"/>
    <w:rsid w:val="006A1E78"/>
    <w:rsid w:val="006A1F5F"/>
    <w:rsid w:val="006A32E5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0716"/>
    <w:rsid w:val="006E0CBD"/>
    <w:rsid w:val="006E5B9B"/>
    <w:rsid w:val="006E7431"/>
    <w:rsid w:val="006E7CCF"/>
    <w:rsid w:val="006F0BF1"/>
    <w:rsid w:val="006F1C6E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BA1"/>
    <w:rsid w:val="00734F74"/>
    <w:rsid w:val="007420F1"/>
    <w:rsid w:val="007461C0"/>
    <w:rsid w:val="00746687"/>
    <w:rsid w:val="00750240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6321"/>
    <w:rsid w:val="00796C4C"/>
    <w:rsid w:val="00796E8E"/>
    <w:rsid w:val="00797C13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457C"/>
    <w:rsid w:val="007F7DE7"/>
    <w:rsid w:val="00801CA8"/>
    <w:rsid w:val="00802743"/>
    <w:rsid w:val="0080335E"/>
    <w:rsid w:val="00803F2D"/>
    <w:rsid w:val="008040CE"/>
    <w:rsid w:val="008100D0"/>
    <w:rsid w:val="0081079E"/>
    <w:rsid w:val="00811C49"/>
    <w:rsid w:val="0081274A"/>
    <w:rsid w:val="0081382B"/>
    <w:rsid w:val="00816C3D"/>
    <w:rsid w:val="008222A9"/>
    <w:rsid w:val="00824423"/>
    <w:rsid w:val="008246CB"/>
    <w:rsid w:val="00833776"/>
    <w:rsid w:val="008370B4"/>
    <w:rsid w:val="0084182A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3078"/>
    <w:rsid w:val="00884935"/>
    <w:rsid w:val="00887911"/>
    <w:rsid w:val="00894036"/>
    <w:rsid w:val="00895B1F"/>
    <w:rsid w:val="00897E94"/>
    <w:rsid w:val="008A2205"/>
    <w:rsid w:val="008A7D9E"/>
    <w:rsid w:val="008B4A64"/>
    <w:rsid w:val="008C17BC"/>
    <w:rsid w:val="008C2298"/>
    <w:rsid w:val="008C4166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14C3"/>
    <w:rsid w:val="009036CE"/>
    <w:rsid w:val="009042D9"/>
    <w:rsid w:val="0090651A"/>
    <w:rsid w:val="00907508"/>
    <w:rsid w:val="00910DBB"/>
    <w:rsid w:val="009114A6"/>
    <w:rsid w:val="00911F4E"/>
    <w:rsid w:val="00913695"/>
    <w:rsid w:val="0091451B"/>
    <w:rsid w:val="00920771"/>
    <w:rsid w:val="00922B1A"/>
    <w:rsid w:val="009251A8"/>
    <w:rsid w:val="00925BD3"/>
    <w:rsid w:val="00925FD3"/>
    <w:rsid w:val="00927DBA"/>
    <w:rsid w:val="0093076F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B37"/>
    <w:rsid w:val="009F100C"/>
    <w:rsid w:val="009F2435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5FA7"/>
    <w:rsid w:val="00A2682A"/>
    <w:rsid w:val="00A27681"/>
    <w:rsid w:val="00A3301A"/>
    <w:rsid w:val="00A341B2"/>
    <w:rsid w:val="00A347FE"/>
    <w:rsid w:val="00A365B5"/>
    <w:rsid w:val="00A36BE6"/>
    <w:rsid w:val="00A4338A"/>
    <w:rsid w:val="00A441AF"/>
    <w:rsid w:val="00A45005"/>
    <w:rsid w:val="00A52ADD"/>
    <w:rsid w:val="00A53290"/>
    <w:rsid w:val="00A54B5C"/>
    <w:rsid w:val="00A55FFE"/>
    <w:rsid w:val="00A61FB5"/>
    <w:rsid w:val="00A62636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040B"/>
    <w:rsid w:val="00AA38DB"/>
    <w:rsid w:val="00AA4482"/>
    <w:rsid w:val="00AA4D6E"/>
    <w:rsid w:val="00AA68ED"/>
    <w:rsid w:val="00AA7856"/>
    <w:rsid w:val="00AB0763"/>
    <w:rsid w:val="00AB1FEA"/>
    <w:rsid w:val="00AB7863"/>
    <w:rsid w:val="00AC04A1"/>
    <w:rsid w:val="00AC2827"/>
    <w:rsid w:val="00AC382E"/>
    <w:rsid w:val="00AC72CE"/>
    <w:rsid w:val="00AC78EA"/>
    <w:rsid w:val="00AD43E6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536B"/>
    <w:rsid w:val="00AF640E"/>
    <w:rsid w:val="00B02371"/>
    <w:rsid w:val="00B048E2"/>
    <w:rsid w:val="00B04AB9"/>
    <w:rsid w:val="00B04E99"/>
    <w:rsid w:val="00B050F2"/>
    <w:rsid w:val="00B105E2"/>
    <w:rsid w:val="00B112CF"/>
    <w:rsid w:val="00B14F5F"/>
    <w:rsid w:val="00B163FA"/>
    <w:rsid w:val="00B17E06"/>
    <w:rsid w:val="00B22674"/>
    <w:rsid w:val="00B32EC6"/>
    <w:rsid w:val="00B35A2D"/>
    <w:rsid w:val="00B37ECF"/>
    <w:rsid w:val="00B407F6"/>
    <w:rsid w:val="00B43556"/>
    <w:rsid w:val="00B457F9"/>
    <w:rsid w:val="00B46B18"/>
    <w:rsid w:val="00B46F8E"/>
    <w:rsid w:val="00B524C8"/>
    <w:rsid w:val="00B52974"/>
    <w:rsid w:val="00B55289"/>
    <w:rsid w:val="00B5556E"/>
    <w:rsid w:val="00B5646E"/>
    <w:rsid w:val="00B72D73"/>
    <w:rsid w:val="00B74A15"/>
    <w:rsid w:val="00B76B45"/>
    <w:rsid w:val="00B774C0"/>
    <w:rsid w:val="00B77847"/>
    <w:rsid w:val="00B80B8E"/>
    <w:rsid w:val="00B814E0"/>
    <w:rsid w:val="00B84D1E"/>
    <w:rsid w:val="00B8526E"/>
    <w:rsid w:val="00B93405"/>
    <w:rsid w:val="00B94439"/>
    <w:rsid w:val="00B946BD"/>
    <w:rsid w:val="00BA1B28"/>
    <w:rsid w:val="00BA29C6"/>
    <w:rsid w:val="00BA6278"/>
    <w:rsid w:val="00BB17BF"/>
    <w:rsid w:val="00BB30EB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828"/>
    <w:rsid w:val="00BC7F3F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2CAC"/>
    <w:rsid w:val="00BF5C7D"/>
    <w:rsid w:val="00BF66A7"/>
    <w:rsid w:val="00C04F93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347C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6920"/>
    <w:rsid w:val="00CB0FF5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1F9F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E21BC"/>
    <w:rsid w:val="00DE3B57"/>
    <w:rsid w:val="00DF118D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155E"/>
    <w:rsid w:val="00E21ED0"/>
    <w:rsid w:val="00E25A0E"/>
    <w:rsid w:val="00E301BA"/>
    <w:rsid w:val="00E305BD"/>
    <w:rsid w:val="00E33D60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7E3A"/>
    <w:rsid w:val="00E80D33"/>
    <w:rsid w:val="00E8109E"/>
    <w:rsid w:val="00E840D1"/>
    <w:rsid w:val="00E86711"/>
    <w:rsid w:val="00E90955"/>
    <w:rsid w:val="00E93AB8"/>
    <w:rsid w:val="00E93E46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46B7"/>
    <w:rsid w:val="00F855AE"/>
    <w:rsid w:val="00F96CD2"/>
    <w:rsid w:val="00F97C00"/>
    <w:rsid w:val="00FA08ED"/>
    <w:rsid w:val="00FA2215"/>
    <w:rsid w:val="00FA4FC6"/>
    <w:rsid w:val="00FB16CB"/>
    <w:rsid w:val="00FC615E"/>
    <w:rsid w:val="00FC7E50"/>
    <w:rsid w:val="00FD0D03"/>
    <w:rsid w:val="00FD14BD"/>
    <w:rsid w:val="00FD2CFE"/>
    <w:rsid w:val="00FD3FDB"/>
    <w:rsid w:val="00FD7524"/>
    <w:rsid w:val="00FE64A6"/>
    <w:rsid w:val="00FE7244"/>
    <w:rsid w:val="00FE7CEE"/>
    <w:rsid w:val="00FF0137"/>
    <w:rsid w:val="00FF10AA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da.gov/Drugs/DevelopmentApprovalProcess/FormsSubmissionRequirements/ElectronicSubmissions/DataStandardsManualmonographs/ucm071666.htm" TargetMode="External"/><Relationship Id="rId14" Type="http://schemas.openxmlformats.org/officeDocument/2006/relationships/hyperlink" Target="http://wiki.hl7.org/images/4/47/V3DAM_ALLERGY_R1_I1_2013JAN_Storyboar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46344-786B-40FB-8F21-A690991C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10553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3</cp:revision>
  <cp:lastPrinted>2012-07-25T02:38:00Z</cp:lastPrinted>
  <dcterms:created xsi:type="dcterms:W3CDTF">2013-06-03T17:22:00Z</dcterms:created>
  <dcterms:modified xsi:type="dcterms:W3CDTF">2013-06-04T00:31:00Z</dcterms:modified>
</cp:coreProperties>
</file>