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736AC" w14:textId="77777777" w:rsidR="006079FF" w:rsidRDefault="006079FF" w:rsidP="006079FF">
      <w:pPr>
        <w:jc w:val="center"/>
        <w:rPr>
          <w:sz w:val="40"/>
          <w:szCs w:val="40"/>
        </w:rPr>
      </w:pPr>
    </w:p>
    <w:p w14:paraId="6E29322F" w14:textId="77777777" w:rsidR="006079FF" w:rsidRDefault="006079FF" w:rsidP="006079FF">
      <w:pPr>
        <w:jc w:val="center"/>
        <w:rPr>
          <w:sz w:val="40"/>
          <w:szCs w:val="40"/>
        </w:rPr>
      </w:pPr>
    </w:p>
    <w:p w14:paraId="3D771CC7" w14:textId="77777777" w:rsidR="006079FF" w:rsidRDefault="006079FF" w:rsidP="006079FF">
      <w:pPr>
        <w:jc w:val="center"/>
        <w:rPr>
          <w:sz w:val="40"/>
          <w:szCs w:val="40"/>
        </w:rPr>
      </w:pPr>
    </w:p>
    <w:p w14:paraId="1D97C0C2" w14:textId="77777777" w:rsidR="006079FF" w:rsidRDefault="006079FF" w:rsidP="006079FF">
      <w:pPr>
        <w:jc w:val="center"/>
        <w:rPr>
          <w:sz w:val="40"/>
          <w:szCs w:val="40"/>
        </w:rPr>
      </w:pPr>
    </w:p>
    <w:p w14:paraId="61CA8A5F" w14:textId="77777777" w:rsidR="006079FF" w:rsidRDefault="006079FF" w:rsidP="006079FF">
      <w:pPr>
        <w:jc w:val="center"/>
        <w:rPr>
          <w:sz w:val="40"/>
          <w:szCs w:val="40"/>
        </w:rPr>
      </w:pPr>
    </w:p>
    <w:p w14:paraId="47DEF8A2" w14:textId="77777777" w:rsidR="00F7687A" w:rsidRPr="000106CF" w:rsidRDefault="00F7687A" w:rsidP="00F7687A">
      <w:pPr>
        <w:jc w:val="center"/>
        <w:rPr>
          <w:rStyle w:val="Strong"/>
          <w:rFonts w:cs="Tahoma"/>
          <w:b w:val="0"/>
          <w:color w:val="000000"/>
          <w:sz w:val="44"/>
          <w:szCs w:val="20"/>
        </w:rPr>
      </w:pPr>
      <w:r w:rsidRPr="000106CF">
        <w:rPr>
          <w:rStyle w:val="Strong"/>
          <w:rFonts w:cs="Tahoma"/>
          <w:b w:val="0"/>
          <w:color w:val="000000"/>
          <w:sz w:val="44"/>
          <w:szCs w:val="20"/>
        </w:rPr>
        <w:t>HL7 CDA® R2 Implementation Guide:</w:t>
      </w:r>
    </w:p>
    <w:p w14:paraId="0FD73635" w14:textId="6EB805E2" w:rsidR="0055337F" w:rsidRPr="000106CF" w:rsidRDefault="002D5146" w:rsidP="00F7687A">
      <w:pPr>
        <w:jc w:val="center"/>
        <w:rPr>
          <w:rStyle w:val="Strong"/>
          <w:rFonts w:cs="Tahoma"/>
          <w:b w:val="0"/>
          <w:color w:val="000000"/>
          <w:sz w:val="44"/>
          <w:szCs w:val="20"/>
        </w:rPr>
      </w:pPr>
      <w:r w:rsidRPr="000106CF">
        <w:rPr>
          <w:rStyle w:val="Strong"/>
          <w:rFonts w:cs="Tahoma"/>
          <w:b w:val="0"/>
          <w:color w:val="000000"/>
          <w:sz w:val="44"/>
          <w:szCs w:val="20"/>
        </w:rPr>
        <w:t xml:space="preserve">Public Health </w:t>
      </w:r>
      <w:r w:rsidR="004D6041" w:rsidRPr="000106CF">
        <w:rPr>
          <w:rStyle w:val="Strong"/>
          <w:rFonts w:cs="Tahoma"/>
          <w:b w:val="0"/>
          <w:color w:val="000000"/>
          <w:sz w:val="44"/>
          <w:szCs w:val="20"/>
        </w:rPr>
        <w:t>Case Report</w:t>
      </w:r>
      <w:r w:rsidR="00FA4D4C" w:rsidRPr="000106CF">
        <w:rPr>
          <w:rStyle w:val="Strong"/>
          <w:rFonts w:cs="Tahoma"/>
          <w:b w:val="0"/>
          <w:color w:val="000000"/>
          <w:sz w:val="44"/>
          <w:szCs w:val="20"/>
        </w:rPr>
        <w:t>, Release</w:t>
      </w:r>
      <w:r w:rsidR="00F7687A" w:rsidRPr="000106CF">
        <w:rPr>
          <w:rStyle w:val="Strong"/>
          <w:rFonts w:cs="Tahoma"/>
          <w:b w:val="0"/>
          <w:color w:val="000000"/>
          <w:sz w:val="44"/>
          <w:szCs w:val="20"/>
        </w:rPr>
        <w:t xml:space="preserve"> 2</w:t>
      </w:r>
      <w:r w:rsidR="00A616A8">
        <w:rPr>
          <w:rStyle w:val="Strong"/>
          <w:rFonts w:cs="Tahoma"/>
          <w:b w:val="0"/>
          <w:color w:val="000000"/>
          <w:sz w:val="44"/>
          <w:szCs w:val="20"/>
        </w:rPr>
        <w:t xml:space="preserve"> – the Electronic Initial Case Report</w:t>
      </w:r>
    </w:p>
    <w:p w14:paraId="0271D371" w14:textId="1D7EE121" w:rsidR="00480456" w:rsidRDefault="0055337F" w:rsidP="00F7687A">
      <w:pPr>
        <w:jc w:val="center"/>
        <w:rPr>
          <w:rStyle w:val="Strong"/>
          <w:rFonts w:cs="Tahoma"/>
          <w:b w:val="0"/>
          <w:color w:val="000000"/>
          <w:sz w:val="44"/>
          <w:szCs w:val="20"/>
        </w:rPr>
      </w:pPr>
      <w:r w:rsidRPr="000106CF">
        <w:rPr>
          <w:rStyle w:val="Strong"/>
          <w:rFonts w:cs="Tahoma"/>
          <w:b w:val="0"/>
          <w:color w:val="000000"/>
          <w:sz w:val="44"/>
          <w:szCs w:val="20"/>
        </w:rPr>
        <w:t>(PI ID:1216)</w:t>
      </w:r>
    </w:p>
    <w:p w14:paraId="07A5EB52" w14:textId="77777777" w:rsidR="009916E7" w:rsidRDefault="009916E7" w:rsidP="00F7687A">
      <w:pPr>
        <w:jc w:val="center"/>
        <w:rPr>
          <w:rStyle w:val="Strong"/>
          <w:rFonts w:cs="Tahoma"/>
          <w:b w:val="0"/>
          <w:color w:val="000000"/>
          <w:sz w:val="44"/>
          <w:szCs w:val="20"/>
        </w:rPr>
      </w:pPr>
    </w:p>
    <w:p w14:paraId="03414F88" w14:textId="5305CA45" w:rsidR="009916E7" w:rsidRDefault="009916E7" w:rsidP="00F7687A">
      <w:pPr>
        <w:jc w:val="center"/>
        <w:rPr>
          <w:rStyle w:val="Strong"/>
          <w:rFonts w:cs="Tahoma"/>
          <w:b w:val="0"/>
          <w:color w:val="000000"/>
          <w:sz w:val="44"/>
          <w:szCs w:val="20"/>
        </w:rPr>
      </w:pPr>
      <w:r>
        <w:rPr>
          <w:rStyle w:val="Strong"/>
          <w:rFonts w:cs="Tahoma"/>
          <w:b w:val="0"/>
          <w:color w:val="000000"/>
          <w:sz w:val="44"/>
          <w:szCs w:val="20"/>
        </w:rPr>
        <w:t>&lt;Month&gt; 2016</w:t>
      </w:r>
    </w:p>
    <w:p w14:paraId="7B94C45B" w14:textId="181FE222" w:rsidR="009916E7" w:rsidRPr="000106CF" w:rsidRDefault="009916E7" w:rsidP="00F7687A">
      <w:pPr>
        <w:jc w:val="center"/>
        <w:rPr>
          <w:rStyle w:val="Strong"/>
          <w:rFonts w:cs="Tahoma"/>
          <w:b w:val="0"/>
          <w:color w:val="000000"/>
          <w:sz w:val="44"/>
          <w:szCs w:val="20"/>
        </w:rPr>
      </w:pPr>
      <w:r>
        <w:rPr>
          <w:rStyle w:val="Strong"/>
          <w:rFonts w:cs="Tahoma"/>
          <w:b w:val="0"/>
          <w:color w:val="000000"/>
          <w:sz w:val="44"/>
          <w:szCs w:val="20"/>
        </w:rPr>
        <w:t>Volume 1 – Introductory Material</w:t>
      </w:r>
      <w:r w:rsidR="00135329">
        <w:rPr>
          <w:rStyle w:val="Strong"/>
          <w:rFonts w:cs="Tahoma"/>
          <w:b w:val="0"/>
          <w:color w:val="000000"/>
          <w:sz w:val="44"/>
          <w:szCs w:val="20"/>
        </w:rPr>
        <w:br/>
        <w:t>US Realm Standard</w:t>
      </w:r>
    </w:p>
    <w:p w14:paraId="452255D2" w14:textId="662B8E73" w:rsidR="006079FF" w:rsidRPr="00F7687A" w:rsidRDefault="006079FF" w:rsidP="00F7687A">
      <w:pPr>
        <w:jc w:val="center"/>
        <w:rPr>
          <w:sz w:val="56"/>
          <w:szCs w:val="56"/>
        </w:rPr>
      </w:pPr>
      <w:r>
        <w:rPr>
          <w:sz w:val="40"/>
          <w:szCs w:val="40"/>
        </w:rPr>
        <w:br/>
      </w:r>
    </w:p>
    <w:p w14:paraId="639D27E0" w14:textId="77777777" w:rsidR="00FA4D4C" w:rsidRDefault="00FA4D4C">
      <w:pPr>
        <w:rPr>
          <w:sz w:val="40"/>
          <w:szCs w:val="40"/>
        </w:rPr>
      </w:pPr>
    </w:p>
    <w:p w14:paraId="1F0FB0BE" w14:textId="77777777" w:rsidR="00FA4D4C" w:rsidRDefault="00FA4D4C">
      <w:pPr>
        <w:rPr>
          <w:sz w:val="40"/>
          <w:szCs w:val="40"/>
        </w:rPr>
      </w:pPr>
    </w:p>
    <w:p w14:paraId="37FC1FDF" w14:textId="77777777" w:rsidR="00FA4D4C" w:rsidRDefault="00FA4D4C">
      <w:pPr>
        <w:rPr>
          <w:sz w:val="40"/>
          <w:szCs w:val="40"/>
        </w:rPr>
      </w:pPr>
    </w:p>
    <w:p w14:paraId="0C7915E8" w14:textId="77777777" w:rsidR="00FA4D4C" w:rsidRDefault="00FA4D4C">
      <w:pPr>
        <w:rPr>
          <w:sz w:val="40"/>
          <w:szCs w:val="40"/>
        </w:rPr>
      </w:pPr>
    </w:p>
    <w:p w14:paraId="1C4A1071" w14:textId="77777777" w:rsidR="00FA4D4C" w:rsidRDefault="00FA4D4C">
      <w:pPr>
        <w:rPr>
          <w:sz w:val="40"/>
          <w:szCs w:val="40"/>
        </w:rPr>
      </w:pPr>
    </w:p>
    <w:p w14:paraId="60658A80" w14:textId="77777777" w:rsidR="00FA4D4C" w:rsidRDefault="00FA4D4C">
      <w:pPr>
        <w:rPr>
          <w:sz w:val="40"/>
          <w:szCs w:val="40"/>
        </w:rPr>
      </w:pPr>
    </w:p>
    <w:p w14:paraId="524B311F" w14:textId="29DCED80" w:rsidR="00FA4D4C" w:rsidRDefault="00FA4D4C" w:rsidP="00FA4D4C">
      <w:pPr>
        <w:rPr>
          <w:color w:val="FF0000"/>
          <w:sz w:val="24"/>
          <w:szCs w:val="24"/>
        </w:rPr>
      </w:pPr>
      <w:r>
        <w:rPr>
          <w:color w:val="FF0000"/>
          <w:sz w:val="24"/>
          <w:szCs w:val="24"/>
        </w:rPr>
        <w:t>[HL7 IP boilerplate]</w:t>
      </w:r>
    </w:p>
    <w:p w14:paraId="620E3BC0" w14:textId="77777777" w:rsidR="00FA4D4C" w:rsidRDefault="00FA4D4C">
      <w:pPr>
        <w:rPr>
          <w:color w:val="FF0000"/>
          <w:sz w:val="24"/>
          <w:szCs w:val="24"/>
        </w:rPr>
      </w:pPr>
      <w:r>
        <w:rPr>
          <w:color w:val="FF0000"/>
          <w:sz w:val="24"/>
          <w:szCs w:val="24"/>
        </w:rPr>
        <w:br w:type="page"/>
      </w:r>
    </w:p>
    <w:p w14:paraId="5D661B17" w14:textId="77777777" w:rsidR="000E75B7" w:rsidRPr="00E6350B" w:rsidRDefault="000E75B7" w:rsidP="000E75B7">
      <w:pPr>
        <w:rPr>
          <w:b/>
          <w:color w:val="FF0000"/>
          <w:sz w:val="28"/>
        </w:rPr>
      </w:pPr>
      <w:r w:rsidRPr="00E6350B">
        <w:rPr>
          <w:b/>
          <w:sz w:val="28"/>
        </w:rPr>
        <w:lastRenderedPageBreak/>
        <w:t>Acknowledgements</w:t>
      </w:r>
    </w:p>
    <w:p w14:paraId="7DE8B55B" w14:textId="15F661FF" w:rsidR="00253852" w:rsidRDefault="00360ED1" w:rsidP="00360ED1">
      <w:pPr>
        <w:autoSpaceDE w:val="0"/>
        <w:autoSpaceDN w:val="0"/>
        <w:adjustRightInd w:val="0"/>
        <w:spacing w:after="0" w:line="240" w:lineRule="auto"/>
        <w:rPr>
          <w:rFonts w:ascii="Calibri" w:hAnsi="Calibri" w:cs="Tahoma"/>
          <w:color w:val="000000"/>
          <w:sz w:val="24"/>
          <w:szCs w:val="24"/>
        </w:rPr>
      </w:pPr>
      <w:r w:rsidRPr="00360ED1">
        <w:rPr>
          <w:rFonts w:ascii="Calibri" w:hAnsi="Calibri" w:cs="Tahoma"/>
          <w:color w:val="000000"/>
          <w:sz w:val="24"/>
          <w:szCs w:val="24"/>
        </w:rPr>
        <w:t xml:space="preserve">This guide was produced and developed through a collaborative effort of the Centers for Disease Control and Prevention (CDC), </w:t>
      </w:r>
      <w:r>
        <w:rPr>
          <w:rFonts w:ascii="Calibri" w:hAnsi="Calibri" w:cs="Tahoma"/>
          <w:color w:val="000000"/>
          <w:sz w:val="24"/>
          <w:szCs w:val="24"/>
        </w:rPr>
        <w:t>Council of State and Territorial Epidemiologist (CSTE)</w:t>
      </w:r>
      <w:r w:rsidRPr="00360ED1">
        <w:rPr>
          <w:rFonts w:ascii="Calibri" w:hAnsi="Calibri" w:cs="Tahoma"/>
          <w:color w:val="000000"/>
          <w:sz w:val="24"/>
          <w:szCs w:val="24"/>
        </w:rPr>
        <w:t xml:space="preserve">, </w:t>
      </w:r>
      <w:r>
        <w:rPr>
          <w:rFonts w:ascii="Calibri" w:hAnsi="Calibri" w:cs="Tahoma"/>
          <w:color w:val="000000"/>
          <w:sz w:val="24"/>
          <w:szCs w:val="24"/>
        </w:rPr>
        <w:t>the Association of State and Territorial Health Officials</w:t>
      </w:r>
      <w:r w:rsidR="00E6350B">
        <w:rPr>
          <w:rFonts w:ascii="Calibri" w:hAnsi="Calibri" w:cs="Tahoma"/>
          <w:color w:val="000000"/>
          <w:sz w:val="24"/>
          <w:szCs w:val="24"/>
        </w:rPr>
        <w:t xml:space="preserve"> (ASTHO), the Association of Public Health Laboratories (APHL)</w:t>
      </w:r>
      <w:r>
        <w:rPr>
          <w:rFonts w:ascii="Calibri" w:hAnsi="Calibri" w:cs="Tahoma"/>
          <w:color w:val="000000"/>
          <w:sz w:val="24"/>
          <w:szCs w:val="24"/>
        </w:rPr>
        <w:t xml:space="preserve">, </w:t>
      </w:r>
      <w:r w:rsidR="000F3FDE">
        <w:rPr>
          <w:rFonts w:ascii="Calibri" w:hAnsi="Calibri" w:cs="Tahoma"/>
          <w:color w:val="000000"/>
          <w:sz w:val="24"/>
          <w:szCs w:val="24"/>
        </w:rPr>
        <w:t xml:space="preserve">CGI Federal, </w:t>
      </w:r>
      <w:r w:rsidRPr="00360ED1">
        <w:rPr>
          <w:rFonts w:ascii="Calibri" w:hAnsi="Calibri" w:cs="Tahoma"/>
          <w:color w:val="000000"/>
          <w:sz w:val="24"/>
          <w:szCs w:val="24"/>
        </w:rPr>
        <w:t xml:space="preserve">public health </w:t>
      </w:r>
      <w:r>
        <w:rPr>
          <w:rFonts w:ascii="Calibri" w:hAnsi="Calibri" w:cs="Tahoma"/>
          <w:color w:val="000000"/>
          <w:sz w:val="24"/>
          <w:szCs w:val="24"/>
        </w:rPr>
        <w:t xml:space="preserve">surveillance </w:t>
      </w:r>
      <w:r w:rsidR="00766FF9">
        <w:rPr>
          <w:rFonts w:ascii="Calibri" w:hAnsi="Calibri" w:cs="Tahoma"/>
          <w:color w:val="000000"/>
          <w:sz w:val="24"/>
          <w:szCs w:val="24"/>
        </w:rPr>
        <w:t>practitioners</w:t>
      </w:r>
      <w:r w:rsidRPr="00360ED1">
        <w:rPr>
          <w:rFonts w:ascii="Calibri" w:hAnsi="Calibri" w:cs="Tahoma"/>
          <w:color w:val="000000"/>
          <w:sz w:val="24"/>
          <w:szCs w:val="24"/>
        </w:rPr>
        <w:t xml:space="preserve">, EHR vendors, and the </w:t>
      </w:r>
      <w:r w:rsidR="00766FF9">
        <w:rPr>
          <w:rFonts w:ascii="Calibri" w:hAnsi="Calibri" w:cs="Tahoma"/>
          <w:color w:val="000000"/>
          <w:sz w:val="24"/>
          <w:szCs w:val="24"/>
        </w:rPr>
        <w:t>HL7 Public Health and Emergency Response</w:t>
      </w:r>
      <w:r w:rsidR="000F3FDE">
        <w:rPr>
          <w:rFonts w:ascii="Calibri" w:hAnsi="Calibri" w:cs="Tahoma"/>
          <w:color w:val="000000"/>
          <w:sz w:val="24"/>
          <w:szCs w:val="24"/>
        </w:rPr>
        <w:t xml:space="preserve"> (PHER)</w:t>
      </w:r>
      <w:r w:rsidR="00766FF9">
        <w:rPr>
          <w:rFonts w:ascii="Calibri" w:hAnsi="Calibri" w:cs="Tahoma"/>
          <w:color w:val="000000"/>
          <w:sz w:val="24"/>
          <w:szCs w:val="24"/>
        </w:rPr>
        <w:t xml:space="preserve"> Work Group</w:t>
      </w:r>
      <w:r w:rsidRPr="00360ED1">
        <w:rPr>
          <w:rFonts w:ascii="Calibri" w:hAnsi="Calibri" w:cs="Tahoma"/>
          <w:color w:val="000000"/>
          <w:sz w:val="24"/>
          <w:szCs w:val="24"/>
        </w:rPr>
        <w:t xml:space="preserve"> for </w:t>
      </w:r>
      <w:r>
        <w:rPr>
          <w:rFonts w:ascii="Calibri" w:hAnsi="Calibri" w:cs="Tahoma"/>
          <w:color w:val="000000"/>
          <w:sz w:val="24"/>
          <w:szCs w:val="24"/>
        </w:rPr>
        <w:t>an electronic initial c</w:t>
      </w:r>
      <w:r w:rsidR="00766FF9">
        <w:rPr>
          <w:rFonts w:ascii="Calibri" w:hAnsi="Calibri" w:cs="Tahoma"/>
          <w:color w:val="000000"/>
          <w:sz w:val="24"/>
          <w:szCs w:val="24"/>
        </w:rPr>
        <w:t xml:space="preserve">ase report (Public Health Case Report). </w:t>
      </w:r>
      <w:r w:rsidRPr="00360ED1">
        <w:rPr>
          <w:rFonts w:ascii="Calibri" w:hAnsi="Calibri" w:cs="Tahoma"/>
          <w:color w:val="000000"/>
          <w:sz w:val="24"/>
          <w:szCs w:val="24"/>
        </w:rPr>
        <w:t xml:space="preserve"> A list of data elements for </w:t>
      </w:r>
      <w:r w:rsidR="00766FF9">
        <w:rPr>
          <w:rFonts w:ascii="Calibri" w:hAnsi="Calibri" w:cs="Tahoma"/>
          <w:color w:val="000000"/>
          <w:sz w:val="24"/>
          <w:szCs w:val="24"/>
        </w:rPr>
        <w:t xml:space="preserve">electronic initial case reports </w:t>
      </w:r>
      <w:r w:rsidRPr="00360ED1">
        <w:rPr>
          <w:rFonts w:ascii="Calibri" w:hAnsi="Calibri" w:cs="Tahoma"/>
          <w:color w:val="000000"/>
          <w:sz w:val="24"/>
          <w:szCs w:val="24"/>
        </w:rPr>
        <w:t xml:space="preserve">was developed by the </w:t>
      </w:r>
      <w:r w:rsidR="00766FF9">
        <w:rPr>
          <w:rFonts w:ascii="Calibri" w:hAnsi="Calibri" w:cs="Tahoma"/>
          <w:color w:val="000000"/>
          <w:sz w:val="24"/>
          <w:szCs w:val="24"/>
        </w:rPr>
        <w:t>CSTE</w:t>
      </w:r>
      <w:r w:rsidR="00C614EB">
        <w:rPr>
          <w:rFonts w:ascii="Calibri" w:hAnsi="Calibri" w:cs="Tahoma"/>
          <w:color w:val="000000"/>
          <w:sz w:val="24"/>
          <w:szCs w:val="24"/>
        </w:rPr>
        <w:t xml:space="preserve"> </w:t>
      </w:r>
      <w:r w:rsidR="00BC6A3F">
        <w:rPr>
          <w:rFonts w:ascii="Calibri" w:hAnsi="Calibri" w:cs="Tahoma"/>
          <w:color w:val="000000"/>
          <w:sz w:val="24"/>
          <w:szCs w:val="24"/>
        </w:rPr>
        <w:t xml:space="preserve">eICR Task Force </w:t>
      </w:r>
      <w:r w:rsidRPr="00360ED1">
        <w:rPr>
          <w:rFonts w:ascii="Calibri" w:hAnsi="Calibri" w:cs="Tahoma"/>
          <w:color w:val="000000"/>
          <w:sz w:val="24"/>
          <w:szCs w:val="24"/>
        </w:rPr>
        <w:t xml:space="preserve">in collaboration with the CDC. CDC provided </w:t>
      </w:r>
      <w:r w:rsidR="00766FF9">
        <w:rPr>
          <w:rFonts w:ascii="Calibri" w:hAnsi="Calibri" w:cs="Tahoma"/>
          <w:color w:val="000000"/>
          <w:sz w:val="24"/>
          <w:szCs w:val="24"/>
        </w:rPr>
        <w:t xml:space="preserve">some </w:t>
      </w:r>
      <w:r w:rsidRPr="00360ED1">
        <w:rPr>
          <w:rFonts w:ascii="Calibri" w:hAnsi="Calibri" w:cs="Tahoma"/>
          <w:color w:val="000000"/>
          <w:sz w:val="24"/>
          <w:szCs w:val="24"/>
        </w:rPr>
        <w:t xml:space="preserve">funding to </w:t>
      </w:r>
      <w:r w:rsidR="00766FF9">
        <w:rPr>
          <w:rFonts w:ascii="Calibri" w:hAnsi="Calibri" w:cs="Tahoma"/>
          <w:color w:val="000000"/>
          <w:sz w:val="24"/>
          <w:szCs w:val="24"/>
        </w:rPr>
        <w:t xml:space="preserve">our partner organizations to </w:t>
      </w:r>
      <w:r w:rsidRPr="00360ED1">
        <w:rPr>
          <w:rFonts w:ascii="Calibri" w:hAnsi="Calibri" w:cs="Tahoma"/>
          <w:color w:val="000000"/>
          <w:sz w:val="24"/>
          <w:szCs w:val="24"/>
        </w:rPr>
        <w:t>support these activities</w:t>
      </w:r>
      <w:r w:rsidR="00253852">
        <w:rPr>
          <w:rFonts w:ascii="Calibri" w:hAnsi="Calibri" w:cs="Tahoma"/>
          <w:color w:val="000000"/>
          <w:sz w:val="24"/>
          <w:szCs w:val="24"/>
        </w:rPr>
        <w:t>.</w:t>
      </w:r>
      <w:r w:rsidR="00E6350B">
        <w:rPr>
          <w:rFonts w:ascii="Calibri" w:hAnsi="Calibri" w:cs="Tahoma"/>
          <w:color w:val="000000"/>
          <w:sz w:val="24"/>
          <w:szCs w:val="24"/>
        </w:rPr>
        <w:t xml:space="preserve"> </w:t>
      </w:r>
      <w:r w:rsidR="00253852">
        <w:rPr>
          <w:rFonts w:ascii="Calibri" w:hAnsi="Calibri" w:cs="Tahoma"/>
          <w:color w:val="000000"/>
          <w:sz w:val="24"/>
          <w:szCs w:val="24"/>
        </w:rPr>
        <w:t xml:space="preserve">The project team that </w:t>
      </w:r>
      <w:r w:rsidR="00766FF9">
        <w:rPr>
          <w:rFonts w:ascii="Calibri" w:hAnsi="Calibri" w:cs="Tahoma"/>
          <w:color w:val="000000"/>
          <w:sz w:val="24"/>
          <w:szCs w:val="24"/>
        </w:rPr>
        <w:t xml:space="preserve">participated in </w:t>
      </w:r>
      <w:r w:rsidRPr="00360ED1">
        <w:rPr>
          <w:rFonts w:ascii="Calibri" w:hAnsi="Calibri" w:cs="Tahoma"/>
          <w:color w:val="000000"/>
          <w:sz w:val="24"/>
          <w:szCs w:val="24"/>
        </w:rPr>
        <w:t>the development of this implementation guide</w:t>
      </w:r>
      <w:r w:rsidR="00253852">
        <w:rPr>
          <w:rFonts w:ascii="Calibri" w:hAnsi="Calibri" w:cs="Tahoma"/>
          <w:color w:val="000000"/>
          <w:sz w:val="24"/>
          <w:szCs w:val="24"/>
        </w:rPr>
        <w:t xml:space="preserve"> are:</w:t>
      </w:r>
    </w:p>
    <w:p w14:paraId="6E9E6D5D" w14:textId="77777777" w:rsidR="00253852" w:rsidRDefault="00253852" w:rsidP="00253852">
      <w:pPr>
        <w:pStyle w:val="PlainText"/>
      </w:pPr>
    </w:p>
    <w:p w14:paraId="56D41483" w14:textId="6465B80B" w:rsidR="00253852" w:rsidRDefault="00253852" w:rsidP="00253852">
      <w:pPr>
        <w:pStyle w:val="PlainText"/>
      </w:pPr>
      <w:r>
        <w:t xml:space="preserve">Laura Conn, </w:t>
      </w:r>
      <w:r w:rsidR="00E6350B">
        <w:t xml:space="preserve">Director, </w:t>
      </w:r>
      <w:r>
        <w:t xml:space="preserve">Health Information Strategy Activity, CSELS, CDC and </w:t>
      </w:r>
      <w:r w:rsidR="0074349A">
        <w:t xml:space="preserve">Member, </w:t>
      </w:r>
      <w:r>
        <w:t>CSTE eICR Task Force</w:t>
      </w:r>
    </w:p>
    <w:p w14:paraId="0A70DCAE" w14:textId="77777777" w:rsidR="0074349A" w:rsidRDefault="0074349A" w:rsidP="00253852">
      <w:pPr>
        <w:pStyle w:val="PlainText"/>
      </w:pPr>
    </w:p>
    <w:p w14:paraId="2123CF17" w14:textId="06CA872D" w:rsidR="00253852" w:rsidRDefault="00253852" w:rsidP="00253852">
      <w:pPr>
        <w:pStyle w:val="PlainText"/>
      </w:pPr>
      <w:r>
        <w:t xml:space="preserve">Erin Holt Coyne, </w:t>
      </w:r>
      <w:r w:rsidR="0074349A">
        <w:t xml:space="preserve">Director, Surveillance Systems and Informatics, </w:t>
      </w:r>
      <w:r>
        <w:t>Tennessee Department of Health,</w:t>
      </w:r>
      <w:r w:rsidR="0074349A">
        <w:t xml:space="preserve"> and </w:t>
      </w:r>
      <w:r>
        <w:t xml:space="preserve"> Co-chair, HL7 PHER Work Group, and </w:t>
      </w:r>
      <w:r w:rsidR="0074349A">
        <w:t xml:space="preserve">Member, </w:t>
      </w:r>
      <w:r>
        <w:t>CSTE eICR Task Force</w:t>
      </w:r>
    </w:p>
    <w:p w14:paraId="26CEB862" w14:textId="77777777" w:rsidR="0074349A" w:rsidRDefault="0074349A" w:rsidP="00253852">
      <w:pPr>
        <w:pStyle w:val="PlainText"/>
      </w:pPr>
    </w:p>
    <w:p w14:paraId="75CC759A" w14:textId="7B2956C6" w:rsidR="00253852" w:rsidRDefault="00253852" w:rsidP="00253852">
      <w:pPr>
        <w:pStyle w:val="PlainText"/>
      </w:pPr>
      <w:r>
        <w:t>MariBeth Gagnon,</w:t>
      </w:r>
      <w:r w:rsidR="00E6350B">
        <w:t xml:space="preserve"> Cytotechnologist, Laboratory Practice and Standards Branch, Division of Laboratory Systems, CSELS, CDC</w:t>
      </w:r>
    </w:p>
    <w:p w14:paraId="638451C7" w14:textId="77777777" w:rsidR="0074349A" w:rsidRDefault="0074349A" w:rsidP="00253852">
      <w:pPr>
        <w:pStyle w:val="PlainText"/>
      </w:pPr>
    </w:p>
    <w:p w14:paraId="7071F35A" w14:textId="59D3DA6E" w:rsidR="00253852" w:rsidRDefault="00253852" w:rsidP="00253852">
      <w:pPr>
        <w:pStyle w:val="PlainText"/>
      </w:pPr>
      <w:r>
        <w:t>Eric Haas,</w:t>
      </w:r>
      <w:r w:rsidR="0074349A">
        <w:t xml:space="preserve"> Consultant, The </w:t>
      </w:r>
      <w:r>
        <w:t>St. John Group, con</w:t>
      </w:r>
      <w:r w:rsidR="0074349A">
        <w:t xml:space="preserve">tractor </w:t>
      </w:r>
      <w:r>
        <w:t>to the Association of Public Health Laboratories (APHL)</w:t>
      </w:r>
    </w:p>
    <w:p w14:paraId="664238C0" w14:textId="77777777" w:rsidR="0074349A" w:rsidRDefault="0074349A" w:rsidP="00253852">
      <w:pPr>
        <w:pStyle w:val="PlainText"/>
      </w:pPr>
    </w:p>
    <w:p w14:paraId="46C357FF" w14:textId="11B74156" w:rsidR="0074349A" w:rsidRDefault="0074349A" w:rsidP="00253852">
      <w:pPr>
        <w:pStyle w:val="PlainText"/>
      </w:pPr>
      <w:r>
        <w:t>Austin Kreisler, HL7 Subject Matter Expert, Leidos, contractor to the CDC</w:t>
      </w:r>
    </w:p>
    <w:p w14:paraId="15880873" w14:textId="77777777" w:rsidR="0074349A" w:rsidRDefault="0074349A" w:rsidP="00253852">
      <w:pPr>
        <w:pStyle w:val="PlainText"/>
      </w:pPr>
    </w:p>
    <w:p w14:paraId="3FC88364" w14:textId="7D35D9ED" w:rsidR="00253852" w:rsidRDefault="00253852" w:rsidP="00253852">
      <w:pPr>
        <w:pStyle w:val="PlainText"/>
      </w:pPr>
      <w:r>
        <w:t xml:space="preserve">John W. Loonsk, </w:t>
      </w:r>
      <w:r w:rsidR="0074349A">
        <w:t xml:space="preserve">Chief Medical </w:t>
      </w:r>
      <w:r w:rsidR="00551137">
        <w:t xml:space="preserve">Informatics </w:t>
      </w:r>
      <w:r w:rsidR="0074349A">
        <w:t xml:space="preserve">Officer, </w:t>
      </w:r>
      <w:r>
        <w:t xml:space="preserve">CGI Federal </w:t>
      </w:r>
      <w:r w:rsidR="00551137">
        <w:t xml:space="preserve">and </w:t>
      </w:r>
      <w:r w:rsidR="000F3FDE">
        <w:t>Executive Sponsor, Public Health Case Report Project, PHER WG</w:t>
      </w:r>
    </w:p>
    <w:p w14:paraId="1EB8F06E" w14:textId="77777777" w:rsidR="0074349A" w:rsidRDefault="0074349A" w:rsidP="00253852">
      <w:pPr>
        <w:pStyle w:val="PlainText"/>
      </w:pPr>
    </w:p>
    <w:p w14:paraId="44EE71DE" w14:textId="399FE93B" w:rsidR="00253852" w:rsidRDefault="00253852" w:rsidP="00253852">
      <w:pPr>
        <w:pStyle w:val="PlainText"/>
      </w:pPr>
      <w:r>
        <w:t>AbdulMalik Shakir, President and Chief Informatics Scientist, Hi3 Solutions, con</w:t>
      </w:r>
      <w:r w:rsidR="0074349A">
        <w:t>tractor</w:t>
      </w:r>
      <w:r>
        <w:t xml:space="preserve"> to APHL</w:t>
      </w:r>
    </w:p>
    <w:p w14:paraId="37EC7ED5" w14:textId="77777777" w:rsidR="0074349A" w:rsidRDefault="0074349A" w:rsidP="00253852">
      <w:pPr>
        <w:pStyle w:val="PlainText"/>
      </w:pPr>
    </w:p>
    <w:p w14:paraId="0A656348" w14:textId="04791CDF" w:rsidR="00253852" w:rsidRDefault="00253852" w:rsidP="00253852">
      <w:pPr>
        <w:pStyle w:val="PlainText"/>
      </w:pPr>
      <w:r>
        <w:t xml:space="preserve">John Roberts, </w:t>
      </w:r>
      <w:r w:rsidR="003B3FF4">
        <w:t>Director of Interoperability and Standards</w:t>
      </w:r>
      <w:r w:rsidR="00E6350B">
        <w:t xml:space="preserve">, </w:t>
      </w:r>
      <w:r>
        <w:t>Tennessee Department of Health, and Co-chair, HL7 PHER Work Group</w:t>
      </w:r>
    </w:p>
    <w:p w14:paraId="1A9B238B" w14:textId="77777777" w:rsidR="00253852" w:rsidRDefault="00253852" w:rsidP="00360ED1">
      <w:pPr>
        <w:autoSpaceDE w:val="0"/>
        <w:autoSpaceDN w:val="0"/>
        <w:adjustRightInd w:val="0"/>
        <w:spacing w:after="0" w:line="240" w:lineRule="auto"/>
        <w:rPr>
          <w:rFonts w:ascii="Calibri" w:hAnsi="Calibri" w:cs="Tahoma"/>
          <w:color w:val="000000"/>
          <w:sz w:val="24"/>
          <w:szCs w:val="24"/>
        </w:rPr>
      </w:pPr>
    </w:p>
    <w:p w14:paraId="7094DE44" w14:textId="3B847ABF" w:rsidR="00360ED1" w:rsidRDefault="00360ED1" w:rsidP="00360ED1">
      <w:pPr>
        <w:autoSpaceDE w:val="0"/>
        <w:autoSpaceDN w:val="0"/>
        <w:adjustRightInd w:val="0"/>
        <w:spacing w:after="0" w:line="240" w:lineRule="auto"/>
        <w:rPr>
          <w:rFonts w:ascii="Calibri" w:hAnsi="Calibri" w:cs="Tahoma"/>
          <w:color w:val="000000"/>
          <w:sz w:val="24"/>
          <w:szCs w:val="24"/>
        </w:rPr>
      </w:pPr>
      <w:r w:rsidRPr="00360ED1">
        <w:rPr>
          <w:rFonts w:ascii="Calibri" w:hAnsi="Calibri" w:cs="Tahoma"/>
          <w:color w:val="000000"/>
          <w:sz w:val="24"/>
          <w:szCs w:val="24"/>
        </w:rPr>
        <w:t xml:space="preserve">A draft of the specification was reviewed by many national and state public health organizations, standards development organizations and vendors. The </w:t>
      </w:r>
      <w:r w:rsidR="00766FF9">
        <w:rPr>
          <w:rFonts w:ascii="Calibri" w:hAnsi="Calibri" w:cs="Tahoma"/>
          <w:color w:val="000000"/>
          <w:sz w:val="24"/>
          <w:szCs w:val="24"/>
        </w:rPr>
        <w:t xml:space="preserve">authors and </w:t>
      </w:r>
      <w:r w:rsidRPr="00360ED1">
        <w:rPr>
          <w:rFonts w:ascii="Calibri" w:hAnsi="Calibri" w:cs="Tahoma"/>
          <w:color w:val="000000"/>
          <w:sz w:val="24"/>
          <w:szCs w:val="24"/>
        </w:rPr>
        <w:t xml:space="preserve">editors would like to express gratitude to these reviewers for their thoughtful comments and support during development of this guide. In addition, special thanks needs to be expressed to the </w:t>
      </w:r>
      <w:r w:rsidR="00E6350B" w:rsidRPr="00360ED1">
        <w:rPr>
          <w:rFonts w:ascii="Calibri" w:hAnsi="Calibri" w:cs="Tahoma"/>
          <w:color w:val="000000"/>
          <w:sz w:val="24"/>
          <w:szCs w:val="24"/>
        </w:rPr>
        <w:t>following</w:t>
      </w:r>
      <w:r w:rsidR="00E6350B">
        <w:rPr>
          <w:rFonts w:ascii="Calibri" w:hAnsi="Calibri" w:cs="Tahoma"/>
          <w:color w:val="000000"/>
          <w:sz w:val="24"/>
          <w:szCs w:val="24"/>
        </w:rPr>
        <w:t xml:space="preserve"> organizations who contributed to this document</w:t>
      </w:r>
      <w:r w:rsidRPr="00360ED1">
        <w:rPr>
          <w:rFonts w:ascii="Calibri" w:hAnsi="Calibri" w:cs="Tahoma"/>
          <w:color w:val="000000"/>
          <w:sz w:val="24"/>
          <w:szCs w:val="24"/>
        </w:rPr>
        <w:t xml:space="preserve">: </w:t>
      </w:r>
    </w:p>
    <w:p w14:paraId="781C8349" w14:textId="77777777" w:rsidR="00253852" w:rsidRDefault="00253852" w:rsidP="00253852">
      <w:pPr>
        <w:pStyle w:val="ListParagraph"/>
        <w:numPr>
          <w:ilvl w:val="0"/>
          <w:numId w:val="20"/>
        </w:numPr>
        <w:autoSpaceDE w:val="0"/>
        <w:autoSpaceDN w:val="0"/>
        <w:adjustRightInd w:val="0"/>
        <w:spacing w:after="9" w:line="240" w:lineRule="auto"/>
        <w:rPr>
          <w:rFonts w:ascii="Calibri" w:hAnsi="Calibri" w:cs="Tahoma"/>
          <w:color w:val="000000"/>
          <w:sz w:val="24"/>
          <w:szCs w:val="24"/>
        </w:rPr>
      </w:pPr>
      <w:r w:rsidRPr="00280D56">
        <w:rPr>
          <w:rFonts w:ascii="Calibri" w:hAnsi="Calibri" w:cs="Tahoma"/>
          <w:color w:val="000000"/>
          <w:sz w:val="24"/>
          <w:szCs w:val="24"/>
        </w:rPr>
        <w:t>Association of Public Health Laboratories</w:t>
      </w:r>
      <w:r w:rsidRPr="00253852">
        <w:rPr>
          <w:rFonts w:ascii="Calibri" w:hAnsi="Calibri" w:cs="Tahoma"/>
          <w:color w:val="000000"/>
          <w:sz w:val="24"/>
          <w:szCs w:val="24"/>
        </w:rPr>
        <w:t xml:space="preserve"> </w:t>
      </w:r>
    </w:p>
    <w:p w14:paraId="78E58552" w14:textId="77777777" w:rsidR="00253852" w:rsidRPr="00280D56" w:rsidRDefault="00253852" w:rsidP="00253852">
      <w:pPr>
        <w:pStyle w:val="ListParagraph"/>
        <w:numPr>
          <w:ilvl w:val="0"/>
          <w:numId w:val="20"/>
        </w:numPr>
        <w:autoSpaceDE w:val="0"/>
        <w:autoSpaceDN w:val="0"/>
        <w:adjustRightInd w:val="0"/>
        <w:spacing w:after="9" w:line="240" w:lineRule="auto"/>
        <w:rPr>
          <w:rFonts w:ascii="Calibri" w:hAnsi="Calibri" w:cs="Tahoma"/>
          <w:color w:val="000000"/>
          <w:sz w:val="24"/>
          <w:szCs w:val="24"/>
        </w:rPr>
      </w:pPr>
      <w:r w:rsidRPr="00280D56">
        <w:rPr>
          <w:rFonts w:ascii="Calibri" w:hAnsi="Calibri" w:cs="Tahoma"/>
          <w:color w:val="000000"/>
          <w:sz w:val="24"/>
          <w:szCs w:val="24"/>
        </w:rPr>
        <w:t>Association of State and Territorial Health Officials</w:t>
      </w:r>
    </w:p>
    <w:p w14:paraId="1A1FB770" w14:textId="0F6941D8" w:rsidR="00360ED1" w:rsidRDefault="00253852" w:rsidP="00253852">
      <w:pPr>
        <w:pStyle w:val="ListParagraph"/>
        <w:numPr>
          <w:ilvl w:val="0"/>
          <w:numId w:val="20"/>
        </w:numPr>
        <w:autoSpaceDE w:val="0"/>
        <w:autoSpaceDN w:val="0"/>
        <w:adjustRightInd w:val="0"/>
        <w:spacing w:after="9" w:line="240" w:lineRule="auto"/>
        <w:rPr>
          <w:rFonts w:ascii="Calibri" w:hAnsi="Calibri" w:cs="Tahoma"/>
          <w:color w:val="000000"/>
          <w:sz w:val="24"/>
          <w:szCs w:val="24"/>
        </w:rPr>
      </w:pPr>
      <w:r>
        <w:rPr>
          <w:rFonts w:ascii="Calibri" w:hAnsi="Calibri" w:cs="Tahoma"/>
          <w:color w:val="000000"/>
          <w:sz w:val="24"/>
          <w:szCs w:val="24"/>
        </w:rPr>
        <w:t>Centers for Disease Control and Prevention Centers/Institutes/Offices:</w:t>
      </w:r>
    </w:p>
    <w:p w14:paraId="4DCD0A58" w14:textId="401573A1" w:rsidR="00360ED1" w:rsidRPr="00253852" w:rsidRDefault="00360ED1" w:rsidP="00253852">
      <w:pPr>
        <w:pStyle w:val="ListParagraph"/>
        <w:numPr>
          <w:ilvl w:val="0"/>
          <w:numId w:val="29"/>
        </w:numPr>
        <w:autoSpaceDE w:val="0"/>
        <w:autoSpaceDN w:val="0"/>
        <w:adjustRightInd w:val="0"/>
        <w:spacing w:after="9" w:line="240" w:lineRule="auto"/>
        <w:rPr>
          <w:rFonts w:ascii="Calibri" w:hAnsi="Calibri" w:cs="Tahoma"/>
          <w:color w:val="000000"/>
          <w:sz w:val="24"/>
          <w:szCs w:val="24"/>
        </w:rPr>
      </w:pPr>
      <w:r w:rsidRPr="00253852">
        <w:rPr>
          <w:rFonts w:ascii="Calibri" w:hAnsi="Calibri" w:cs="Tahoma"/>
          <w:color w:val="000000"/>
          <w:sz w:val="24"/>
          <w:szCs w:val="24"/>
        </w:rPr>
        <w:t xml:space="preserve">Center for Surveillance, Epidemiology, and Laboratory Services (CSELS) </w:t>
      </w:r>
    </w:p>
    <w:p w14:paraId="21FB29E8" w14:textId="61A63393" w:rsidR="00360ED1" w:rsidRPr="00253852" w:rsidRDefault="00360ED1" w:rsidP="00253852">
      <w:pPr>
        <w:pStyle w:val="ListParagraph"/>
        <w:numPr>
          <w:ilvl w:val="0"/>
          <w:numId w:val="29"/>
        </w:numPr>
        <w:autoSpaceDE w:val="0"/>
        <w:autoSpaceDN w:val="0"/>
        <w:adjustRightInd w:val="0"/>
        <w:spacing w:after="9" w:line="240" w:lineRule="auto"/>
        <w:rPr>
          <w:rFonts w:cs="Tahoma"/>
          <w:color w:val="000000"/>
          <w:sz w:val="24"/>
          <w:szCs w:val="24"/>
        </w:rPr>
      </w:pPr>
      <w:r w:rsidRPr="00253852">
        <w:rPr>
          <w:rFonts w:cs="Tahoma"/>
          <w:color w:val="000000"/>
          <w:sz w:val="24"/>
          <w:szCs w:val="24"/>
        </w:rPr>
        <w:t>Office of Infectious Diseases</w:t>
      </w:r>
    </w:p>
    <w:p w14:paraId="702F93EB" w14:textId="6D58D9D4" w:rsidR="00253852" w:rsidRPr="00253852" w:rsidRDefault="002F748B" w:rsidP="00253852">
      <w:pPr>
        <w:pStyle w:val="ListParagraph"/>
        <w:numPr>
          <w:ilvl w:val="0"/>
          <w:numId w:val="29"/>
        </w:numPr>
        <w:autoSpaceDE w:val="0"/>
        <w:autoSpaceDN w:val="0"/>
        <w:adjustRightInd w:val="0"/>
        <w:spacing w:after="9" w:line="240" w:lineRule="auto"/>
        <w:rPr>
          <w:rFonts w:cs="Tahoma"/>
          <w:color w:val="000000"/>
          <w:sz w:val="24"/>
          <w:szCs w:val="24"/>
        </w:rPr>
      </w:pPr>
      <w:r w:rsidRPr="002F748B">
        <w:rPr>
          <w:rFonts w:cs="Arial"/>
          <w:color w:val="333333"/>
          <w:sz w:val="24"/>
          <w:szCs w:val="24"/>
          <w:lang w:eastAsia="zh-CN"/>
        </w:rPr>
        <w:t>National Center for Emerging and Zoonotic Infectious Diseases (NCEZID)</w:t>
      </w:r>
    </w:p>
    <w:p w14:paraId="18F859D5" w14:textId="1CFBFFA0" w:rsidR="00253852" w:rsidRPr="00253852" w:rsidRDefault="002F748B" w:rsidP="00253852">
      <w:pPr>
        <w:pStyle w:val="ListParagraph"/>
        <w:numPr>
          <w:ilvl w:val="0"/>
          <w:numId w:val="29"/>
        </w:numPr>
        <w:autoSpaceDE w:val="0"/>
        <w:autoSpaceDN w:val="0"/>
        <w:adjustRightInd w:val="0"/>
        <w:spacing w:after="9" w:line="240" w:lineRule="auto"/>
        <w:rPr>
          <w:rFonts w:cs="Tahoma"/>
          <w:color w:val="000000"/>
          <w:sz w:val="24"/>
          <w:szCs w:val="24"/>
        </w:rPr>
      </w:pPr>
      <w:r w:rsidRPr="002F748B">
        <w:rPr>
          <w:rFonts w:cs="Arial"/>
          <w:color w:val="333333"/>
          <w:sz w:val="24"/>
          <w:szCs w:val="24"/>
          <w:lang w:eastAsia="zh-CN"/>
        </w:rPr>
        <w:lastRenderedPageBreak/>
        <w:t>National Center for Health Statistics (NCHS)</w:t>
      </w:r>
    </w:p>
    <w:p w14:paraId="37464190" w14:textId="23DB2D69" w:rsidR="00253852" w:rsidRPr="00253852" w:rsidRDefault="002F748B" w:rsidP="00253852">
      <w:pPr>
        <w:pStyle w:val="ListParagraph"/>
        <w:numPr>
          <w:ilvl w:val="0"/>
          <w:numId w:val="29"/>
        </w:numPr>
        <w:autoSpaceDE w:val="0"/>
        <w:autoSpaceDN w:val="0"/>
        <w:adjustRightInd w:val="0"/>
        <w:spacing w:after="9" w:line="240" w:lineRule="auto"/>
        <w:rPr>
          <w:rFonts w:cs="Tahoma"/>
          <w:color w:val="000000"/>
          <w:sz w:val="24"/>
          <w:szCs w:val="24"/>
        </w:rPr>
      </w:pPr>
      <w:r w:rsidRPr="002F748B">
        <w:rPr>
          <w:rFonts w:cs="Arial"/>
          <w:color w:val="333333"/>
          <w:sz w:val="24"/>
          <w:szCs w:val="24"/>
          <w:lang w:eastAsia="zh-CN"/>
        </w:rPr>
        <w:t>National Center for HIV/AIDS, Viral Hepatitis, STD, and TB Prevention (NCHHSTP)</w:t>
      </w:r>
    </w:p>
    <w:p w14:paraId="18B67934" w14:textId="0447664B" w:rsidR="00253852" w:rsidRPr="00253852" w:rsidRDefault="002F748B" w:rsidP="00253852">
      <w:pPr>
        <w:pStyle w:val="ListParagraph"/>
        <w:numPr>
          <w:ilvl w:val="0"/>
          <w:numId w:val="29"/>
        </w:numPr>
        <w:autoSpaceDE w:val="0"/>
        <w:autoSpaceDN w:val="0"/>
        <w:adjustRightInd w:val="0"/>
        <w:spacing w:after="9" w:line="240" w:lineRule="auto"/>
        <w:rPr>
          <w:rFonts w:cs="Tahoma"/>
          <w:color w:val="000000"/>
          <w:sz w:val="24"/>
          <w:szCs w:val="24"/>
        </w:rPr>
      </w:pPr>
      <w:r w:rsidRPr="002F748B">
        <w:rPr>
          <w:rFonts w:cs="Arial"/>
          <w:color w:val="333333"/>
          <w:sz w:val="24"/>
          <w:szCs w:val="24"/>
          <w:lang w:eastAsia="zh-CN"/>
        </w:rPr>
        <w:t>National Institute for Occupational Safety and Health (NIOSH)</w:t>
      </w:r>
    </w:p>
    <w:p w14:paraId="01882C7A" w14:textId="3D5868BB" w:rsidR="00360ED1" w:rsidRPr="00280D56" w:rsidRDefault="00360ED1" w:rsidP="00280D56">
      <w:pPr>
        <w:pStyle w:val="ListParagraph"/>
        <w:numPr>
          <w:ilvl w:val="0"/>
          <w:numId w:val="20"/>
        </w:numPr>
        <w:autoSpaceDE w:val="0"/>
        <w:autoSpaceDN w:val="0"/>
        <w:adjustRightInd w:val="0"/>
        <w:spacing w:after="9" w:line="240" w:lineRule="auto"/>
        <w:rPr>
          <w:rFonts w:ascii="Calibri" w:hAnsi="Calibri" w:cs="Tahoma"/>
          <w:color w:val="000000"/>
          <w:sz w:val="24"/>
          <w:szCs w:val="24"/>
        </w:rPr>
      </w:pPr>
      <w:r w:rsidRPr="00280D56">
        <w:rPr>
          <w:rFonts w:ascii="Calibri" w:hAnsi="Calibri" w:cs="Tahoma"/>
          <w:color w:val="000000"/>
          <w:sz w:val="24"/>
          <w:szCs w:val="24"/>
        </w:rPr>
        <w:t>Council of State and Territorial Epidemiologists</w:t>
      </w:r>
    </w:p>
    <w:p w14:paraId="40BA6E3E" w14:textId="4B24272D" w:rsidR="00360ED1" w:rsidRPr="00280D56" w:rsidRDefault="00360ED1" w:rsidP="00280D56">
      <w:pPr>
        <w:pStyle w:val="ListParagraph"/>
        <w:numPr>
          <w:ilvl w:val="0"/>
          <w:numId w:val="20"/>
        </w:numPr>
        <w:autoSpaceDE w:val="0"/>
        <w:autoSpaceDN w:val="0"/>
        <w:adjustRightInd w:val="0"/>
        <w:spacing w:after="9" w:line="240" w:lineRule="auto"/>
        <w:rPr>
          <w:rFonts w:ascii="Calibri" w:hAnsi="Calibri" w:cs="Tahoma"/>
          <w:color w:val="000000"/>
          <w:sz w:val="24"/>
          <w:szCs w:val="24"/>
        </w:rPr>
      </w:pPr>
      <w:r w:rsidRPr="00280D56">
        <w:rPr>
          <w:rFonts w:ascii="Calibri" w:hAnsi="Calibri" w:cs="Tahoma"/>
          <w:color w:val="000000"/>
          <w:sz w:val="24"/>
          <w:szCs w:val="24"/>
        </w:rPr>
        <w:t>Public Health Informatics Institute</w:t>
      </w:r>
    </w:p>
    <w:p w14:paraId="03B6AB60" w14:textId="77777777" w:rsidR="00360ED1" w:rsidRPr="00360ED1" w:rsidRDefault="00360ED1" w:rsidP="00360ED1">
      <w:pPr>
        <w:autoSpaceDE w:val="0"/>
        <w:autoSpaceDN w:val="0"/>
        <w:adjustRightInd w:val="0"/>
        <w:spacing w:after="9" w:line="240" w:lineRule="auto"/>
        <w:rPr>
          <w:rFonts w:ascii="Calibri" w:hAnsi="Calibri" w:cs="Tahoma"/>
          <w:color w:val="000000"/>
          <w:sz w:val="24"/>
          <w:szCs w:val="24"/>
        </w:rPr>
      </w:pPr>
    </w:p>
    <w:p w14:paraId="322F5E9D" w14:textId="77777777" w:rsidR="00E6350B" w:rsidRPr="002F748B" w:rsidRDefault="00E6350B" w:rsidP="00E6350B">
      <w:pPr>
        <w:pStyle w:val="PlainText"/>
        <w:rPr>
          <w:sz w:val="24"/>
        </w:rPr>
      </w:pPr>
      <w:r w:rsidRPr="002F748B">
        <w:rPr>
          <w:sz w:val="24"/>
        </w:rPr>
        <w:t>Others who contributed to this document include:</w:t>
      </w:r>
    </w:p>
    <w:p w14:paraId="5E4D7364" w14:textId="77777777" w:rsidR="00E6350B" w:rsidRDefault="00E6350B" w:rsidP="00E6350B">
      <w:pPr>
        <w:pStyle w:val="PlainText"/>
        <w:rPr>
          <w:sz w:val="24"/>
        </w:rPr>
      </w:pPr>
    </w:p>
    <w:p w14:paraId="4FEA77D2" w14:textId="204C7241" w:rsidR="0012437B" w:rsidRDefault="0012437B" w:rsidP="0012437B">
      <w:pPr>
        <w:pStyle w:val="PlainText"/>
        <w:rPr>
          <w:sz w:val="24"/>
        </w:rPr>
      </w:pPr>
      <w:r w:rsidRPr="003B3FF4">
        <w:rPr>
          <w:sz w:val="24"/>
        </w:rPr>
        <w:t xml:space="preserve">Chad Albent – </w:t>
      </w:r>
      <w:r w:rsidR="003B3FF4" w:rsidRPr="003B3FF4">
        <w:rPr>
          <w:sz w:val="24"/>
        </w:rPr>
        <w:t>Inter</w:t>
      </w:r>
      <w:r w:rsidR="003B3FF4">
        <w:rPr>
          <w:sz w:val="24"/>
        </w:rPr>
        <w:t>S</w:t>
      </w:r>
      <w:r w:rsidR="003B3FF4" w:rsidRPr="003B3FF4">
        <w:rPr>
          <w:sz w:val="24"/>
        </w:rPr>
        <w:t>ystem</w:t>
      </w:r>
      <w:r w:rsidR="003B3FF4">
        <w:rPr>
          <w:sz w:val="24"/>
        </w:rPr>
        <w:t>s</w:t>
      </w:r>
    </w:p>
    <w:p w14:paraId="2B27A038" w14:textId="593228EA" w:rsidR="002F748B" w:rsidRDefault="002F748B" w:rsidP="00E6350B">
      <w:pPr>
        <w:pStyle w:val="PlainText"/>
        <w:rPr>
          <w:sz w:val="24"/>
        </w:rPr>
      </w:pPr>
      <w:r>
        <w:rPr>
          <w:sz w:val="24"/>
        </w:rPr>
        <w:t>Marla Albitz, Wolter</w:t>
      </w:r>
      <w:r w:rsidR="00051F2A">
        <w:rPr>
          <w:sz w:val="24"/>
        </w:rPr>
        <w:t>s</w:t>
      </w:r>
      <w:r>
        <w:rPr>
          <w:sz w:val="24"/>
        </w:rPr>
        <w:t xml:space="preserve"> Kluwer</w:t>
      </w:r>
    </w:p>
    <w:p w14:paraId="7103A4A7" w14:textId="33D0940E" w:rsidR="0012437B" w:rsidRDefault="0012437B" w:rsidP="00E6350B">
      <w:pPr>
        <w:pStyle w:val="PlainText"/>
        <w:rPr>
          <w:sz w:val="24"/>
        </w:rPr>
      </w:pPr>
      <w:r>
        <w:rPr>
          <w:sz w:val="24"/>
        </w:rPr>
        <w:t>Rita Altamore, Washington Department of Health</w:t>
      </w:r>
    </w:p>
    <w:p w14:paraId="0DA1AC4E" w14:textId="77777777" w:rsidR="0012437B" w:rsidRDefault="0012437B" w:rsidP="00E6350B">
      <w:pPr>
        <w:pStyle w:val="PlainText"/>
        <w:rPr>
          <w:sz w:val="24"/>
        </w:rPr>
      </w:pPr>
      <w:r>
        <w:rPr>
          <w:sz w:val="24"/>
        </w:rPr>
        <w:t>Nancy Barrett, Connecticut Department of Public Health</w:t>
      </w:r>
    </w:p>
    <w:p w14:paraId="57377CE3" w14:textId="66DEB09B" w:rsidR="0012437B" w:rsidRDefault="0012437B" w:rsidP="00E6350B">
      <w:pPr>
        <w:pStyle w:val="PlainText"/>
        <w:rPr>
          <w:sz w:val="24"/>
        </w:rPr>
      </w:pPr>
      <w:r>
        <w:rPr>
          <w:sz w:val="24"/>
        </w:rPr>
        <w:t>Dan Chaput, Office of the National Coordinator for Health IT, HHS</w:t>
      </w:r>
    </w:p>
    <w:p w14:paraId="2D6F50F8" w14:textId="197E92A0" w:rsidR="0012437B" w:rsidRDefault="0012437B" w:rsidP="00E6350B">
      <w:pPr>
        <w:pStyle w:val="PlainText"/>
        <w:rPr>
          <w:sz w:val="24"/>
        </w:rPr>
      </w:pPr>
      <w:r>
        <w:rPr>
          <w:sz w:val="24"/>
        </w:rPr>
        <w:t xml:space="preserve">Glenn Copeland, Michigan Department of Health and Human Services </w:t>
      </w:r>
    </w:p>
    <w:p w14:paraId="082A25B8" w14:textId="53F5BD8A" w:rsidR="0012437B" w:rsidRDefault="0012437B" w:rsidP="00E6350B">
      <w:pPr>
        <w:pStyle w:val="PlainText"/>
        <w:rPr>
          <w:sz w:val="24"/>
        </w:rPr>
      </w:pPr>
      <w:r>
        <w:rPr>
          <w:sz w:val="24"/>
        </w:rPr>
        <w:t>James Daniel, Office of the National Coordinator for Health IT, HHS</w:t>
      </w:r>
    </w:p>
    <w:p w14:paraId="15752BBB" w14:textId="24C6A38B" w:rsidR="0012437B" w:rsidRDefault="0012437B" w:rsidP="00E6350B">
      <w:pPr>
        <w:pStyle w:val="PlainText"/>
        <w:rPr>
          <w:sz w:val="24"/>
        </w:rPr>
      </w:pPr>
      <w:r>
        <w:rPr>
          <w:sz w:val="24"/>
        </w:rPr>
        <w:t>Virginia Dato, University of Pittsburg</w:t>
      </w:r>
      <w:r w:rsidR="00A616A8">
        <w:rPr>
          <w:sz w:val="24"/>
        </w:rPr>
        <w:t>h</w:t>
      </w:r>
      <w:r>
        <w:rPr>
          <w:sz w:val="24"/>
        </w:rPr>
        <w:t xml:space="preserve"> School of Medicine</w:t>
      </w:r>
    </w:p>
    <w:p w14:paraId="7D2F4FB6" w14:textId="1D31B50C" w:rsidR="002F748B" w:rsidRDefault="002F748B" w:rsidP="00E6350B">
      <w:pPr>
        <w:pStyle w:val="PlainText"/>
        <w:rPr>
          <w:sz w:val="24"/>
        </w:rPr>
      </w:pPr>
      <w:r>
        <w:rPr>
          <w:sz w:val="24"/>
        </w:rPr>
        <w:t>Sherri Davidson, Alabama Department of Health</w:t>
      </w:r>
    </w:p>
    <w:p w14:paraId="2A3A5B69" w14:textId="5514E4D2" w:rsidR="002F748B" w:rsidRDefault="002F748B" w:rsidP="00E6350B">
      <w:pPr>
        <w:pStyle w:val="PlainText"/>
        <w:rPr>
          <w:sz w:val="24"/>
        </w:rPr>
      </w:pPr>
      <w:r>
        <w:rPr>
          <w:sz w:val="24"/>
        </w:rPr>
        <w:t>Jean Duteau, Duteau Design, Inc.</w:t>
      </w:r>
    </w:p>
    <w:p w14:paraId="6B651A39" w14:textId="20ABFD23" w:rsidR="0012437B" w:rsidRDefault="0012437B" w:rsidP="00E6350B">
      <w:pPr>
        <w:pStyle w:val="PlainText"/>
        <w:rPr>
          <w:sz w:val="24"/>
        </w:rPr>
      </w:pPr>
      <w:r>
        <w:rPr>
          <w:sz w:val="24"/>
        </w:rPr>
        <w:t>John Eichwald, CDC</w:t>
      </w:r>
    </w:p>
    <w:p w14:paraId="16FB56CB" w14:textId="52767B31" w:rsidR="002F748B" w:rsidRDefault="002F748B" w:rsidP="00E6350B">
      <w:pPr>
        <w:pStyle w:val="PlainText"/>
        <w:rPr>
          <w:sz w:val="24"/>
        </w:rPr>
      </w:pPr>
      <w:r>
        <w:rPr>
          <w:sz w:val="24"/>
        </w:rPr>
        <w:t>Janet Hamilton, Florida Department of Health</w:t>
      </w:r>
    </w:p>
    <w:p w14:paraId="1D9B3305" w14:textId="4EB9FEFA" w:rsidR="002F748B" w:rsidRDefault="002F748B" w:rsidP="00E6350B">
      <w:pPr>
        <w:pStyle w:val="PlainText"/>
        <w:rPr>
          <w:sz w:val="24"/>
        </w:rPr>
      </w:pPr>
      <w:r>
        <w:rPr>
          <w:sz w:val="24"/>
        </w:rPr>
        <w:t>John Hatem, Oracle</w:t>
      </w:r>
    </w:p>
    <w:p w14:paraId="2660D687" w14:textId="24F82A67" w:rsidR="002F748B" w:rsidRDefault="002F748B" w:rsidP="00E6350B">
      <w:pPr>
        <w:pStyle w:val="PlainText"/>
        <w:rPr>
          <w:sz w:val="24"/>
        </w:rPr>
      </w:pPr>
      <w:r>
        <w:rPr>
          <w:sz w:val="24"/>
        </w:rPr>
        <w:t>Janet Hui, CSTE</w:t>
      </w:r>
    </w:p>
    <w:p w14:paraId="46F52C83" w14:textId="46B98225" w:rsidR="00051F2A" w:rsidRDefault="00051F2A" w:rsidP="00E6350B">
      <w:pPr>
        <w:pStyle w:val="PlainText"/>
        <w:rPr>
          <w:sz w:val="24"/>
        </w:rPr>
      </w:pPr>
      <w:r>
        <w:rPr>
          <w:sz w:val="24"/>
        </w:rPr>
        <w:t>Ray Humphreys, Altarum Institute</w:t>
      </w:r>
    </w:p>
    <w:p w14:paraId="52371683" w14:textId="26677E4D" w:rsidR="0012437B" w:rsidRDefault="0012437B" w:rsidP="00E6350B">
      <w:pPr>
        <w:pStyle w:val="PlainText"/>
        <w:rPr>
          <w:sz w:val="24"/>
        </w:rPr>
      </w:pPr>
      <w:r>
        <w:rPr>
          <w:sz w:val="24"/>
        </w:rPr>
        <w:t>Mario Hyland, AEGIS</w:t>
      </w:r>
    </w:p>
    <w:p w14:paraId="27CBBD26" w14:textId="4E24170C" w:rsidR="0012437B" w:rsidRDefault="0012437B" w:rsidP="00E6350B">
      <w:pPr>
        <w:pStyle w:val="PlainText"/>
        <w:rPr>
          <w:sz w:val="24"/>
        </w:rPr>
      </w:pPr>
      <w:r>
        <w:rPr>
          <w:sz w:val="24"/>
        </w:rPr>
        <w:t>Jim Jellison, PHII</w:t>
      </w:r>
    </w:p>
    <w:p w14:paraId="599502B2" w14:textId="4495509D" w:rsidR="0012437B" w:rsidRDefault="0012437B" w:rsidP="00E6350B">
      <w:pPr>
        <w:pStyle w:val="PlainText"/>
        <w:rPr>
          <w:sz w:val="24"/>
        </w:rPr>
      </w:pPr>
      <w:r>
        <w:rPr>
          <w:sz w:val="24"/>
        </w:rPr>
        <w:t>Ramya Kommareddi, Altarum Institute</w:t>
      </w:r>
    </w:p>
    <w:p w14:paraId="6C12B6B5" w14:textId="3781DD84" w:rsidR="002F748B" w:rsidRDefault="002F748B" w:rsidP="00E6350B">
      <w:pPr>
        <w:pStyle w:val="PlainText"/>
        <w:rPr>
          <w:sz w:val="24"/>
        </w:rPr>
      </w:pPr>
      <w:r>
        <w:rPr>
          <w:sz w:val="24"/>
        </w:rPr>
        <w:t>Nell Lapras, Epic</w:t>
      </w:r>
    </w:p>
    <w:p w14:paraId="5041860D" w14:textId="77777777" w:rsidR="0012437B" w:rsidRPr="002F748B" w:rsidRDefault="0012437B" w:rsidP="0012437B">
      <w:pPr>
        <w:pStyle w:val="PlainText"/>
        <w:rPr>
          <w:sz w:val="24"/>
        </w:rPr>
      </w:pPr>
      <w:r>
        <w:rPr>
          <w:sz w:val="24"/>
        </w:rPr>
        <w:t>Eric Larson, Northrup Grumman</w:t>
      </w:r>
    </w:p>
    <w:p w14:paraId="5F7F7394" w14:textId="0C1BE840" w:rsidR="002F748B" w:rsidRDefault="002F748B" w:rsidP="00E6350B">
      <w:pPr>
        <w:pStyle w:val="PlainText"/>
        <w:rPr>
          <w:sz w:val="24"/>
        </w:rPr>
      </w:pPr>
      <w:r>
        <w:rPr>
          <w:sz w:val="24"/>
        </w:rPr>
        <w:t>Meredith Lichtenstein, CSTE</w:t>
      </w:r>
    </w:p>
    <w:p w14:paraId="7CC08174" w14:textId="7727562D" w:rsidR="0012437B" w:rsidRDefault="00051F2A" w:rsidP="00E6350B">
      <w:pPr>
        <w:pStyle w:val="PlainText"/>
        <w:rPr>
          <w:sz w:val="24"/>
        </w:rPr>
      </w:pPr>
      <w:r>
        <w:rPr>
          <w:sz w:val="24"/>
        </w:rPr>
        <w:t>Julie Lipstein, Caci International Inc.</w:t>
      </w:r>
    </w:p>
    <w:p w14:paraId="5C50B2AC" w14:textId="48DCD6A2" w:rsidR="00E6350B" w:rsidRDefault="002F748B" w:rsidP="00E6350B">
      <w:pPr>
        <w:pStyle w:val="PlainText"/>
        <w:rPr>
          <w:sz w:val="24"/>
        </w:rPr>
      </w:pPr>
      <w:r>
        <w:rPr>
          <w:sz w:val="24"/>
        </w:rPr>
        <w:t>Claire Loe, PHII</w:t>
      </w:r>
    </w:p>
    <w:p w14:paraId="25A983D1" w14:textId="43229660" w:rsidR="002F748B" w:rsidRDefault="002F748B" w:rsidP="00E6350B">
      <w:pPr>
        <w:pStyle w:val="PlainText"/>
        <w:rPr>
          <w:sz w:val="24"/>
        </w:rPr>
      </w:pPr>
      <w:r>
        <w:rPr>
          <w:sz w:val="24"/>
        </w:rPr>
        <w:t>Gen</w:t>
      </w:r>
      <w:r w:rsidR="0012437B">
        <w:rPr>
          <w:sz w:val="24"/>
        </w:rPr>
        <w:t>evieve</w:t>
      </w:r>
      <w:r>
        <w:rPr>
          <w:sz w:val="24"/>
        </w:rPr>
        <w:t xml:space="preserve"> Luensman, CDC</w:t>
      </w:r>
    </w:p>
    <w:p w14:paraId="19066A1C" w14:textId="26217177" w:rsidR="002F748B" w:rsidRDefault="002F748B" w:rsidP="00E6350B">
      <w:pPr>
        <w:pStyle w:val="PlainText"/>
        <w:rPr>
          <w:sz w:val="24"/>
        </w:rPr>
      </w:pPr>
      <w:r>
        <w:rPr>
          <w:sz w:val="24"/>
        </w:rPr>
        <w:t>Joginder Madra, Madra Consulting</w:t>
      </w:r>
    </w:p>
    <w:p w14:paraId="2DEBC477" w14:textId="61AC7628" w:rsidR="002F748B" w:rsidRDefault="002F748B" w:rsidP="00E6350B">
      <w:pPr>
        <w:pStyle w:val="PlainText"/>
        <w:rPr>
          <w:sz w:val="24"/>
        </w:rPr>
      </w:pPr>
      <w:r>
        <w:rPr>
          <w:sz w:val="24"/>
        </w:rPr>
        <w:t>Tonya Martin, CDC</w:t>
      </w:r>
    </w:p>
    <w:p w14:paraId="5B22D0AD" w14:textId="4AFA4724" w:rsidR="002F748B" w:rsidRDefault="002F748B" w:rsidP="00E6350B">
      <w:pPr>
        <w:pStyle w:val="PlainText"/>
        <w:rPr>
          <w:sz w:val="24"/>
        </w:rPr>
      </w:pPr>
      <w:r>
        <w:rPr>
          <w:sz w:val="24"/>
        </w:rPr>
        <w:t>Sunanda McGarvey, Northrup Grumman</w:t>
      </w:r>
    </w:p>
    <w:p w14:paraId="63CC9A73" w14:textId="77777777" w:rsidR="0012437B" w:rsidRDefault="0012437B" w:rsidP="00E6350B">
      <w:pPr>
        <w:pStyle w:val="PlainText"/>
        <w:rPr>
          <w:sz w:val="24"/>
        </w:rPr>
      </w:pPr>
      <w:r>
        <w:rPr>
          <w:sz w:val="24"/>
        </w:rPr>
        <w:t>Craig Newman, Northrup Grumman</w:t>
      </w:r>
    </w:p>
    <w:p w14:paraId="7385E107" w14:textId="21920298" w:rsidR="0012437B" w:rsidRDefault="0012437B" w:rsidP="00E6350B">
      <w:pPr>
        <w:pStyle w:val="PlainText"/>
        <w:rPr>
          <w:sz w:val="24"/>
        </w:rPr>
      </w:pPr>
      <w:r>
        <w:rPr>
          <w:sz w:val="24"/>
        </w:rPr>
        <w:t>M’</w:t>
      </w:r>
      <w:r w:rsidR="00051F2A">
        <w:rPr>
          <w:sz w:val="24"/>
        </w:rPr>
        <w:t>Lynda Owens, Cognosante</w:t>
      </w:r>
    </w:p>
    <w:p w14:paraId="303DB94B" w14:textId="3B4E24EA" w:rsidR="002F748B" w:rsidRDefault="002F748B" w:rsidP="00E6350B">
      <w:pPr>
        <w:pStyle w:val="PlainText"/>
        <w:rPr>
          <w:sz w:val="24"/>
        </w:rPr>
      </w:pPr>
      <w:r>
        <w:rPr>
          <w:sz w:val="24"/>
        </w:rPr>
        <w:t>Laura Rappleye, Altarum Institute</w:t>
      </w:r>
    </w:p>
    <w:p w14:paraId="7E880232" w14:textId="7394A02C" w:rsidR="002F748B" w:rsidRDefault="002F748B" w:rsidP="00E6350B">
      <w:pPr>
        <w:pStyle w:val="PlainText"/>
        <w:rPr>
          <w:sz w:val="24"/>
        </w:rPr>
      </w:pPr>
      <w:r>
        <w:rPr>
          <w:sz w:val="24"/>
        </w:rPr>
        <w:t>Lori Reed-Forquet, eHealthSign</w:t>
      </w:r>
    </w:p>
    <w:p w14:paraId="3CF73AB9" w14:textId="33771C7B" w:rsidR="002F748B" w:rsidRDefault="002F748B" w:rsidP="00E6350B">
      <w:pPr>
        <w:pStyle w:val="PlainText"/>
        <w:rPr>
          <w:sz w:val="24"/>
        </w:rPr>
      </w:pPr>
      <w:r>
        <w:rPr>
          <w:sz w:val="24"/>
        </w:rPr>
        <w:t>Marcus Rennick, ASTHO</w:t>
      </w:r>
    </w:p>
    <w:p w14:paraId="011AE815" w14:textId="039AB9F0" w:rsidR="0012437B" w:rsidRDefault="0012437B" w:rsidP="00E6350B">
      <w:pPr>
        <w:pStyle w:val="PlainText"/>
        <w:rPr>
          <w:sz w:val="24"/>
        </w:rPr>
      </w:pPr>
      <w:r>
        <w:rPr>
          <w:sz w:val="24"/>
        </w:rPr>
        <w:t>Mark Roche, Office of the National Coordinator for Health IT, HHS</w:t>
      </w:r>
    </w:p>
    <w:p w14:paraId="7B8C5786" w14:textId="4DC2302F" w:rsidR="002F748B" w:rsidRDefault="002F748B" w:rsidP="00E6350B">
      <w:pPr>
        <w:pStyle w:val="PlainText"/>
        <w:rPr>
          <w:sz w:val="24"/>
        </w:rPr>
      </w:pPr>
      <w:r>
        <w:rPr>
          <w:sz w:val="24"/>
        </w:rPr>
        <w:t>Dan Rutz, Epic</w:t>
      </w:r>
    </w:p>
    <w:p w14:paraId="3FEAF781" w14:textId="3425E92E" w:rsidR="0012437B" w:rsidRDefault="0012437B" w:rsidP="00E6350B">
      <w:pPr>
        <w:pStyle w:val="PlainText"/>
        <w:rPr>
          <w:sz w:val="24"/>
        </w:rPr>
      </w:pPr>
      <w:r>
        <w:rPr>
          <w:sz w:val="24"/>
        </w:rPr>
        <w:t>Rob Savage, Rob Savage, LLC</w:t>
      </w:r>
    </w:p>
    <w:p w14:paraId="7B55C2AB" w14:textId="241A1109" w:rsidR="002F748B" w:rsidRDefault="002F748B" w:rsidP="00E6350B">
      <w:pPr>
        <w:pStyle w:val="PlainText"/>
        <w:rPr>
          <w:sz w:val="24"/>
        </w:rPr>
      </w:pPr>
      <w:r>
        <w:rPr>
          <w:sz w:val="24"/>
        </w:rPr>
        <w:t>Dawn Sievert, Lantana</w:t>
      </w:r>
    </w:p>
    <w:p w14:paraId="510BD39E" w14:textId="5D1EF010" w:rsidR="002F748B" w:rsidRDefault="002F748B" w:rsidP="00E6350B">
      <w:pPr>
        <w:pStyle w:val="PlainText"/>
        <w:rPr>
          <w:sz w:val="24"/>
        </w:rPr>
      </w:pPr>
      <w:r>
        <w:rPr>
          <w:sz w:val="24"/>
        </w:rPr>
        <w:lastRenderedPageBreak/>
        <w:t>Catherine Staes, University of Utah</w:t>
      </w:r>
    </w:p>
    <w:p w14:paraId="5791EE4C" w14:textId="77777777" w:rsidR="002F748B" w:rsidRDefault="002F748B" w:rsidP="00E6350B">
      <w:pPr>
        <w:pStyle w:val="PlainText"/>
        <w:rPr>
          <w:sz w:val="24"/>
        </w:rPr>
      </w:pPr>
      <w:r>
        <w:rPr>
          <w:sz w:val="24"/>
        </w:rPr>
        <w:t>Jenni Syed, Cerner</w:t>
      </w:r>
    </w:p>
    <w:p w14:paraId="71130652" w14:textId="01E65AA0" w:rsidR="002F748B" w:rsidRDefault="002F748B" w:rsidP="00E6350B">
      <w:pPr>
        <w:pStyle w:val="PlainText"/>
        <w:rPr>
          <w:sz w:val="24"/>
        </w:rPr>
      </w:pPr>
      <w:r>
        <w:rPr>
          <w:sz w:val="24"/>
        </w:rPr>
        <w:t>Mead Walker, Mead Walker Consulting</w:t>
      </w:r>
    </w:p>
    <w:p w14:paraId="12C2AA63" w14:textId="510F4782" w:rsidR="0012437B" w:rsidRDefault="0012437B" w:rsidP="00E6350B">
      <w:pPr>
        <w:pStyle w:val="PlainText"/>
        <w:rPr>
          <w:sz w:val="24"/>
        </w:rPr>
      </w:pPr>
      <w:r>
        <w:rPr>
          <w:sz w:val="24"/>
        </w:rPr>
        <w:t>Kathy Walsh, LabCorp</w:t>
      </w:r>
    </w:p>
    <w:p w14:paraId="06EC7919" w14:textId="146FC5BC" w:rsidR="002F748B" w:rsidRDefault="002F748B" w:rsidP="00E6350B">
      <w:pPr>
        <w:pStyle w:val="PlainText"/>
        <w:rPr>
          <w:sz w:val="24"/>
        </w:rPr>
      </w:pPr>
      <w:r>
        <w:rPr>
          <w:sz w:val="24"/>
        </w:rPr>
        <w:t>Michelle Williamson, CDC</w:t>
      </w:r>
    </w:p>
    <w:p w14:paraId="20EFBF49" w14:textId="288A2844" w:rsidR="0012437B" w:rsidRDefault="0012437B" w:rsidP="00E6350B">
      <w:pPr>
        <w:pStyle w:val="PlainText"/>
        <w:rPr>
          <w:sz w:val="24"/>
        </w:rPr>
      </w:pPr>
      <w:r>
        <w:rPr>
          <w:sz w:val="24"/>
        </w:rPr>
        <w:t>Mike Yaskanin, Altarum Institute</w:t>
      </w:r>
    </w:p>
    <w:p w14:paraId="1F0174E5" w14:textId="15EE467E" w:rsidR="002F748B" w:rsidRPr="002F748B" w:rsidRDefault="002F748B" w:rsidP="00E6350B">
      <w:pPr>
        <w:pStyle w:val="PlainText"/>
        <w:rPr>
          <w:sz w:val="24"/>
        </w:rPr>
      </w:pPr>
      <w:r>
        <w:rPr>
          <w:sz w:val="24"/>
        </w:rPr>
        <w:t>Daniel Zhang, Epic</w:t>
      </w:r>
    </w:p>
    <w:p w14:paraId="1EE3472E" w14:textId="77777777" w:rsidR="00E6350B" w:rsidRDefault="00E6350B" w:rsidP="00E6350B">
      <w:pPr>
        <w:autoSpaceDE w:val="0"/>
        <w:autoSpaceDN w:val="0"/>
        <w:adjustRightInd w:val="0"/>
        <w:spacing w:after="0" w:line="240" w:lineRule="auto"/>
        <w:rPr>
          <w:rFonts w:ascii="Calibri" w:hAnsi="Calibri" w:cs="Tahoma"/>
          <w:color w:val="000000"/>
          <w:sz w:val="24"/>
          <w:szCs w:val="24"/>
        </w:rPr>
      </w:pPr>
    </w:p>
    <w:p w14:paraId="41597330" w14:textId="371E2E9B" w:rsidR="006079FF" w:rsidRDefault="000E75B7" w:rsidP="00180455">
      <w:pPr>
        <w:rPr>
          <w:sz w:val="40"/>
          <w:szCs w:val="40"/>
        </w:rPr>
      </w:pPr>
      <w:r w:rsidRPr="00360ED1">
        <w:rPr>
          <w:rFonts w:ascii="Calibri" w:hAnsi="Calibri" w:cs="Tahoma"/>
          <w:color w:val="000000"/>
          <w:sz w:val="24"/>
          <w:szCs w:val="24"/>
        </w:rPr>
        <w:br w:type="page"/>
      </w:r>
      <w:r w:rsidDel="000E75B7">
        <w:rPr>
          <w:color w:val="FF0000"/>
          <w:sz w:val="24"/>
          <w:szCs w:val="24"/>
        </w:rPr>
        <w:lastRenderedPageBreak/>
        <w:t xml:space="preserve"> </w:t>
      </w:r>
      <w:r w:rsidR="006079FF">
        <w:rPr>
          <w:sz w:val="40"/>
          <w:szCs w:val="40"/>
        </w:rPr>
        <w:br w:type="page"/>
      </w:r>
    </w:p>
    <w:sdt>
      <w:sdtPr>
        <w:rPr>
          <w:rFonts w:asciiTheme="minorHAnsi" w:eastAsiaTheme="minorHAnsi" w:hAnsiTheme="minorHAnsi" w:cstheme="minorBidi"/>
          <w:color w:val="auto"/>
          <w:sz w:val="22"/>
          <w:szCs w:val="22"/>
        </w:rPr>
        <w:id w:val="-1697147668"/>
        <w:docPartObj>
          <w:docPartGallery w:val="Table of Contents"/>
          <w:docPartUnique/>
        </w:docPartObj>
      </w:sdtPr>
      <w:sdtEndPr>
        <w:rPr>
          <w:b/>
          <w:bCs/>
          <w:noProof/>
          <w:sz w:val="24"/>
          <w:szCs w:val="24"/>
        </w:rPr>
      </w:sdtEndPr>
      <w:sdtContent>
        <w:p w14:paraId="444C0E3B" w14:textId="5CD6C033" w:rsidR="004B35CD" w:rsidRPr="007731AB" w:rsidRDefault="004B35CD">
          <w:pPr>
            <w:pStyle w:val="TOCHeading"/>
            <w:rPr>
              <w:rFonts w:asciiTheme="minorHAnsi" w:hAnsiTheme="minorHAnsi"/>
              <w:b/>
              <w:color w:val="auto"/>
              <w:sz w:val="28"/>
              <w:szCs w:val="28"/>
            </w:rPr>
          </w:pPr>
          <w:r w:rsidRPr="007731AB">
            <w:rPr>
              <w:rFonts w:asciiTheme="minorHAnsi" w:hAnsiTheme="minorHAnsi"/>
              <w:b/>
              <w:color w:val="auto"/>
              <w:sz w:val="28"/>
              <w:szCs w:val="28"/>
            </w:rPr>
            <w:t>Table of Contents</w:t>
          </w:r>
        </w:p>
        <w:p w14:paraId="265F9037" w14:textId="1BEEC4D5" w:rsidR="007731AB" w:rsidRPr="007731AB" w:rsidRDefault="004B35CD">
          <w:pPr>
            <w:pStyle w:val="TOC1"/>
            <w:rPr>
              <w:rFonts w:asciiTheme="minorHAnsi" w:eastAsiaTheme="minorEastAsia" w:hAnsiTheme="minorHAnsi" w:cstheme="minorBidi"/>
              <w:caps w:val="0"/>
              <w:sz w:val="24"/>
            </w:rPr>
          </w:pPr>
          <w:r w:rsidRPr="007731AB">
            <w:rPr>
              <w:rFonts w:asciiTheme="minorHAnsi" w:hAnsiTheme="minorHAnsi"/>
              <w:sz w:val="24"/>
            </w:rPr>
            <w:fldChar w:fldCharType="begin"/>
          </w:r>
          <w:r w:rsidRPr="007731AB">
            <w:rPr>
              <w:rFonts w:asciiTheme="minorHAnsi" w:hAnsiTheme="minorHAnsi"/>
              <w:sz w:val="24"/>
            </w:rPr>
            <w:instrText xml:space="preserve"> TOC \o "1-3" \h \z \u </w:instrText>
          </w:r>
          <w:r w:rsidRPr="007731AB">
            <w:rPr>
              <w:rFonts w:asciiTheme="minorHAnsi" w:hAnsiTheme="minorHAnsi"/>
              <w:sz w:val="24"/>
            </w:rPr>
            <w:fldChar w:fldCharType="separate"/>
          </w:r>
          <w:hyperlink w:anchor="_Toc436033847" w:history="1">
            <w:r w:rsidR="007731AB" w:rsidRPr="007731AB">
              <w:rPr>
                <w:rStyle w:val="Hyperlink"/>
                <w:rFonts w:asciiTheme="minorHAnsi" w:hAnsiTheme="minorHAnsi"/>
                <w:b/>
                <w:sz w:val="24"/>
              </w:rPr>
              <w:t>1. Introduction</w:t>
            </w:r>
            <w:r w:rsidR="007731AB" w:rsidRPr="007731AB">
              <w:rPr>
                <w:rFonts w:asciiTheme="minorHAnsi" w:hAnsiTheme="minorHAnsi"/>
                <w:webHidden/>
                <w:sz w:val="24"/>
              </w:rPr>
              <w:tab/>
            </w:r>
            <w:r w:rsidR="007731AB" w:rsidRPr="007731AB">
              <w:rPr>
                <w:rFonts w:asciiTheme="minorHAnsi" w:hAnsiTheme="minorHAnsi"/>
                <w:webHidden/>
                <w:sz w:val="24"/>
              </w:rPr>
              <w:fldChar w:fldCharType="begin"/>
            </w:r>
            <w:r w:rsidR="007731AB" w:rsidRPr="007731AB">
              <w:rPr>
                <w:rFonts w:asciiTheme="minorHAnsi" w:hAnsiTheme="minorHAnsi"/>
                <w:webHidden/>
                <w:sz w:val="24"/>
              </w:rPr>
              <w:instrText xml:space="preserve"> PAGEREF _Toc436033847 \h </w:instrText>
            </w:r>
            <w:r w:rsidR="007731AB" w:rsidRPr="007731AB">
              <w:rPr>
                <w:rFonts w:asciiTheme="minorHAnsi" w:hAnsiTheme="minorHAnsi"/>
                <w:webHidden/>
                <w:sz w:val="24"/>
              </w:rPr>
            </w:r>
            <w:r w:rsidR="007731AB" w:rsidRPr="007731AB">
              <w:rPr>
                <w:rFonts w:asciiTheme="minorHAnsi" w:hAnsiTheme="minorHAnsi"/>
                <w:webHidden/>
                <w:sz w:val="24"/>
              </w:rPr>
              <w:fldChar w:fldCharType="separate"/>
            </w:r>
            <w:r w:rsidR="00280D56">
              <w:rPr>
                <w:rFonts w:asciiTheme="minorHAnsi" w:hAnsiTheme="minorHAnsi"/>
                <w:webHidden/>
                <w:sz w:val="24"/>
              </w:rPr>
              <w:t>7</w:t>
            </w:r>
            <w:r w:rsidR="007731AB" w:rsidRPr="007731AB">
              <w:rPr>
                <w:rFonts w:asciiTheme="minorHAnsi" w:hAnsiTheme="minorHAnsi"/>
                <w:webHidden/>
                <w:sz w:val="24"/>
              </w:rPr>
              <w:fldChar w:fldCharType="end"/>
            </w:r>
          </w:hyperlink>
        </w:p>
        <w:p w14:paraId="3B2C595C" w14:textId="3201CEA9" w:rsidR="007731AB" w:rsidRPr="007731AB" w:rsidRDefault="00290FE7">
          <w:pPr>
            <w:pStyle w:val="TOC2"/>
            <w:rPr>
              <w:rFonts w:eastAsiaTheme="minorEastAsia" w:cstheme="minorBidi"/>
              <w:b w:val="0"/>
            </w:rPr>
          </w:pPr>
          <w:hyperlink w:anchor="_Toc436033848" w:history="1">
            <w:r w:rsidR="007731AB" w:rsidRPr="007731AB">
              <w:rPr>
                <w:rStyle w:val="Hyperlink"/>
                <w:rFonts w:asciiTheme="minorHAnsi" w:hAnsiTheme="minorHAnsi"/>
                <w:sz w:val="24"/>
              </w:rPr>
              <w:t>1.1 Purpose</w:t>
            </w:r>
            <w:r w:rsidR="007731AB" w:rsidRPr="007731AB">
              <w:rPr>
                <w:webHidden/>
              </w:rPr>
              <w:tab/>
            </w:r>
            <w:r w:rsidR="007731AB" w:rsidRPr="007731AB">
              <w:rPr>
                <w:webHidden/>
              </w:rPr>
              <w:fldChar w:fldCharType="begin"/>
            </w:r>
            <w:r w:rsidR="007731AB" w:rsidRPr="007731AB">
              <w:rPr>
                <w:webHidden/>
              </w:rPr>
              <w:instrText xml:space="preserve"> PAGEREF _Toc436033848 \h </w:instrText>
            </w:r>
            <w:r w:rsidR="007731AB" w:rsidRPr="007731AB">
              <w:rPr>
                <w:webHidden/>
              </w:rPr>
            </w:r>
            <w:r w:rsidR="007731AB" w:rsidRPr="007731AB">
              <w:rPr>
                <w:webHidden/>
              </w:rPr>
              <w:fldChar w:fldCharType="separate"/>
            </w:r>
            <w:r w:rsidR="00280D56">
              <w:rPr>
                <w:webHidden/>
              </w:rPr>
              <w:t>7</w:t>
            </w:r>
            <w:r w:rsidR="007731AB" w:rsidRPr="007731AB">
              <w:rPr>
                <w:webHidden/>
              </w:rPr>
              <w:fldChar w:fldCharType="end"/>
            </w:r>
          </w:hyperlink>
        </w:p>
        <w:p w14:paraId="2F6CEDEC" w14:textId="0A61F47A" w:rsidR="007731AB" w:rsidRPr="007731AB" w:rsidRDefault="00290FE7">
          <w:pPr>
            <w:pStyle w:val="TOC2"/>
            <w:rPr>
              <w:rFonts w:eastAsiaTheme="minorEastAsia" w:cstheme="minorBidi"/>
              <w:b w:val="0"/>
            </w:rPr>
          </w:pPr>
          <w:hyperlink w:anchor="_Toc436033849" w:history="1">
            <w:r w:rsidR="007731AB" w:rsidRPr="007731AB">
              <w:rPr>
                <w:rStyle w:val="Hyperlink"/>
                <w:rFonts w:asciiTheme="minorHAnsi" w:hAnsiTheme="minorHAnsi"/>
                <w:sz w:val="24"/>
              </w:rPr>
              <w:t>1.2 Audience</w:t>
            </w:r>
            <w:r w:rsidR="007731AB" w:rsidRPr="007731AB">
              <w:rPr>
                <w:webHidden/>
              </w:rPr>
              <w:tab/>
            </w:r>
            <w:r w:rsidR="007731AB" w:rsidRPr="007731AB">
              <w:rPr>
                <w:webHidden/>
              </w:rPr>
              <w:fldChar w:fldCharType="begin"/>
            </w:r>
            <w:r w:rsidR="007731AB" w:rsidRPr="007731AB">
              <w:rPr>
                <w:webHidden/>
              </w:rPr>
              <w:instrText xml:space="preserve"> PAGEREF _Toc436033849 \h </w:instrText>
            </w:r>
            <w:r w:rsidR="007731AB" w:rsidRPr="007731AB">
              <w:rPr>
                <w:webHidden/>
              </w:rPr>
            </w:r>
            <w:r w:rsidR="007731AB" w:rsidRPr="007731AB">
              <w:rPr>
                <w:webHidden/>
              </w:rPr>
              <w:fldChar w:fldCharType="separate"/>
            </w:r>
            <w:r w:rsidR="00280D56">
              <w:rPr>
                <w:webHidden/>
              </w:rPr>
              <w:t>8</w:t>
            </w:r>
            <w:r w:rsidR="007731AB" w:rsidRPr="007731AB">
              <w:rPr>
                <w:webHidden/>
              </w:rPr>
              <w:fldChar w:fldCharType="end"/>
            </w:r>
          </w:hyperlink>
        </w:p>
        <w:p w14:paraId="00F045DD" w14:textId="6AEC9FF2" w:rsidR="007731AB" w:rsidRPr="007731AB" w:rsidRDefault="00290FE7">
          <w:pPr>
            <w:pStyle w:val="TOC2"/>
            <w:rPr>
              <w:rFonts w:eastAsiaTheme="minorEastAsia" w:cstheme="minorBidi"/>
              <w:b w:val="0"/>
            </w:rPr>
          </w:pPr>
          <w:hyperlink w:anchor="_Toc436033850" w:history="1">
            <w:r w:rsidR="007731AB" w:rsidRPr="007731AB">
              <w:rPr>
                <w:rStyle w:val="Hyperlink"/>
                <w:rFonts w:asciiTheme="minorHAnsi" w:hAnsiTheme="minorHAnsi"/>
                <w:sz w:val="24"/>
              </w:rPr>
              <w:t>1.3 Background</w:t>
            </w:r>
            <w:r w:rsidR="007731AB" w:rsidRPr="007731AB">
              <w:rPr>
                <w:webHidden/>
              </w:rPr>
              <w:tab/>
            </w:r>
            <w:r w:rsidR="007731AB" w:rsidRPr="007731AB">
              <w:rPr>
                <w:webHidden/>
              </w:rPr>
              <w:fldChar w:fldCharType="begin"/>
            </w:r>
            <w:r w:rsidR="007731AB" w:rsidRPr="007731AB">
              <w:rPr>
                <w:webHidden/>
              </w:rPr>
              <w:instrText xml:space="preserve"> PAGEREF _Toc436033850 \h </w:instrText>
            </w:r>
            <w:r w:rsidR="007731AB" w:rsidRPr="007731AB">
              <w:rPr>
                <w:webHidden/>
              </w:rPr>
            </w:r>
            <w:r w:rsidR="007731AB" w:rsidRPr="007731AB">
              <w:rPr>
                <w:webHidden/>
              </w:rPr>
              <w:fldChar w:fldCharType="separate"/>
            </w:r>
            <w:r w:rsidR="00280D56">
              <w:rPr>
                <w:webHidden/>
              </w:rPr>
              <w:t>8</w:t>
            </w:r>
            <w:r w:rsidR="007731AB" w:rsidRPr="007731AB">
              <w:rPr>
                <w:webHidden/>
              </w:rPr>
              <w:fldChar w:fldCharType="end"/>
            </w:r>
          </w:hyperlink>
        </w:p>
        <w:p w14:paraId="1CB4DB92" w14:textId="12C0E687" w:rsidR="007731AB" w:rsidRPr="007731AB" w:rsidRDefault="00290FE7">
          <w:pPr>
            <w:pStyle w:val="TOC2"/>
            <w:rPr>
              <w:rFonts w:eastAsiaTheme="minorEastAsia" w:cstheme="minorBidi"/>
              <w:b w:val="0"/>
            </w:rPr>
          </w:pPr>
          <w:hyperlink w:anchor="_Toc436033851" w:history="1">
            <w:r w:rsidR="007731AB" w:rsidRPr="007731AB">
              <w:rPr>
                <w:rStyle w:val="Hyperlink"/>
                <w:rFonts w:asciiTheme="minorHAnsi" w:hAnsiTheme="minorHAnsi"/>
                <w:sz w:val="24"/>
              </w:rPr>
              <w:t>1.4 Scope of the implementation Guide</w:t>
            </w:r>
            <w:r w:rsidR="007731AB" w:rsidRPr="007731AB">
              <w:rPr>
                <w:webHidden/>
              </w:rPr>
              <w:tab/>
            </w:r>
            <w:r w:rsidR="007731AB" w:rsidRPr="007731AB">
              <w:rPr>
                <w:webHidden/>
              </w:rPr>
              <w:fldChar w:fldCharType="begin"/>
            </w:r>
            <w:r w:rsidR="007731AB" w:rsidRPr="007731AB">
              <w:rPr>
                <w:webHidden/>
              </w:rPr>
              <w:instrText xml:space="preserve"> PAGEREF _Toc436033851 \h </w:instrText>
            </w:r>
            <w:r w:rsidR="007731AB" w:rsidRPr="007731AB">
              <w:rPr>
                <w:webHidden/>
              </w:rPr>
            </w:r>
            <w:r w:rsidR="007731AB" w:rsidRPr="007731AB">
              <w:rPr>
                <w:webHidden/>
              </w:rPr>
              <w:fldChar w:fldCharType="separate"/>
            </w:r>
            <w:r w:rsidR="00280D56">
              <w:rPr>
                <w:webHidden/>
              </w:rPr>
              <w:t>9</w:t>
            </w:r>
            <w:r w:rsidR="007731AB" w:rsidRPr="007731AB">
              <w:rPr>
                <w:webHidden/>
              </w:rPr>
              <w:fldChar w:fldCharType="end"/>
            </w:r>
          </w:hyperlink>
        </w:p>
        <w:p w14:paraId="615830ED" w14:textId="0D5873D5" w:rsidR="007731AB" w:rsidRPr="007731AB" w:rsidRDefault="00290FE7">
          <w:pPr>
            <w:pStyle w:val="TOC2"/>
            <w:rPr>
              <w:rFonts w:eastAsiaTheme="minorEastAsia" w:cstheme="minorBidi"/>
              <w:b w:val="0"/>
            </w:rPr>
          </w:pPr>
          <w:hyperlink w:anchor="_Toc436033852" w:history="1">
            <w:r w:rsidR="007731AB" w:rsidRPr="007731AB">
              <w:rPr>
                <w:rStyle w:val="Hyperlink"/>
                <w:rFonts w:asciiTheme="minorHAnsi" w:hAnsiTheme="minorHAnsi"/>
                <w:sz w:val="24"/>
              </w:rPr>
              <w:t>1.5 Stakeholders</w:t>
            </w:r>
            <w:r w:rsidR="007731AB" w:rsidRPr="007731AB">
              <w:rPr>
                <w:webHidden/>
              </w:rPr>
              <w:tab/>
            </w:r>
            <w:r w:rsidR="007731AB" w:rsidRPr="007731AB">
              <w:rPr>
                <w:webHidden/>
              </w:rPr>
              <w:fldChar w:fldCharType="begin"/>
            </w:r>
            <w:r w:rsidR="007731AB" w:rsidRPr="007731AB">
              <w:rPr>
                <w:webHidden/>
              </w:rPr>
              <w:instrText xml:space="preserve"> PAGEREF _Toc436033852 \h </w:instrText>
            </w:r>
            <w:r w:rsidR="007731AB" w:rsidRPr="007731AB">
              <w:rPr>
                <w:webHidden/>
              </w:rPr>
            </w:r>
            <w:r w:rsidR="007731AB" w:rsidRPr="007731AB">
              <w:rPr>
                <w:webHidden/>
              </w:rPr>
              <w:fldChar w:fldCharType="separate"/>
            </w:r>
            <w:r w:rsidR="00280D56">
              <w:rPr>
                <w:webHidden/>
              </w:rPr>
              <w:t>11</w:t>
            </w:r>
            <w:r w:rsidR="007731AB" w:rsidRPr="007731AB">
              <w:rPr>
                <w:webHidden/>
              </w:rPr>
              <w:fldChar w:fldCharType="end"/>
            </w:r>
          </w:hyperlink>
        </w:p>
        <w:p w14:paraId="0F59E4FB" w14:textId="15605AFE" w:rsidR="007731AB" w:rsidRPr="007731AB" w:rsidRDefault="00290FE7">
          <w:pPr>
            <w:pStyle w:val="TOC2"/>
            <w:rPr>
              <w:rFonts w:eastAsiaTheme="minorEastAsia" w:cstheme="minorBidi"/>
              <w:b w:val="0"/>
            </w:rPr>
          </w:pPr>
          <w:hyperlink w:anchor="_Toc436033853" w:history="1">
            <w:r w:rsidR="007731AB" w:rsidRPr="007731AB">
              <w:rPr>
                <w:rStyle w:val="Hyperlink"/>
                <w:rFonts w:asciiTheme="minorHAnsi" w:hAnsiTheme="minorHAnsi"/>
                <w:sz w:val="24"/>
              </w:rPr>
              <w:t>1.6 Future work / relationships to other projects / standards</w:t>
            </w:r>
            <w:r w:rsidR="007731AB" w:rsidRPr="007731AB">
              <w:rPr>
                <w:webHidden/>
              </w:rPr>
              <w:tab/>
            </w:r>
            <w:r w:rsidR="007731AB" w:rsidRPr="007731AB">
              <w:rPr>
                <w:webHidden/>
              </w:rPr>
              <w:fldChar w:fldCharType="begin"/>
            </w:r>
            <w:r w:rsidR="007731AB" w:rsidRPr="007731AB">
              <w:rPr>
                <w:webHidden/>
              </w:rPr>
              <w:instrText xml:space="preserve"> PAGEREF _Toc436033853 \h </w:instrText>
            </w:r>
            <w:r w:rsidR="007731AB" w:rsidRPr="007731AB">
              <w:rPr>
                <w:webHidden/>
              </w:rPr>
            </w:r>
            <w:r w:rsidR="007731AB" w:rsidRPr="007731AB">
              <w:rPr>
                <w:webHidden/>
              </w:rPr>
              <w:fldChar w:fldCharType="separate"/>
            </w:r>
            <w:r w:rsidR="00280D56">
              <w:rPr>
                <w:webHidden/>
              </w:rPr>
              <w:t>13</w:t>
            </w:r>
            <w:r w:rsidR="007731AB" w:rsidRPr="007731AB">
              <w:rPr>
                <w:webHidden/>
              </w:rPr>
              <w:fldChar w:fldCharType="end"/>
            </w:r>
          </w:hyperlink>
        </w:p>
        <w:p w14:paraId="06B22A22" w14:textId="2C8F86FC" w:rsidR="007731AB" w:rsidRPr="007731AB" w:rsidRDefault="00290FE7">
          <w:pPr>
            <w:pStyle w:val="TOC1"/>
            <w:rPr>
              <w:rFonts w:asciiTheme="minorHAnsi" w:eastAsiaTheme="minorEastAsia" w:hAnsiTheme="minorHAnsi" w:cstheme="minorBidi"/>
              <w:caps w:val="0"/>
              <w:sz w:val="24"/>
            </w:rPr>
          </w:pPr>
          <w:hyperlink w:anchor="_Toc436033854" w:history="1">
            <w:r w:rsidR="007731AB" w:rsidRPr="007731AB">
              <w:rPr>
                <w:rStyle w:val="Hyperlink"/>
                <w:rFonts w:asciiTheme="minorHAnsi" w:hAnsiTheme="minorHAnsi"/>
                <w:b/>
                <w:sz w:val="24"/>
              </w:rPr>
              <w:t>2. Use Case for eICR</w:t>
            </w:r>
            <w:r w:rsidR="007731AB" w:rsidRPr="007731AB">
              <w:rPr>
                <w:rFonts w:asciiTheme="minorHAnsi" w:hAnsiTheme="minorHAnsi"/>
                <w:webHidden/>
                <w:sz w:val="24"/>
              </w:rPr>
              <w:tab/>
            </w:r>
            <w:r w:rsidR="007731AB" w:rsidRPr="007731AB">
              <w:rPr>
                <w:rFonts w:asciiTheme="minorHAnsi" w:hAnsiTheme="minorHAnsi"/>
                <w:webHidden/>
                <w:sz w:val="24"/>
              </w:rPr>
              <w:fldChar w:fldCharType="begin"/>
            </w:r>
            <w:r w:rsidR="007731AB" w:rsidRPr="007731AB">
              <w:rPr>
                <w:rFonts w:asciiTheme="minorHAnsi" w:hAnsiTheme="minorHAnsi"/>
                <w:webHidden/>
                <w:sz w:val="24"/>
              </w:rPr>
              <w:instrText xml:space="preserve"> PAGEREF _Toc436033854 \h </w:instrText>
            </w:r>
            <w:r w:rsidR="007731AB" w:rsidRPr="007731AB">
              <w:rPr>
                <w:rFonts w:asciiTheme="minorHAnsi" w:hAnsiTheme="minorHAnsi"/>
                <w:webHidden/>
                <w:sz w:val="24"/>
              </w:rPr>
            </w:r>
            <w:r w:rsidR="007731AB" w:rsidRPr="007731AB">
              <w:rPr>
                <w:rFonts w:asciiTheme="minorHAnsi" w:hAnsiTheme="minorHAnsi"/>
                <w:webHidden/>
                <w:sz w:val="24"/>
              </w:rPr>
              <w:fldChar w:fldCharType="separate"/>
            </w:r>
            <w:r w:rsidR="00280D56">
              <w:rPr>
                <w:rFonts w:asciiTheme="minorHAnsi" w:hAnsiTheme="minorHAnsi"/>
                <w:webHidden/>
                <w:sz w:val="24"/>
              </w:rPr>
              <w:t>14</w:t>
            </w:r>
            <w:r w:rsidR="007731AB" w:rsidRPr="007731AB">
              <w:rPr>
                <w:rFonts w:asciiTheme="minorHAnsi" w:hAnsiTheme="minorHAnsi"/>
                <w:webHidden/>
                <w:sz w:val="24"/>
              </w:rPr>
              <w:fldChar w:fldCharType="end"/>
            </w:r>
          </w:hyperlink>
        </w:p>
        <w:p w14:paraId="7C070F9F" w14:textId="193A3AAE" w:rsidR="007731AB" w:rsidRPr="007731AB" w:rsidRDefault="00290FE7">
          <w:pPr>
            <w:pStyle w:val="TOC2"/>
            <w:rPr>
              <w:rFonts w:eastAsiaTheme="minorEastAsia" w:cstheme="minorBidi"/>
              <w:b w:val="0"/>
            </w:rPr>
          </w:pPr>
          <w:hyperlink w:anchor="_Toc436033855" w:history="1">
            <w:r w:rsidR="007731AB" w:rsidRPr="007731AB">
              <w:rPr>
                <w:rStyle w:val="Hyperlink"/>
                <w:rFonts w:asciiTheme="minorHAnsi" w:hAnsiTheme="minorHAnsi"/>
                <w:sz w:val="24"/>
              </w:rPr>
              <w:t>2.1 Use Case Assumptions</w:t>
            </w:r>
            <w:r w:rsidR="007731AB" w:rsidRPr="007731AB">
              <w:rPr>
                <w:webHidden/>
              </w:rPr>
              <w:tab/>
            </w:r>
            <w:r w:rsidR="007731AB" w:rsidRPr="007731AB">
              <w:rPr>
                <w:webHidden/>
              </w:rPr>
              <w:fldChar w:fldCharType="begin"/>
            </w:r>
            <w:r w:rsidR="007731AB" w:rsidRPr="007731AB">
              <w:rPr>
                <w:webHidden/>
              </w:rPr>
              <w:instrText xml:space="preserve"> PAGEREF _Toc436033855 \h </w:instrText>
            </w:r>
            <w:r w:rsidR="007731AB" w:rsidRPr="007731AB">
              <w:rPr>
                <w:webHidden/>
              </w:rPr>
            </w:r>
            <w:r w:rsidR="007731AB" w:rsidRPr="007731AB">
              <w:rPr>
                <w:webHidden/>
              </w:rPr>
              <w:fldChar w:fldCharType="separate"/>
            </w:r>
            <w:r w:rsidR="00280D56">
              <w:rPr>
                <w:webHidden/>
              </w:rPr>
              <w:t>15</w:t>
            </w:r>
            <w:r w:rsidR="007731AB" w:rsidRPr="007731AB">
              <w:rPr>
                <w:webHidden/>
              </w:rPr>
              <w:fldChar w:fldCharType="end"/>
            </w:r>
          </w:hyperlink>
        </w:p>
        <w:p w14:paraId="35EF4C96" w14:textId="69E9E379" w:rsidR="007731AB" w:rsidRPr="007731AB" w:rsidRDefault="00290FE7">
          <w:pPr>
            <w:pStyle w:val="TOC2"/>
            <w:rPr>
              <w:rFonts w:eastAsiaTheme="minorEastAsia" w:cstheme="minorBidi"/>
              <w:b w:val="0"/>
            </w:rPr>
          </w:pPr>
          <w:hyperlink w:anchor="_Toc436033856" w:history="1">
            <w:r w:rsidR="007731AB" w:rsidRPr="007731AB">
              <w:rPr>
                <w:rStyle w:val="Hyperlink"/>
                <w:rFonts w:asciiTheme="minorHAnsi" w:hAnsiTheme="minorHAnsi"/>
                <w:sz w:val="24"/>
              </w:rPr>
              <w:t>2.2 Pre-Conditions</w:t>
            </w:r>
            <w:r w:rsidR="007731AB" w:rsidRPr="007731AB">
              <w:rPr>
                <w:webHidden/>
              </w:rPr>
              <w:tab/>
            </w:r>
            <w:r w:rsidR="007731AB" w:rsidRPr="007731AB">
              <w:rPr>
                <w:webHidden/>
              </w:rPr>
              <w:fldChar w:fldCharType="begin"/>
            </w:r>
            <w:r w:rsidR="007731AB" w:rsidRPr="007731AB">
              <w:rPr>
                <w:webHidden/>
              </w:rPr>
              <w:instrText xml:space="preserve"> PAGEREF _Toc436033856 \h </w:instrText>
            </w:r>
            <w:r w:rsidR="007731AB" w:rsidRPr="007731AB">
              <w:rPr>
                <w:webHidden/>
              </w:rPr>
            </w:r>
            <w:r w:rsidR="007731AB" w:rsidRPr="007731AB">
              <w:rPr>
                <w:webHidden/>
              </w:rPr>
              <w:fldChar w:fldCharType="separate"/>
            </w:r>
            <w:r w:rsidR="00280D56">
              <w:rPr>
                <w:webHidden/>
              </w:rPr>
              <w:t>17</w:t>
            </w:r>
            <w:r w:rsidR="007731AB" w:rsidRPr="007731AB">
              <w:rPr>
                <w:webHidden/>
              </w:rPr>
              <w:fldChar w:fldCharType="end"/>
            </w:r>
          </w:hyperlink>
        </w:p>
        <w:p w14:paraId="3859D9DB" w14:textId="4CC896FC" w:rsidR="007731AB" w:rsidRPr="007731AB" w:rsidRDefault="00290FE7">
          <w:pPr>
            <w:pStyle w:val="TOC2"/>
            <w:rPr>
              <w:rFonts w:eastAsiaTheme="minorEastAsia" w:cstheme="minorBidi"/>
              <w:b w:val="0"/>
            </w:rPr>
          </w:pPr>
          <w:hyperlink w:anchor="_Toc436033857" w:history="1">
            <w:r w:rsidR="007731AB" w:rsidRPr="007731AB">
              <w:rPr>
                <w:rStyle w:val="Hyperlink"/>
                <w:rFonts w:asciiTheme="minorHAnsi" w:hAnsiTheme="minorHAnsi"/>
                <w:sz w:val="24"/>
              </w:rPr>
              <w:t>2.3 Post Conditions</w:t>
            </w:r>
            <w:r w:rsidR="007731AB" w:rsidRPr="007731AB">
              <w:rPr>
                <w:webHidden/>
              </w:rPr>
              <w:tab/>
            </w:r>
            <w:r w:rsidR="007731AB" w:rsidRPr="007731AB">
              <w:rPr>
                <w:webHidden/>
              </w:rPr>
              <w:fldChar w:fldCharType="begin"/>
            </w:r>
            <w:r w:rsidR="007731AB" w:rsidRPr="007731AB">
              <w:rPr>
                <w:webHidden/>
              </w:rPr>
              <w:instrText xml:space="preserve"> PAGEREF _Toc436033857 \h </w:instrText>
            </w:r>
            <w:r w:rsidR="007731AB" w:rsidRPr="007731AB">
              <w:rPr>
                <w:webHidden/>
              </w:rPr>
            </w:r>
            <w:r w:rsidR="007731AB" w:rsidRPr="007731AB">
              <w:rPr>
                <w:webHidden/>
              </w:rPr>
              <w:fldChar w:fldCharType="separate"/>
            </w:r>
            <w:r w:rsidR="00280D56">
              <w:rPr>
                <w:webHidden/>
              </w:rPr>
              <w:t>17</w:t>
            </w:r>
            <w:r w:rsidR="007731AB" w:rsidRPr="007731AB">
              <w:rPr>
                <w:webHidden/>
              </w:rPr>
              <w:fldChar w:fldCharType="end"/>
            </w:r>
          </w:hyperlink>
        </w:p>
        <w:p w14:paraId="6A076559" w14:textId="46552F51" w:rsidR="007731AB" w:rsidRPr="007731AB" w:rsidRDefault="00290FE7">
          <w:pPr>
            <w:pStyle w:val="TOC2"/>
            <w:rPr>
              <w:rFonts w:eastAsiaTheme="minorEastAsia" w:cstheme="minorBidi"/>
              <w:b w:val="0"/>
            </w:rPr>
          </w:pPr>
          <w:hyperlink w:anchor="_Toc436033858" w:history="1">
            <w:r w:rsidR="007731AB" w:rsidRPr="007731AB">
              <w:rPr>
                <w:rStyle w:val="Hyperlink"/>
                <w:rFonts w:asciiTheme="minorHAnsi" w:hAnsiTheme="minorHAnsi"/>
                <w:sz w:val="24"/>
              </w:rPr>
              <w:t>2.4  Actors and Roles</w:t>
            </w:r>
            <w:r w:rsidR="007731AB" w:rsidRPr="007731AB">
              <w:rPr>
                <w:webHidden/>
              </w:rPr>
              <w:tab/>
            </w:r>
            <w:r w:rsidR="007731AB" w:rsidRPr="007731AB">
              <w:rPr>
                <w:webHidden/>
              </w:rPr>
              <w:fldChar w:fldCharType="begin"/>
            </w:r>
            <w:r w:rsidR="007731AB" w:rsidRPr="007731AB">
              <w:rPr>
                <w:webHidden/>
              </w:rPr>
              <w:instrText xml:space="preserve"> PAGEREF _Toc436033858 \h </w:instrText>
            </w:r>
            <w:r w:rsidR="007731AB" w:rsidRPr="007731AB">
              <w:rPr>
                <w:webHidden/>
              </w:rPr>
            </w:r>
            <w:r w:rsidR="007731AB" w:rsidRPr="007731AB">
              <w:rPr>
                <w:webHidden/>
              </w:rPr>
              <w:fldChar w:fldCharType="separate"/>
            </w:r>
            <w:r w:rsidR="00280D56">
              <w:rPr>
                <w:webHidden/>
              </w:rPr>
              <w:t>18</w:t>
            </w:r>
            <w:r w:rsidR="007731AB" w:rsidRPr="007731AB">
              <w:rPr>
                <w:webHidden/>
              </w:rPr>
              <w:fldChar w:fldCharType="end"/>
            </w:r>
          </w:hyperlink>
        </w:p>
        <w:p w14:paraId="38C7E96A" w14:textId="4D05143C" w:rsidR="007731AB" w:rsidRPr="007731AB" w:rsidRDefault="00290FE7">
          <w:pPr>
            <w:pStyle w:val="TOC2"/>
            <w:rPr>
              <w:rFonts w:eastAsiaTheme="minorEastAsia" w:cstheme="minorBidi"/>
              <w:b w:val="0"/>
            </w:rPr>
          </w:pPr>
          <w:hyperlink w:anchor="_Toc436033859" w:history="1">
            <w:r w:rsidR="007731AB" w:rsidRPr="007731AB">
              <w:rPr>
                <w:rStyle w:val="Hyperlink"/>
                <w:rFonts w:asciiTheme="minorHAnsi" w:hAnsiTheme="minorHAnsi"/>
                <w:sz w:val="24"/>
              </w:rPr>
              <w:t>2.5 Use Case Flow Diagram</w:t>
            </w:r>
            <w:r w:rsidR="007731AB" w:rsidRPr="007731AB">
              <w:rPr>
                <w:webHidden/>
              </w:rPr>
              <w:tab/>
            </w:r>
            <w:r w:rsidR="007731AB" w:rsidRPr="007731AB">
              <w:rPr>
                <w:webHidden/>
              </w:rPr>
              <w:fldChar w:fldCharType="begin"/>
            </w:r>
            <w:r w:rsidR="007731AB" w:rsidRPr="007731AB">
              <w:rPr>
                <w:webHidden/>
              </w:rPr>
              <w:instrText xml:space="preserve"> PAGEREF _Toc436033859 \h </w:instrText>
            </w:r>
            <w:r w:rsidR="007731AB" w:rsidRPr="007731AB">
              <w:rPr>
                <w:webHidden/>
              </w:rPr>
            </w:r>
            <w:r w:rsidR="007731AB" w:rsidRPr="007731AB">
              <w:rPr>
                <w:webHidden/>
              </w:rPr>
              <w:fldChar w:fldCharType="separate"/>
            </w:r>
            <w:r w:rsidR="00280D56">
              <w:rPr>
                <w:webHidden/>
              </w:rPr>
              <w:t>19</w:t>
            </w:r>
            <w:r w:rsidR="007731AB" w:rsidRPr="007731AB">
              <w:rPr>
                <w:webHidden/>
              </w:rPr>
              <w:fldChar w:fldCharType="end"/>
            </w:r>
          </w:hyperlink>
        </w:p>
        <w:p w14:paraId="6852586E" w14:textId="56E62B85" w:rsidR="007731AB" w:rsidRPr="007731AB" w:rsidRDefault="00290FE7">
          <w:pPr>
            <w:pStyle w:val="TOC2"/>
            <w:rPr>
              <w:rFonts w:eastAsiaTheme="minorEastAsia" w:cstheme="minorBidi"/>
              <w:b w:val="0"/>
            </w:rPr>
          </w:pPr>
          <w:hyperlink w:anchor="_Toc436033860" w:history="1">
            <w:r w:rsidR="007731AB" w:rsidRPr="007731AB">
              <w:rPr>
                <w:rStyle w:val="Hyperlink"/>
                <w:rFonts w:asciiTheme="minorHAnsi" w:hAnsiTheme="minorHAnsi"/>
                <w:sz w:val="24"/>
              </w:rPr>
              <w:t>2.6 Scenarios for reporting an initial case report to public health</w:t>
            </w:r>
            <w:r w:rsidR="007731AB" w:rsidRPr="007731AB">
              <w:rPr>
                <w:webHidden/>
              </w:rPr>
              <w:tab/>
            </w:r>
            <w:r w:rsidR="007731AB" w:rsidRPr="007731AB">
              <w:rPr>
                <w:webHidden/>
              </w:rPr>
              <w:fldChar w:fldCharType="begin"/>
            </w:r>
            <w:r w:rsidR="007731AB" w:rsidRPr="007731AB">
              <w:rPr>
                <w:webHidden/>
              </w:rPr>
              <w:instrText xml:space="preserve"> PAGEREF _Toc436033860 \h </w:instrText>
            </w:r>
            <w:r w:rsidR="007731AB" w:rsidRPr="007731AB">
              <w:rPr>
                <w:webHidden/>
              </w:rPr>
            </w:r>
            <w:r w:rsidR="007731AB" w:rsidRPr="007731AB">
              <w:rPr>
                <w:webHidden/>
              </w:rPr>
              <w:fldChar w:fldCharType="separate"/>
            </w:r>
            <w:r w:rsidR="00280D56">
              <w:rPr>
                <w:webHidden/>
              </w:rPr>
              <w:t>19</w:t>
            </w:r>
            <w:r w:rsidR="007731AB" w:rsidRPr="007731AB">
              <w:rPr>
                <w:webHidden/>
              </w:rPr>
              <w:fldChar w:fldCharType="end"/>
            </w:r>
          </w:hyperlink>
        </w:p>
        <w:p w14:paraId="3A175465" w14:textId="57207278" w:rsidR="007731AB" w:rsidRPr="007731AB" w:rsidRDefault="00290FE7">
          <w:pPr>
            <w:pStyle w:val="TOC2"/>
            <w:rPr>
              <w:rFonts w:eastAsiaTheme="minorEastAsia" w:cstheme="minorBidi"/>
              <w:b w:val="0"/>
            </w:rPr>
          </w:pPr>
          <w:hyperlink w:anchor="_Toc436033861" w:history="1">
            <w:r w:rsidR="007731AB" w:rsidRPr="007731AB">
              <w:rPr>
                <w:rStyle w:val="Hyperlink"/>
                <w:rFonts w:asciiTheme="minorHAnsi" w:hAnsiTheme="minorHAnsi"/>
                <w:sz w:val="24"/>
              </w:rPr>
              <w:t>3.1  Conventions used in this implementation guide</w:t>
            </w:r>
            <w:r w:rsidR="007731AB" w:rsidRPr="007731AB">
              <w:rPr>
                <w:webHidden/>
              </w:rPr>
              <w:tab/>
            </w:r>
            <w:r w:rsidR="007731AB" w:rsidRPr="007731AB">
              <w:rPr>
                <w:webHidden/>
              </w:rPr>
              <w:fldChar w:fldCharType="begin"/>
            </w:r>
            <w:r w:rsidR="007731AB" w:rsidRPr="007731AB">
              <w:rPr>
                <w:webHidden/>
              </w:rPr>
              <w:instrText xml:space="preserve"> PAGEREF _Toc436033861 \h </w:instrText>
            </w:r>
            <w:r w:rsidR="007731AB" w:rsidRPr="007731AB">
              <w:rPr>
                <w:webHidden/>
              </w:rPr>
            </w:r>
            <w:r w:rsidR="007731AB" w:rsidRPr="007731AB">
              <w:rPr>
                <w:webHidden/>
              </w:rPr>
              <w:fldChar w:fldCharType="separate"/>
            </w:r>
            <w:r w:rsidR="00280D56">
              <w:rPr>
                <w:webHidden/>
              </w:rPr>
              <w:t>21</w:t>
            </w:r>
            <w:r w:rsidR="007731AB" w:rsidRPr="007731AB">
              <w:rPr>
                <w:webHidden/>
              </w:rPr>
              <w:fldChar w:fldCharType="end"/>
            </w:r>
          </w:hyperlink>
        </w:p>
        <w:p w14:paraId="2C0D77C4" w14:textId="12D447AE" w:rsidR="007731AB" w:rsidRPr="007731AB" w:rsidRDefault="00290FE7">
          <w:pPr>
            <w:pStyle w:val="TOC2"/>
            <w:rPr>
              <w:rFonts w:eastAsiaTheme="minorEastAsia" w:cstheme="minorBidi"/>
              <w:b w:val="0"/>
            </w:rPr>
          </w:pPr>
          <w:hyperlink w:anchor="_Toc436033862" w:history="1">
            <w:r w:rsidR="007731AB" w:rsidRPr="007731AB">
              <w:rPr>
                <w:rStyle w:val="Hyperlink"/>
                <w:rFonts w:asciiTheme="minorHAnsi" w:hAnsiTheme="minorHAnsi"/>
                <w:sz w:val="24"/>
              </w:rPr>
              <w:t>3.2 Populating the Public Health Case Report, Release 2 as it relates to the use of Null Values:</w:t>
            </w:r>
            <w:r w:rsidR="007731AB" w:rsidRPr="007731AB">
              <w:rPr>
                <w:webHidden/>
              </w:rPr>
              <w:tab/>
            </w:r>
            <w:r w:rsidR="007731AB" w:rsidRPr="007731AB">
              <w:rPr>
                <w:webHidden/>
              </w:rPr>
              <w:fldChar w:fldCharType="begin"/>
            </w:r>
            <w:r w:rsidR="007731AB" w:rsidRPr="007731AB">
              <w:rPr>
                <w:webHidden/>
              </w:rPr>
              <w:instrText xml:space="preserve"> PAGEREF _Toc436033862 \h </w:instrText>
            </w:r>
            <w:r w:rsidR="007731AB" w:rsidRPr="007731AB">
              <w:rPr>
                <w:webHidden/>
              </w:rPr>
            </w:r>
            <w:r w:rsidR="007731AB" w:rsidRPr="007731AB">
              <w:rPr>
                <w:webHidden/>
              </w:rPr>
              <w:fldChar w:fldCharType="separate"/>
            </w:r>
            <w:r w:rsidR="00280D56">
              <w:rPr>
                <w:webHidden/>
              </w:rPr>
              <w:t>22</w:t>
            </w:r>
            <w:r w:rsidR="007731AB" w:rsidRPr="007731AB">
              <w:rPr>
                <w:webHidden/>
              </w:rPr>
              <w:fldChar w:fldCharType="end"/>
            </w:r>
          </w:hyperlink>
        </w:p>
        <w:p w14:paraId="1BB86236" w14:textId="74CE88C4" w:rsidR="007731AB" w:rsidRPr="007731AB" w:rsidRDefault="00290FE7">
          <w:pPr>
            <w:pStyle w:val="TOC2"/>
            <w:rPr>
              <w:rFonts w:eastAsiaTheme="minorEastAsia" w:cstheme="minorBidi"/>
              <w:b w:val="0"/>
            </w:rPr>
          </w:pPr>
          <w:hyperlink w:anchor="_Toc436033863" w:history="1">
            <w:r w:rsidR="007731AB" w:rsidRPr="007731AB">
              <w:rPr>
                <w:rStyle w:val="Hyperlink"/>
                <w:rFonts w:asciiTheme="minorHAnsi" w:hAnsiTheme="minorHAnsi"/>
                <w:sz w:val="24"/>
              </w:rPr>
              <w:t>3.3 Use of vocabulary standards</w:t>
            </w:r>
            <w:r w:rsidR="007731AB" w:rsidRPr="007731AB">
              <w:rPr>
                <w:webHidden/>
              </w:rPr>
              <w:tab/>
            </w:r>
            <w:r w:rsidR="007731AB" w:rsidRPr="007731AB">
              <w:rPr>
                <w:webHidden/>
              </w:rPr>
              <w:fldChar w:fldCharType="begin"/>
            </w:r>
            <w:r w:rsidR="007731AB" w:rsidRPr="007731AB">
              <w:rPr>
                <w:webHidden/>
              </w:rPr>
              <w:instrText xml:space="preserve"> PAGEREF _Toc436033863 \h </w:instrText>
            </w:r>
            <w:r w:rsidR="007731AB" w:rsidRPr="007731AB">
              <w:rPr>
                <w:webHidden/>
              </w:rPr>
            </w:r>
            <w:r w:rsidR="007731AB" w:rsidRPr="007731AB">
              <w:rPr>
                <w:webHidden/>
              </w:rPr>
              <w:fldChar w:fldCharType="separate"/>
            </w:r>
            <w:r w:rsidR="00280D56">
              <w:rPr>
                <w:webHidden/>
              </w:rPr>
              <w:t>25</w:t>
            </w:r>
            <w:r w:rsidR="007731AB" w:rsidRPr="007731AB">
              <w:rPr>
                <w:webHidden/>
              </w:rPr>
              <w:fldChar w:fldCharType="end"/>
            </w:r>
          </w:hyperlink>
        </w:p>
        <w:p w14:paraId="0B9C7A73" w14:textId="3261CE00" w:rsidR="007731AB" w:rsidRPr="007731AB" w:rsidRDefault="00290FE7">
          <w:pPr>
            <w:pStyle w:val="TOC2"/>
            <w:rPr>
              <w:rFonts w:eastAsiaTheme="minorEastAsia" w:cstheme="minorBidi"/>
              <w:b w:val="0"/>
            </w:rPr>
          </w:pPr>
          <w:hyperlink w:anchor="_Toc436033864" w:history="1">
            <w:r w:rsidR="007731AB" w:rsidRPr="007731AB">
              <w:rPr>
                <w:rStyle w:val="Hyperlink"/>
                <w:rFonts w:asciiTheme="minorHAnsi" w:hAnsiTheme="minorHAnsi"/>
                <w:sz w:val="24"/>
              </w:rPr>
              <w:t>3.4  CSTE Identified Data Requirements</w:t>
            </w:r>
            <w:r w:rsidR="007731AB" w:rsidRPr="007731AB">
              <w:rPr>
                <w:webHidden/>
              </w:rPr>
              <w:tab/>
            </w:r>
            <w:r w:rsidR="007731AB" w:rsidRPr="007731AB">
              <w:rPr>
                <w:webHidden/>
              </w:rPr>
              <w:fldChar w:fldCharType="begin"/>
            </w:r>
            <w:r w:rsidR="007731AB" w:rsidRPr="007731AB">
              <w:rPr>
                <w:webHidden/>
              </w:rPr>
              <w:instrText xml:space="preserve"> PAGEREF _Toc436033864 \h </w:instrText>
            </w:r>
            <w:r w:rsidR="007731AB" w:rsidRPr="007731AB">
              <w:rPr>
                <w:webHidden/>
              </w:rPr>
            </w:r>
            <w:r w:rsidR="007731AB" w:rsidRPr="007731AB">
              <w:rPr>
                <w:webHidden/>
              </w:rPr>
              <w:fldChar w:fldCharType="separate"/>
            </w:r>
            <w:r w:rsidR="00280D56">
              <w:rPr>
                <w:webHidden/>
              </w:rPr>
              <w:t>26</w:t>
            </w:r>
            <w:r w:rsidR="007731AB" w:rsidRPr="007731AB">
              <w:rPr>
                <w:webHidden/>
              </w:rPr>
              <w:fldChar w:fldCharType="end"/>
            </w:r>
          </w:hyperlink>
        </w:p>
        <w:p w14:paraId="0D125689" w14:textId="6D28A725" w:rsidR="007731AB" w:rsidRPr="007731AB" w:rsidRDefault="00290FE7">
          <w:pPr>
            <w:pStyle w:val="TOC2"/>
            <w:tabs>
              <w:tab w:val="left" w:pos="806"/>
            </w:tabs>
            <w:rPr>
              <w:rFonts w:eastAsiaTheme="minorEastAsia" w:cstheme="minorBidi"/>
              <w:b w:val="0"/>
            </w:rPr>
          </w:pPr>
          <w:hyperlink w:anchor="_Toc436033865" w:history="1">
            <w:r w:rsidR="007731AB" w:rsidRPr="007731AB">
              <w:rPr>
                <w:rStyle w:val="Hyperlink"/>
                <w:rFonts w:asciiTheme="minorHAnsi" w:hAnsiTheme="minorHAnsi"/>
                <w:sz w:val="24"/>
              </w:rPr>
              <w:t>3.5</w:t>
            </w:r>
            <w:r w:rsidR="00E15683">
              <w:rPr>
                <w:rFonts w:eastAsiaTheme="minorEastAsia" w:cstheme="minorBidi"/>
                <w:b w:val="0"/>
              </w:rPr>
              <w:t xml:space="preserve"> </w:t>
            </w:r>
            <w:r w:rsidR="007731AB" w:rsidRPr="007731AB">
              <w:rPr>
                <w:rStyle w:val="Hyperlink"/>
                <w:rFonts w:asciiTheme="minorHAnsi" w:hAnsiTheme="minorHAnsi"/>
                <w:sz w:val="24"/>
              </w:rPr>
              <w:t xml:space="preserve"> eICR Data Model</w:t>
            </w:r>
            <w:r w:rsidR="007731AB" w:rsidRPr="007731AB">
              <w:rPr>
                <w:webHidden/>
              </w:rPr>
              <w:tab/>
            </w:r>
            <w:r w:rsidR="007731AB" w:rsidRPr="007731AB">
              <w:rPr>
                <w:webHidden/>
              </w:rPr>
              <w:fldChar w:fldCharType="begin"/>
            </w:r>
            <w:r w:rsidR="007731AB" w:rsidRPr="007731AB">
              <w:rPr>
                <w:webHidden/>
              </w:rPr>
              <w:instrText xml:space="preserve"> PAGEREF _Toc436033865 \h </w:instrText>
            </w:r>
            <w:r w:rsidR="007731AB" w:rsidRPr="007731AB">
              <w:rPr>
                <w:webHidden/>
              </w:rPr>
            </w:r>
            <w:r w:rsidR="007731AB" w:rsidRPr="007731AB">
              <w:rPr>
                <w:webHidden/>
              </w:rPr>
              <w:fldChar w:fldCharType="separate"/>
            </w:r>
            <w:r w:rsidR="00280D56">
              <w:rPr>
                <w:webHidden/>
              </w:rPr>
              <w:t>30</w:t>
            </w:r>
            <w:r w:rsidR="007731AB" w:rsidRPr="007731AB">
              <w:rPr>
                <w:webHidden/>
              </w:rPr>
              <w:fldChar w:fldCharType="end"/>
            </w:r>
          </w:hyperlink>
        </w:p>
        <w:p w14:paraId="138E878F" w14:textId="4BA12BC7" w:rsidR="007731AB" w:rsidRPr="007731AB" w:rsidRDefault="00290FE7">
          <w:pPr>
            <w:pStyle w:val="TOC2"/>
            <w:rPr>
              <w:rFonts w:eastAsiaTheme="minorEastAsia" w:cstheme="minorBidi"/>
              <w:b w:val="0"/>
            </w:rPr>
          </w:pPr>
          <w:hyperlink w:anchor="_Toc436033866" w:history="1">
            <w:r w:rsidR="007731AB" w:rsidRPr="007731AB">
              <w:rPr>
                <w:rStyle w:val="Hyperlink"/>
                <w:rFonts w:asciiTheme="minorHAnsi" w:hAnsiTheme="minorHAnsi"/>
                <w:sz w:val="24"/>
              </w:rPr>
              <w:t>3.6  Mapping of data elements to Data Model</w:t>
            </w:r>
            <w:r w:rsidR="007731AB" w:rsidRPr="007731AB">
              <w:rPr>
                <w:webHidden/>
              </w:rPr>
              <w:tab/>
            </w:r>
            <w:r w:rsidR="007731AB" w:rsidRPr="007731AB">
              <w:rPr>
                <w:webHidden/>
              </w:rPr>
              <w:fldChar w:fldCharType="begin"/>
            </w:r>
            <w:r w:rsidR="007731AB" w:rsidRPr="007731AB">
              <w:rPr>
                <w:webHidden/>
              </w:rPr>
              <w:instrText xml:space="preserve"> PAGEREF _Toc436033866 \h </w:instrText>
            </w:r>
            <w:r w:rsidR="007731AB" w:rsidRPr="007731AB">
              <w:rPr>
                <w:webHidden/>
              </w:rPr>
            </w:r>
            <w:r w:rsidR="007731AB" w:rsidRPr="007731AB">
              <w:rPr>
                <w:webHidden/>
              </w:rPr>
              <w:fldChar w:fldCharType="separate"/>
            </w:r>
            <w:r w:rsidR="00280D56">
              <w:rPr>
                <w:webHidden/>
              </w:rPr>
              <w:t>31</w:t>
            </w:r>
            <w:r w:rsidR="007731AB" w:rsidRPr="007731AB">
              <w:rPr>
                <w:webHidden/>
              </w:rPr>
              <w:fldChar w:fldCharType="end"/>
            </w:r>
          </w:hyperlink>
        </w:p>
        <w:p w14:paraId="5DF33EDB" w14:textId="01195C85" w:rsidR="007731AB" w:rsidRPr="007731AB" w:rsidRDefault="00290FE7">
          <w:pPr>
            <w:pStyle w:val="TOC2"/>
            <w:rPr>
              <w:rFonts w:eastAsiaTheme="minorEastAsia" w:cstheme="minorBidi"/>
              <w:b w:val="0"/>
            </w:rPr>
          </w:pPr>
          <w:hyperlink w:anchor="_Toc436033867" w:history="1">
            <w:r w:rsidR="007731AB" w:rsidRPr="007731AB">
              <w:rPr>
                <w:rStyle w:val="Hyperlink"/>
                <w:rFonts w:asciiTheme="minorHAnsi" w:hAnsiTheme="minorHAnsi"/>
                <w:sz w:val="24"/>
              </w:rPr>
              <w:t>3.7  eICR Template Hierarchy</w:t>
            </w:r>
            <w:r w:rsidR="007731AB" w:rsidRPr="007731AB">
              <w:rPr>
                <w:webHidden/>
              </w:rPr>
              <w:tab/>
            </w:r>
            <w:r w:rsidR="007731AB" w:rsidRPr="007731AB">
              <w:rPr>
                <w:webHidden/>
              </w:rPr>
              <w:fldChar w:fldCharType="begin"/>
            </w:r>
            <w:r w:rsidR="007731AB" w:rsidRPr="007731AB">
              <w:rPr>
                <w:webHidden/>
              </w:rPr>
              <w:instrText xml:space="preserve"> PAGEREF _Toc436033867 \h </w:instrText>
            </w:r>
            <w:r w:rsidR="007731AB" w:rsidRPr="007731AB">
              <w:rPr>
                <w:webHidden/>
              </w:rPr>
            </w:r>
            <w:r w:rsidR="007731AB" w:rsidRPr="007731AB">
              <w:rPr>
                <w:webHidden/>
              </w:rPr>
              <w:fldChar w:fldCharType="separate"/>
            </w:r>
            <w:r w:rsidR="00280D56">
              <w:rPr>
                <w:webHidden/>
              </w:rPr>
              <w:t>33</w:t>
            </w:r>
            <w:r w:rsidR="007731AB" w:rsidRPr="007731AB">
              <w:rPr>
                <w:webHidden/>
              </w:rPr>
              <w:fldChar w:fldCharType="end"/>
            </w:r>
          </w:hyperlink>
        </w:p>
        <w:p w14:paraId="57BF4374" w14:textId="44FF0B05" w:rsidR="007731AB" w:rsidRPr="007731AB" w:rsidRDefault="00290FE7">
          <w:pPr>
            <w:pStyle w:val="TOC1"/>
            <w:rPr>
              <w:rFonts w:asciiTheme="minorHAnsi" w:eastAsiaTheme="minorEastAsia" w:hAnsiTheme="minorHAnsi" w:cstheme="minorBidi"/>
              <w:caps w:val="0"/>
              <w:sz w:val="24"/>
            </w:rPr>
          </w:pPr>
          <w:hyperlink w:anchor="_Toc436033868" w:history="1">
            <w:r w:rsidR="007731AB">
              <w:rPr>
                <w:rStyle w:val="Hyperlink"/>
                <w:rFonts w:asciiTheme="minorHAnsi" w:hAnsiTheme="minorHAnsi"/>
                <w:sz w:val="24"/>
              </w:rPr>
              <w:t xml:space="preserve">   </w:t>
            </w:r>
            <w:r w:rsidR="007731AB" w:rsidRPr="007731AB">
              <w:rPr>
                <w:rStyle w:val="Hyperlink"/>
                <w:rFonts w:asciiTheme="minorHAnsi" w:hAnsiTheme="minorHAnsi"/>
                <w:b/>
                <w:sz w:val="24"/>
              </w:rPr>
              <w:t>3.8  Mapping of elements to IG Templates</w:t>
            </w:r>
            <w:r w:rsidR="007731AB" w:rsidRPr="007731AB">
              <w:rPr>
                <w:rFonts w:asciiTheme="minorHAnsi" w:hAnsiTheme="minorHAnsi"/>
                <w:webHidden/>
                <w:sz w:val="24"/>
              </w:rPr>
              <w:tab/>
            </w:r>
            <w:r w:rsidR="007731AB" w:rsidRPr="007731AB">
              <w:rPr>
                <w:rFonts w:asciiTheme="minorHAnsi" w:hAnsiTheme="minorHAnsi"/>
                <w:webHidden/>
                <w:sz w:val="24"/>
              </w:rPr>
              <w:fldChar w:fldCharType="begin"/>
            </w:r>
            <w:r w:rsidR="007731AB" w:rsidRPr="007731AB">
              <w:rPr>
                <w:rFonts w:asciiTheme="minorHAnsi" w:hAnsiTheme="minorHAnsi"/>
                <w:webHidden/>
                <w:sz w:val="24"/>
              </w:rPr>
              <w:instrText xml:space="preserve"> PAGEREF _Toc436033868 \h </w:instrText>
            </w:r>
            <w:r w:rsidR="007731AB" w:rsidRPr="007731AB">
              <w:rPr>
                <w:rFonts w:asciiTheme="minorHAnsi" w:hAnsiTheme="minorHAnsi"/>
                <w:webHidden/>
                <w:sz w:val="24"/>
              </w:rPr>
            </w:r>
            <w:r w:rsidR="007731AB" w:rsidRPr="007731AB">
              <w:rPr>
                <w:rFonts w:asciiTheme="minorHAnsi" w:hAnsiTheme="minorHAnsi"/>
                <w:webHidden/>
                <w:sz w:val="24"/>
              </w:rPr>
              <w:fldChar w:fldCharType="separate"/>
            </w:r>
            <w:r w:rsidR="00280D56">
              <w:rPr>
                <w:rFonts w:asciiTheme="minorHAnsi" w:hAnsiTheme="minorHAnsi"/>
                <w:webHidden/>
                <w:sz w:val="24"/>
              </w:rPr>
              <w:t>34</w:t>
            </w:r>
            <w:r w:rsidR="007731AB" w:rsidRPr="007731AB">
              <w:rPr>
                <w:rFonts w:asciiTheme="minorHAnsi" w:hAnsiTheme="minorHAnsi"/>
                <w:webHidden/>
                <w:sz w:val="24"/>
              </w:rPr>
              <w:fldChar w:fldCharType="end"/>
            </w:r>
          </w:hyperlink>
        </w:p>
        <w:p w14:paraId="34CAD283" w14:textId="311A6663" w:rsidR="004B35CD" w:rsidRPr="007731AB" w:rsidRDefault="004B35CD">
          <w:pPr>
            <w:rPr>
              <w:sz w:val="24"/>
              <w:szCs w:val="24"/>
            </w:rPr>
          </w:pPr>
          <w:r w:rsidRPr="007731AB">
            <w:rPr>
              <w:b/>
              <w:bCs/>
              <w:noProof/>
              <w:sz w:val="24"/>
              <w:szCs w:val="24"/>
            </w:rPr>
            <w:fldChar w:fldCharType="end"/>
          </w:r>
        </w:p>
      </w:sdtContent>
    </w:sdt>
    <w:p w14:paraId="500B03D5" w14:textId="77777777" w:rsidR="00FA4D4C" w:rsidRDefault="00FA4D4C" w:rsidP="00FA4D4C">
      <w:pPr>
        <w:rPr>
          <w:color w:val="FF0000"/>
          <w:sz w:val="24"/>
          <w:szCs w:val="24"/>
        </w:rPr>
      </w:pPr>
    </w:p>
    <w:p w14:paraId="78D94159" w14:textId="77777777" w:rsidR="00FA4D4C" w:rsidRDefault="00FA4D4C">
      <w:pPr>
        <w:rPr>
          <w:b/>
          <w:sz w:val="28"/>
          <w:szCs w:val="28"/>
        </w:rPr>
      </w:pPr>
      <w:r>
        <w:rPr>
          <w:b/>
          <w:sz w:val="28"/>
          <w:szCs w:val="28"/>
        </w:rPr>
        <w:br w:type="page"/>
      </w:r>
    </w:p>
    <w:p w14:paraId="00618C5F" w14:textId="313E23F7" w:rsidR="008D62F0" w:rsidRPr="00064246" w:rsidRDefault="00064246" w:rsidP="00064246">
      <w:pPr>
        <w:pStyle w:val="Heading1"/>
        <w:rPr>
          <w:b/>
          <w:color w:val="auto"/>
        </w:rPr>
      </w:pPr>
      <w:bookmarkStart w:id="0" w:name="_Toc436033847"/>
      <w:r w:rsidRPr="00064246">
        <w:rPr>
          <w:b/>
          <w:color w:val="auto"/>
        </w:rPr>
        <w:lastRenderedPageBreak/>
        <w:t xml:space="preserve">1. </w:t>
      </w:r>
      <w:r w:rsidR="008D62F0" w:rsidRPr="00064246">
        <w:rPr>
          <w:b/>
          <w:color w:val="auto"/>
        </w:rPr>
        <w:t>Introduction</w:t>
      </w:r>
      <w:bookmarkEnd w:id="0"/>
      <w:r w:rsidR="008D62F0" w:rsidRPr="00064246">
        <w:rPr>
          <w:b/>
          <w:color w:val="auto"/>
        </w:rPr>
        <w:t xml:space="preserve">  </w:t>
      </w:r>
    </w:p>
    <w:p w14:paraId="4D1B5E33" w14:textId="3952C000" w:rsidR="00AE3357" w:rsidRPr="00B049B3" w:rsidRDefault="009A37C4" w:rsidP="00B049B3">
      <w:pPr>
        <w:pStyle w:val="Heading2nospace"/>
        <w:rPr>
          <w:rFonts w:asciiTheme="minorHAnsi" w:hAnsiTheme="minorHAnsi"/>
          <w:i w:val="0"/>
        </w:rPr>
      </w:pPr>
      <w:bookmarkStart w:id="1" w:name="_Toc436033848"/>
      <w:r w:rsidRPr="00B049B3">
        <w:rPr>
          <w:rFonts w:asciiTheme="minorHAnsi" w:hAnsiTheme="minorHAnsi"/>
          <w:i w:val="0"/>
        </w:rPr>
        <w:t xml:space="preserve">1.1 </w:t>
      </w:r>
      <w:r w:rsidR="00AE3357" w:rsidRPr="00B049B3">
        <w:rPr>
          <w:rFonts w:asciiTheme="minorHAnsi" w:hAnsiTheme="minorHAnsi"/>
          <w:i w:val="0"/>
        </w:rPr>
        <w:t>Purpose</w:t>
      </w:r>
      <w:bookmarkEnd w:id="1"/>
    </w:p>
    <w:p w14:paraId="2DF9A3EB" w14:textId="77777777" w:rsidR="00AE3357" w:rsidRDefault="00AE3357" w:rsidP="00AE3357">
      <w:pPr>
        <w:pStyle w:val="NormalWeb"/>
        <w:rPr>
          <w:rFonts w:ascii="Calibri" w:hAnsi="Calibri" w:cs="Tahoma"/>
          <w:color w:val="000000"/>
          <w:sz w:val="28"/>
          <w:szCs w:val="28"/>
        </w:rPr>
      </w:pPr>
    </w:p>
    <w:p w14:paraId="5D123C98" w14:textId="70A53A13" w:rsidR="00B459B3" w:rsidRDefault="00AE3357" w:rsidP="00AE3357">
      <w:pPr>
        <w:pStyle w:val="NormalWeb"/>
        <w:rPr>
          <w:rFonts w:ascii="Calibri" w:hAnsi="Calibri" w:cs="Tahoma"/>
          <w:color w:val="000000"/>
        </w:rPr>
      </w:pPr>
      <w:r w:rsidRPr="001235C8">
        <w:rPr>
          <w:rFonts w:ascii="Calibri" w:hAnsi="Calibri" w:cs="Tahoma"/>
          <w:color w:val="000000"/>
        </w:rPr>
        <w:t xml:space="preserve">The purpose of this implementation guide (IG) </w:t>
      </w:r>
      <w:r w:rsidR="00027EB6">
        <w:rPr>
          <w:rFonts w:ascii="Calibri" w:hAnsi="Calibri" w:cs="Tahoma"/>
          <w:color w:val="000000"/>
        </w:rPr>
        <w:t xml:space="preserve">is </w:t>
      </w:r>
      <w:r w:rsidRPr="001235C8">
        <w:rPr>
          <w:rFonts w:ascii="Calibri" w:hAnsi="Calibri" w:cs="Tahoma"/>
          <w:color w:val="000000"/>
        </w:rPr>
        <w:t xml:space="preserve">to specify a standard for the </w:t>
      </w:r>
      <w:r w:rsidR="008A1353">
        <w:rPr>
          <w:rFonts w:ascii="Calibri" w:hAnsi="Calibri" w:cs="Tahoma"/>
          <w:color w:val="000000"/>
        </w:rPr>
        <w:t>creation</w:t>
      </w:r>
      <w:r w:rsidRPr="001235C8">
        <w:rPr>
          <w:rFonts w:ascii="Calibri" w:hAnsi="Calibri" w:cs="Tahoma"/>
          <w:color w:val="000000"/>
        </w:rPr>
        <w:t xml:space="preserve"> </w:t>
      </w:r>
      <w:r w:rsidR="00E21CC3" w:rsidRPr="001235C8">
        <w:rPr>
          <w:rFonts w:ascii="Calibri" w:hAnsi="Calibri" w:cs="Tahoma"/>
          <w:color w:val="000000"/>
        </w:rPr>
        <w:t xml:space="preserve">of an </w:t>
      </w:r>
      <w:r w:rsidRPr="001235C8">
        <w:rPr>
          <w:rFonts w:ascii="Calibri" w:hAnsi="Calibri" w:cs="Tahoma"/>
          <w:color w:val="000000"/>
        </w:rPr>
        <w:t>electronic initial case report (eICR) in Clinical Document Architecture, Release 2</w:t>
      </w:r>
      <w:r w:rsidR="00B3158C" w:rsidRPr="001235C8">
        <w:rPr>
          <w:rFonts w:ascii="Calibri" w:hAnsi="Calibri" w:cs="Tahoma"/>
          <w:color w:val="000000"/>
        </w:rPr>
        <w:t xml:space="preserve"> (CDA R2)</w:t>
      </w:r>
      <w:r w:rsidRPr="001235C8">
        <w:rPr>
          <w:rFonts w:ascii="Calibri" w:hAnsi="Calibri" w:cs="Tahoma"/>
          <w:color w:val="000000"/>
        </w:rPr>
        <w:t xml:space="preserve"> </w:t>
      </w:r>
      <w:r w:rsidR="00614204" w:rsidRPr="001235C8">
        <w:rPr>
          <w:rFonts w:ascii="Calibri" w:hAnsi="Calibri" w:cs="Tahoma"/>
          <w:color w:val="000000"/>
        </w:rPr>
        <w:t xml:space="preserve">US Realm </w:t>
      </w:r>
      <w:r w:rsidRPr="001235C8">
        <w:rPr>
          <w:rFonts w:ascii="Calibri" w:hAnsi="Calibri" w:cs="Tahoma"/>
          <w:color w:val="000000"/>
        </w:rPr>
        <w:t>format</w:t>
      </w:r>
      <w:r w:rsidR="007F56C2" w:rsidRPr="001235C8">
        <w:rPr>
          <w:rFonts w:ascii="Calibri" w:hAnsi="Calibri" w:cs="Tahoma"/>
          <w:color w:val="000000"/>
        </w:rPr>
        <w:t xml:space="preserve"> </w:t>
      </w:r>
      <w:r w:rsidR="00EC16D9">
        <w:rPr>
          <w:rFonts w:ascii="Calibri" w:hAnsi="Calibri" w:cs="Tahoma"/>
          <w:color w:val="000000"/>
        </w:rPr>
        <w:t xml:space="preserve">using </w:t>
      </w:r>
      <w:r w:rsidR="007F56C2" w:rsidRPr="001235C8">
        <w:rPr>
          <w:rFonts w:ascii="Calibri" w:hAnsi="Calibri" w:cs="Tahoma"/>
          <w:color w:val="000000"/>
        </w:rPr>
        <w:t xml:space="preserve">Consolidated CDA (C-CDA) </w:t>
      </w:r>
      <w:r w:rsidR="00686D1B">
        <w:rPr>
          <w:rFonts w:ascii="Calibri" w:hAnsi="Calibri" w:cs="Tahoma"/>
          <w:color w:val="000000"/>
        </w:rPr>
        <w:t xml:space="preserve">DSTU Release 2.1 </w:t>
      </w:r>
      <w:r w:rsidR="007F56C2" w:rsidRPr="001235C8">
        <w:rPr>
          <w:rFonts w:ascii="Calibri" w:hAnsi="Calibri" w:cs="Tahoma"/>
          <w:color w:val="000000"/>
        </w:rPr>
        <w:t>templates</w:t>
      </w:r>
      <w:r w:rsidR="00EC16D9" w:rsidRPr="00EC16D9">
        <w:rPr>
          <w:rFonts w:ascii="Calibri" w:hAnsi="Calibri" w:cs="Tahoma"/>
          <w:color w:val="000000"/>
        </w:rPr>
        <w:t xml:space="preserve"> to build the eICR document</w:t>
      </w:r>
      <w:r w:rsidRPr="001235C8">
        <w:rPr>
          <w:rFonts w:ascii="Calibri" w:hAnsi="Calibri" w:cs="Tahoma"/>
          <w:color w:val="000000"/>
        </w:rPr>
        <w:t xml:space="preserve">. </w:t>
      </w:r>
      <w:r w:rsidR="00E21CC3" w:rsidRPr="001235C8">
        <w:rPr>
          <w:rFonts w:ascii="Calibri" w:hAnsi="Calibri" w:cs="Tahoma"/>
          <w:color w:val="000000"/>
        </w:rPr>
        <w:t>The submission of</w:t>
      </w:r>
      <w:r w:rsidR="00B3158C" w:rsidRPr="001235C8">
        <w:rPr>
          <w:rFonts w:ascii="Calibri" w:hAnsi="Calibri" w:cs="Tahoma"/>
          <w:color w:val="000000"/>
        </w:rPr>
        <w:t xml:space="preserve"> </w:t>
      </w:r>
      <w:r w:rsidR="00B459B3" w:rsidRPr="001235C8">
        <w:rPr>
          <w:rFonts w:ascii="Calibri" w:hAnsi="Calibri" w:cs="Tahoma"/>
          <w:color w:val="000000"/>
        </w:rPr>
        <w:t>public health case reports</w:t>
      </w:r>
      <w:r w:rsidR="00B3158C" w:rsidRPr="001235C8">
        <w:rPr>
          <w:rFonts w:ascii="Calibri" w:hAnsi="Calibri" w:cs="Tahoma"/>
          <w:color w:val="000000"/>
        </w:rPr>
        <w:t xml:space="preserve"> for </w:t>
      </w:r>
      <w:r w:rsidR="00E21CC3" w:rsidRPr="001235C8">
        <w:rPr>
          <w:rFonts w:ascii="Calibri" w:hAnsi="Calibri" w:cs="Tahoma"/>
          <w:color w:val="000000"/>
        </w:rPr>
        <w:t xml:space="preserve">specific </w:t>
      </w:r>
      <w:r w:rsidR="00B3158C" w:rsidRPr="001235C8">
        <w:rPr>
          <w:rFonts w:ascii="Calibri" w:hAnsi="Calibri" w:cs="Tahoma"/>
          <w:color w:val="000000"/>
        </w:rPr>
        <w:t>infectious and non-infectious conditions</w:t>
      </w:r>
      <w:r w:rsidR="00B459B3" w:rsidRPr="001235C8">
        <w:rPr>
          <w:rFonts w:ascii="Calibri" w:hAnsi="Calibri" w:cs="Tahoma"/>
          <w:color w:val="000000"/>
        </w:rPr>
        <w:t xml:space="preserve"> is required by law in all States and </w:t>
      </w:r>
      <w:r w:rsidR="009B61EF" w:rsidRPr="001235C8">
        <w:rPr>
          <w:rFonts w:ascii="Calibri" w:hAnsi="Calibri" w:cs="Tahoma"/>
          <w:color w:val="000000"/>
        </w:rPr>
        <w:t>Territories</w:t>
      </w:r>
      <w:r w:rsidR="0031483F" w:rsidRPr="001235C8">
        <w:rPr>
          <w:rFonts w:ascii="Calibri" w:hAnsi="Calibri" w:cs="Tahoma"/>
          <w:color w:val="000000"/>
        </w:rPr>
        <w:t xml:space="preserve"> in the United States</w:t>
      </w:r>
      <w:r w:rsidR="00B459B3" w:rsidRPr="001235C8">
        <w:rPr>
          <w:rFonts w:ascii="Calibri" w:hAnsi="Calibri" w:cs="Tahoma"/>
          <w:color w:val="000000"/>
        </w:rPr>
        <w:t>.</w:t>
      </w:r>
      <w:r w:rsidR="00DB58AC" w:rsidRPr="001235C8">
        <w:rPr>
          <w:rFonts w:ascii="Calibri" w:hAnsi="Calibri" w:cs="Tahoma"/>
          <w:color w:val="000000"/>
        </w:rPr>
        <w:t xml:space="preserve"> In addition to supporting critical public health functions in State</w:t>
      </w:r>
      <w:r w:rsidR="00027EB6">
        <w:rPr>
          <w:rFonts w:ascii="Calibri" w:hAnsi="Calibri" w:cs="Tahoma"/>
          <w:color w:val="000000"/>
        </w:rPr>
        <w:t>, Local,</w:t>
      </w:r>
      <w:r w:rsidR="00DB58AC" w:rsidRPr="001235C8">
        <w:rPr>
          <w:rFonts w:ascii="Calibri" w:hAnsi="Calibri" w:cs="Tahoma"/>
          <w:color w:val="000000"/>
        </w:rPr>
        <w:t xml:space="preserve"> and Territo</w:t>
      </w:r>
      <w:r w:rsidR="00AE1697" w:rsidRPr="001235C8">
        <w:rPr>
          <w:rFonts w:ascii="Calibri" w:hAnsi="Calibri" w:cs="Tahoma"/>
          <w:color w:val="000000"/>
        </w:rPr>
        <w:t>rial Public Health Agencies (PHA</w:t>
      </w:r>
      <w:r w:rsidR="00DB58AC" w:rsidRPr="001235C8">
        <w:rPr>
          <w:rFonts w:ascii="Calibri" w:hAnsi="Calibri" w:cs="Tahoma"/>
          <w:color w:val="000000"/>
        </w:rPr>
        <w:t>s), the data f</w:t>
      </w:r>
      <w:r w:rsidR="00877FAC" w:rsidRPr="001235C8">
        <w:rPr>
          <w:rFonts w:ascii="Calibri" w:hAnsi="Calibri" w:cs="Tahoma"/>
          <w:color w:val="000000"/>
        </w:rPr>
        <w:t>rom these case reports</w:t>
      </w:r>
      <w:r w:rsidR="00790767" w:rsidRPr="001235C8">
        <w:rPr>
          <w:rFonts w:ascii="Calibri" w:hAnsi="Calibri" w:cs="Tahoma"/>
          <w:color w:val="000000"/>
        </w:rPr>
        <w:t xml:space="preserve"> will </w:t>
      </w:r>
      <w:r w:rsidR="00E21CC3" w:rsidRPr="001235C8">
        <w:rPr>
          <w:rFonts w:ascii="Calibri" w:hAnsi="Calibri" w:cs="Tahoma"/>
          <w:color w:val="000000"/>
        </w:rPr>
        <w:t xml:space="preserve">also </w:t>
      </w:r>
      <w:r w:rsidR="00790767" w:rsidRPr="001235C8">
        <w:rPr>
          <w:rFonts w:ascii="Calibri" w:hAnsi="Calibri" w:cs="Tahoma"/>
          <w:color w:val="000000"/>
        </w:rPr>
        <w:t xml:space="preserve">indirectly </w:t>
      </w:r>
      <w:r w:rsidR="00877FAC" w:rsidRPr="001235C8">
        <w:rPr>
          <w:rFonts w:ascii="Calibri" w:hAnsi="Calibri" w:cs="Tahoma"/>
          <w:color w:val="000000"/>
        </w:rPr>
        <w:t>support</w:t>
      </w:r>
      <w:r w:rsidR="0031483F" w:rsidRPr="001235C8">
        <w:rPr>
          <w:rFonts w:ascii="Calibri" w:hAnsi="Calibri" w:cs="Tahoma"/>
          <w:color w:val="000000"/>
        </w:rPr>
        <w:t xml:space="preserve"> notification</w:t>
      </w:r>
      <w:r w:rsidR="007F56C2" w:rsidRPr="001235C8">
        <w:rPr>
          <w:rFonts w:ascii="Calibri" w:hAnsi="Calibri" w:cs="Tahoma"/>
          <w:color w:val="000000"/>
        </w:rPr>
        <w:t>s</w:t>
      </w:r>
      <w:r w:rsidR="0083565E">
        <w:rPr>
          <w:rFonts w:ascii="Calibri" w:hAnsi="Calibri" w:cs="Tahoma"/>
          <w:color w:val="000000"/>
        </w:rPr>
        <w:t xml:space="preserve"> </w:t>
      </w:r>
      <w:r w:rsidR="009B6E55">
        <w:rPr>
          <w:rFonts w:ascii="Calibri" w:hAnsi="Calibri" w:cs="Tahoma"/>
          <w:color w:val="000000"/>
        </w:rPr>
        <w:t>between</w:t>
      </w:r>
      <w:r w:rsidR="0083565E">
        <w:rPr>
          <w:rFonts w:ascii="Calibri" w:hAnsi="Calibri" w:cs="Tahoma"/>
          <w:color w:val="000000"/>
        </w:rPr>
        <w:t xml:space="preserve"> PHAs</w:t>
      </w:r>
      <w:r w:rsidR="007F56C2" w:rsidRPr="001235C8">
        <w:rPr>
          <w:rFonts w:ascii="Calibri" w:hAnsi="Calibri" w:cs="Tahoma"/>
          <w:color w:val="000000"/>
        </w:rPr>
        <w:t xml:space="preserve"> </w:t>
      </w:r>
      <w:r w:rsidR="009B6E55">
        <w:rPr>
          <w:rFonts w:ascii="Calibri" w:hAnsi="Calibri" w:cs="Tahoma"/>
          <w:color w:val="000000"/>
        </w:rPr>
        <w:t xml:space="preserve">and </w:t>
      </w:r>
      <w:r w:rsidR="007F56C2" w:rsidRPr="001235C8">
        <w:rPr>
          <w:rFonts w:ascii="Calibri" w:hAnsi="Calibri" w:cs="Tahoma"/>
          <w:color w:val="000000"/>
        </w:rPr>
        <w:t>to</w:t>
      </w:r>
      <w:r w:rsidR="0031483F" w:rsidRPr="001235C8">
        <w:rPr>
          <w:rFonts w:ascii="Calibri" w:hAnsi="Calibri" w:cs="Tahoma"/>
          <w:color w:val="000000"/>
        </w:rPr>
        <w:t xml:space="preserve"> the Ce</w:t>
      </w:r>
      <w:r w:rsidR="00B3158C" w:rsidRPr="001235C8">
        <w:rPr>
          <w:rFonts w:ascii="Calibri" w:hAnsi="Calibri" w:cs="Tahoma"/>
          <w:color w:val="000000"/>
        </w:rPr>
        <w:t>nters for Disease Control and Prevention (CDC)</w:t>
      </w:r>
      <w:r w:rsidR="0031483F" w:rsidRPr="001235C8">
        <w:rPr>
          <w:rFonts w:ascii="Calibri" w:hAnsi="Calibri" w:cs="Tahoma"/>
          <w:color w:val="000000"/>
        </w:rPr>
        <w:t xml:space="preserve"> for the Nationally Notifiable Disease Surveillance System (NNDSS)</w:t>
      </w:r>
      <w:r w:rsidR="00877FAC" w:rsidRPr="001235C8">
        <w:rPr>
          <w:rFonts w:ascii="Calibri" w:hAnsi="Calibri" w:cs="Tahoma"/>
          <w:color w:val="000000"/>
        </w:rPr>
        <w:t xml:space="preserve"> and nationwide disease </w:t>
      </w:r>
      <w:r w:rsidR="00CE7B2E" w:rsidRPr="001235C8">
        <w:rPr>
          <w:rFonts w:ascii="Calibri" w:hAnsi="Calibri" w:cs="Tahoma"/>
          <w:color w:val="000000"/>
        </w:rPr>
        <w:t>monitoring</w:t>
      </w:r>
      <w:r w:rsidR="00877FAC" w:rsidRPr="001235C8">
        <w:rPr>
          <w:rFonts w:ascii="Calibri" w:hAnsi="Calibri" w:cs="Tahoma"/>
          <w:color w:val="000000"/>
        </w:rPr>
        <w:t>.</w:t>
      </w:r>
    </w:p>
    <w:p w14:paraId="286D9789" w14:textId="77777777" w:rsidR="00FF6BB1" w:rsidRDefault="00FF6BB1" w:rsidP="00AE3357">
      <w:pPr>
        <w:pStyle w:val="NormalWeb"/>
        <w:rPr>
          <w:rFonts w:ascii="Calibri" w:hAnsi="Calibri" w:cs="Tahoma"/>
          <w:color w:val="000000"/>
        </w:rPr>
      </w:pPr>
    </w:p>
    <w:p w14:paraId="31F345AB" w14:textId="6F1C1F10" w:rsidR="00FF6BB1" w:rsidRPr="00FF6BB1" w:rsidRDefault="00FF6BB1" w:rsidP="00FF6BB1">
      <w:pPr>
        <w:pStyle w:val="NormalWeb"/>
        <w:rPr>
          <w:rFonts w:ascii="Calibri" w:hAnsi="Calibri" w:cs="Tahoma"/>
          <w:color w:val="000000"/>
        </w:rPr>
      </w:pPr>
      <w:r w:rsidRPr="00FF6BB1">
        <w:rPr>
          <w:rFonts w:ascii="Calibri" w:hAnsi="Calibri" w:cs="Tahoma"/>
          <w:color w:val="000000"/>
        </w:rPr>
        <w:t>This interoperability standard will enable</w:t>
      </w:r>
      <w:r w:rsidR="00027EB6">
        <w:rPr>
          <w:rFonts w:ascii="Calibri" w:hAnsi="Calibri" w:cs="Tahoma"/>
          <w:color w:val="000000"/>
        </w:rPr>
        <w:t xml:space="preserve"> the reporting of events of public health interest from clinical care Electronic Health Record (EHR) technology and associated workflows</w:t>
      </w:r>
      <w:r w:rsidRPr="00FF6BB1">
        <w:rPr>
          <w:rFonts w:ascii="Calibri" w:hAnsi="Calibri" w:cs="Tahoma"/>
          <w:color w:val="000000"/>
        </w:rPr>
        <w:t xml:space="preserve">. It offers the potential of enabling </w:t>
      </w:r>
      <w:r w:rsidR="00027EB6">
        <w:rPr>
          <w:rFonts w:ascii="Calibri" w:hAnsi="Calibri" w:cs="Tahoma"/>
          <w:color w:val="000000"/>
        </w:rPr>
        <w:t>improved</w:t>
      </w:r>
      <w:r w:rsidRPr="00FF6BB1">
        <w:rPr>
          <w:rFonts w:ascii="Calibri" w:hAnsi="Calibri" w:cs="Tahoma"/>
          <w:color w:val="000000"/>
        </w:rPr>
        <w:t xml:space="preserve"> public health </w:t>
      </w:r>
      <w:r w:rsidR="00D773F7">
        <w:rPr>
          <w:rFonts w:ascii="Calibri" w:hAnsi="Calibri" w:cs="Tahoma"/>
          <w:color w:val="000000"/>
        </w:rPr>
        <w:t xml:space="preserve">case </w:t>
      </w:r>
      <w:r w:rsidRPr="00FF6BB1">
        <w:rPr>
          <w:rFonts w:ascii="Calibri" w:hAnsi="Calibri" w:cs="Tahoma"/>
          <w:color w:val="000000"/>
        </w:rPr>
        <w:t xml:space="preserve">reporting </w:t>
      </w:r>
      <w:r w:rsidR="00027EB6">
        <w:rPr>
          <w:rFonts w:ascii="Calibri" w:hAnsi="Calibri" w:cs="Tahoma"/>
          <w:color w:val="000000"/>
        </w:rPr>
        <w:t>by facilitating</w:t>
      </w:r>
      <w:r w:rsidRPr="00FF6BB1">
        <w:rPr>
          <w:rFonts w:ascii="Calibri" w:hAnsi="Calibri" w:cs="Tahoma"/>
          <w:color w:val="000000"/>
        </w:rPr>
        <w:t xml:space="preserve"> information exchange between clinical care and public health with</w:t>
      </w:r>
      <w:r w:rsidR="00027EB6">
        <w:rPr>
          <w:rFonts w:ascii="Calibri" w:hAnsi="Calibri" w:cs="Tahoma"/>
          <w:color w:val="000000"/>
        </w:rPr>
        <w:t xml:space="preserve"> less </w:t>
      </w:r>
      <w:r w:rsidR="00730EF5">
        <w:rPr>
          <w:rFonts w:ascii="Calibri" w:hAnsi="Calibri" w:cs="Tahoma"/>
          <w:color w:val="000000"/>
        </w:rPr>
        <w:t>burden</w:t>
      </w:r>
      <w:r w:rsidR="00027EB6">
        <w:rPr>
          <w:rFonts w:ascii="Calibri" w:hAnsi="Calibri" w:cs="Tahoma"/>
          <w:color w:val="000000"/>
        </w:rPr>
        <w:t xml:space="preserve"> for both</w:t>
      </w:r>
      <w:r w:rsidR="00730EF5">
        <w:rPr>
          <w:rFonts w:ascii="Calibri" w:hAnsi="Calibri" w:cs="Tahoma"/>
          <w:color w:val="000000"/>
        </w:rPr>
        <w:t>. Doing so may also involve other new interoperability standards and potential functional changes in EHRs and public health surveillance systems.</w:t>
      </w:r>
      <w:r w:rsidR="00F32011">
        <w:rPr>
          <w:rFonts w:ascii="Calibri" w:hAnsi="Calibri" w:cs="Tahoma"/>
          <w:color w:val="000000"/>
        </w:rPr>
        <w:t xml:space="preserve"> Case reporting from EHRs </w:t>
      </w:r>
      <w:r w:rsidR="0098651F">
        <w:rPr>
          <w:rFonts w:ascii="Calibri" w:hAnsi="Calibri" w:cs="Tahoma"/>
          <w:color w:val="000000"/>
        </w:rPr>
        <w:t xml:space="preserve">is also </w:t>
      </w:r>
      <w:r w:rsidR="00F32011">
        <w:rPr>
          <w:rFonts w:ascii="Calibri" w:hAnsi="Calibri" w:cs="Tahoma"/>
          <w:color w:val="000000"/>
        </w:rPr>
        <w:t>important to public health surveillance for under-reported clinical cases, emergency management of new conditions and</w:t>
      </w:r>
      <w:r w:rsidR="00A63343">
        <w:rPr>
          <w:rFonts w:ascii="Calibri" w:hAnsi="Calibri" w:cs="Tahoma"/>
          <w:color w:val="000000"/>
        </w:rPr>
        <w:t xml:space="preserve"> for</w:t>
      </w:r>
      <w:r w:rsidR="00F32011">
        <w:rPr>
          <w:rFonts w:ascii="Calibri" w:hAnsi="Calibri" w:cs="Tahoma"/>
          <w:color w:val="000000"/>
        </w:rPr>
        <w:t xml:space="preserve"> conditions for which a lab</w:t>
      </w:r>
      <w:r w:rsidR="00B6282D">
        <w:rPr>
          <w:rFonts w:ascii="Calibri" w:hAnsi="Calibri" w:cs="Tahoma"/>
          <w:color w:val="000000"/>
        </w:rPr>
        <w:t>oratory</w:t>
      </w:r>
      <w:r w:rsidR="00F32011">
        <w:rPr>
          <w:rFonts w:ascii="Calibri" w:hAnsi="Calibri" w:cs="Tahoma"/>
          <w:color w:val="000000"/>
        </w:rPr>
        <w:t xml:space="preserve"> result is not a definitive criterion. Case reporting from EHRs complements electronic laboratory reporting by providing critical clinical and demographic data that </w:t>
      </w:r>
      <w:r w:rsidR="00AC536A">
        <w:rPr>
          <w:rFonts w:ascii="Calibri" w:hAnsi="Calibri" w:cs="Tahoma"/>
          <w:color w:val="000000"/>
        </w:rPr>
        <w:t xml:space="preserve">may not be included in </w:t>
      </w:r>
      <w:r w:rsidR="00F32011">
        <w:rPr>
          <w:rFonts w:ascii="Calibri" w:hAnsi="Calibri" w:cs="Tahoma"/>
          <w:color w:val="000000"/>
        </w:rPr>
        <w:t>lab</w:t>
      </w:r>
      <w:r w:rsidR="00B6282D">
        <w:rPr>
          <w:rFonts w:ascii="Calibri" w:hAnsi="Calibri" w:cs="Tahoma"/>
          <w:color w:val="000000"/>
        </w:rPr>
        <w:t>oratory</w:t>
      </w:r>
      <w:r w:rsidR="00F32011">
        <w:rPr>
          <w:rFonts w:ascii="Calibri" w:hAnsi="Calibri" w:cs="Tahoma"/>
          <w:color w:val="000000"/>
        </w:rPr>
        <w:t xml:space="preserve"> re</w:t>
      </w:r>
      <w:r w:rsidR="00AC536A">
        <w:rPr>
          <w:rFonts w:ascii="Calibri" w:hAnsi="Calibri" w:cs="Tahoma"/>
          <w:color w:val="000000"/>
        </w:rPr>
        <w:t xml:space="preserve">ports. </w:t>
      </w:r>
    </w:p>
    <w:p w14:paraId="1FAB8556" w14:textId="77777777" w:rsidR="00B459B3" w:rsidRPr="001235C8" w:rsidRDefault="00B459B3" w:rsidP="00AE3357">
      <w:pPr>
        <w:pStyle w:val="NormalWeb"/>
        <w:rPr>
          <w:rFonts w:ascii="Calibri" w:hAnsi="Calibri" w:cs="Tahoma"/>
          <w:color w:val="000000"/>
        </w:rPr>
      </w:pPr>
    </w:p>
    <w:p w14:paraId="12270039" w14:textId="341B8DBF" w:rsidR="00DB58AC" w:rsidRPr="001235C8" w:rsidRDefault="00AE3357" w:rsidP="00AE3357">
      <w:pPr>
        <w:pStyle w:val="NormalWeb"/>
        <w:rPr>
          <w:rFonts w:ascii="Calibri" w:hAnsi="Calibri" w:cs="Tahoma"/>
          <w:color w:val="000000"/>
        </w:rPr>
      </w:pPr>
      <w:r w:rsidRPr="001235C8">
        <w:rPr>
          <w:rFonts w:ascii="Calibri" w:hAnsi="Calibri" w:cs="Tahoma"/>
          <w:color w:val="000000"/>
        </w:rPr>
        <w:t>The e</w:t>
      </w:r>
      <w:r w:rsidR="0098651F">
        <w:rPr>
          <w:rFonts w:ascii="Calibri" w:hAnsi="Calibri" w:cs="Tahoma"/>
          <w:color w:val="000000"/>
        </w:rPr>
        <w:t>lectronic initial case report (e</w:t>
      </w:r>
      <w:r w:rsidRPr="001235C8">
        <w:rPr>
          <w:rFonts w:ascii="Calibri" w:hAnsi="Calibri" w:cs="Tahoma"/>
          <w:color w:val="000000"/>
        </w:rPr>
        <w:t>ICR</w:t>
      </w:r>
      <w:r w:rsidR="0098651F">
        <w:rPr>
          <w:rFonts w:ascii="Calibri" w:hAnsi="Calibri" w:cs="Tahoma"/>
          <w:color w:val="000000"/>
        </w:rPr>
        <w:t>)</w:t>
      </w:r>
      <w:r w:rsidRPr="001235C8">
        <w:rPr>
          <w:rFonts w:ascii="Calibri" w:hAnsi="Calibri" w:cs="Tahoma"/>
          <w:color w:val="000000"/>
        </w:rPr>
        <w:t xml:space="preserve"> is </w:t>
      </w:r>
      <w:r w:rsidR="00DB58AC" w:rsidRPr="001235C8">
        <w:rPr>
          <w:rFonts w:ascii="Calibri" w:hAnsi="Calibri" w:cs="Tahoma"/>
          <w:color w:val="000000"/>
        </w:rPr>
        <w:t xml:space="preserve">termed </w:t>
      </w:r>
      <w:r w:rsidRPr="001235C8">
        <w:rPr>
          <w:rFonts w:ascii="Calibri" w:hAnsi="Calibri" w:cs="Tahoma"/>
          <w:color w:val="000000"/>
        </w:rPr>
        <w:t>“initial”</w:t>
      </w:r>
      <w:r w:rsidR="00E21CC3" w:rsidRPr="001235C8">
        <w:rPr>
          <w:rFonts w:ascii="Calibri" w:hAnsi="Calibri" w:cs="Tahoma"/>
          <w:color w:val="000000"/>
        </w:rPr>
        <w:t xml:space="preserve"> because the report</w:t>
      </w:r>
      <w:r w:rsidRPr="001235C8">
        <w:rPr>
          <w:rFonts w:ascii="Calibri" w:hAnsi="Calibri" w:cs="Tahoma"/>
          <w:color w:val="000000"/>
        </w:rPr>
        <w:t xml:space="preserve"> </w:t>
      </w:r>
      <w:r w:rsidR="0098651F">
        <w:rPr>
          <w:rFonts w:ascii="Calibri" w:hAnsi="Calibri" w:cs="Tahoma"/>
          <w:color w:val="000000"/>
        </w:rPr>
        <w:t xml:space="preserve">may </w:t>
      </w:r>
      <w:r w:rsidR="00BC155D">
        <w:rPr>
          <w:rFonts w:ascii="Calibri" w:hAnsi="Calibri" w:cs="Tahoma"/>
          <w:color w:val="000000"/>
        </w:rPr>
        <w:t>be the first report made to public health</w:t>
      </w:r>
      <w:r w:rsidR="006B5964">
        <w:rPr>
          <w:rFonts w:ascii="Calibri" w:hAnsi="Calibri" w:cs="Tahoma"/>
          <w:color w:val="000000"/>
        </w:rPr>
        <w:t xml:space="preserve"> from the clinical provider</w:t>
      </w:r>
      <w:r w:rsidR="00BC155D">
        <w:rPr>
          <w:rFonts w:ascii="Calibri" w:hAnsi="Calibri" w:cs="Tahoma"/>
          <w:color w:val="000000"/>
        </w:rPr>
        <w:t xml:space="preserve">, containing just enough pertinent data for PHAs to initiate investigation or other appropriate public health activities as necessary. In some instances </w:t>
      </w:r>
      <w:r w:rsidR="0098651F">
        <w:rPr>
          <w:rFonts w:ascii="Calibri" w:hAnsi="Calibri" w:cs="Tahoma"/>
          <w:color w:val="000000"/>
        </w:rPr>
        <w:t xml:space="preserve">a case </w:t>
      </w:r>
      <w:r w:rsidR="00BC155D">
        <w:rPr>
          <w:rFonts w:ascii="Calibri" w:hAnsi="Calibri" w:cs="Tahoma"/>
          <w:color w:val="000000"/>
        </w:rPr>
        <w:t>report may be initiated after a phone call is made to public health</w:t>
      </w:r>
      <w:r w:rsidR="009812CC">
        <w:rPr>
          <w:rFonts w:ascii="Calibri" w:hAnsi="Calibri" w:cs="Tahoma"/>
          <w:color w:val="000000"/>
        </w:rPr>
        <w:t xml:space="preserve"> in the event that an immediately telephonically reportable event is suspected. These electronic reports could be </w:t>
      </w:r>
      <w:r w:rsidR="00AC536A">
        <w:rPr>
          <w:rFonts w:ascii="Calibri" w:hAnsi="Calibri" w:cs="Tahoma"/>
          <w:color w:val="000000"/>
        </w:rPr>
        <w:t xml:space="preserve">manually </w:t>
      </w:r>
      <w:r w:rsidR="009812CC">
        <w:rPr>
          <w:rFonts w:ascii="Calibri" w:hAnsi="Calibri" w:cs="Tahoma"/>
          <w:color w:val="000000"/>
        </w:rPr>
        <w:t>initiated by the clinician, or may</w:t>
      </w:r>
      <w:r w:rsidRPr="001235C8">
        <w:rPr>
          <w:rFonts w:ascii="Calibri" w:hAnsi="Calibri" w:cs="Tahoma"/>
          <w:color w:val="000000"/>
        </w:rPr>
        <w:t xml:space="preserve"> be </w:t>
      </w:r>
      <w:r w:rsidR="00B459B3" w:rsidRPr="001235C8">
        <w:rPr>
          <w:rFonts w:ascii="Calibri" w:hAnsi="Calibri" w:cs="Tahoma"/>
          <w:color w:val="000000"/>
        </w:rPr>
        <w:t xml:space="preserve">automatically </w:t>
      </w:r>
      <w:r w:rsidR="00423BF4" w:rsidRPr="001235C8">
        <w:rPr>
          <w:rFonts w:ascii="Calibri" w:hAnsi="Calibri" w:cs="Tahoma"/>
          <w:color w:val="000000"/>
        </w:rPr>
        <w:t>initiated</w:t>
      </w:r>
      <w:r w:rsidR="009812CC">
        <w:rPr>
          <w:rFonts w:ascii="Calibri" w:hAnsi="Calibri" w:cs="Tahoma"/>
          <w:color w:val="000000"/>
        </w:rPr>
        <w:t xml:space="preserve"> by the EHR</w:t>
      </w:r>
      <w:r w:rsidRPr="001235C8">
        <w:rPr>
          <w:rFonts w:ascii="Calibri" w:hAnsi="Calibri" w:cs="Tahoma"/>
          <w:color w:val="000000"/>
        </w:rPr>
        <w:t xml:space="preserve"> when </w:t>
      </w:r>
      <w:r w:rsidR="009812CC">
        <w:rPr>
          <w:rFonts w:ascii="Calibri" w:hAnsi="Calibri" w:cs="Tahoma"/>
          <w:color w:val="000000"/>
        </w:rPr>
        <w:t xml:space="preserve">updated </w:t>
      </w:r>
      <w:r w:rsidR="00B459B3" w:rsidRPr="001235C8">
        <w:rPr>
          <w:rFonts w:ascii="Calibri" w:hAnsi="Calibri" w:cs="Tahoma"/>
          <w:color w:val="000000"/>
        </w:rPr>
        <w:t>patient data</w:t>
      </w:r>
      <w:r w:rsidR="00DB58AC" w:rsidRPr="001235C8">
        <w:rPr>
          <w:rFonts w:ascii="Calibri" w:hAnsi="Calibri" w:cs="Tahoma"/>
          <w:color w:val="000000"/>
        </w:rPr>
        <w:t xml:space="preserve"> </w:t>
      </w:r>
      <w:r w:rsidR="009812CC">
        <w:rPr>
          <w:rFonts w:ascii="Calibri" w:hAnsi="Calibri" w:cs="Tahoma"/>
          <w:color w:val="000000"/>
        </w:rPr>
        <w:t xml:space="preserve">is </w:t>
      </w:r>
      <w:r w:rsidR="00DB58AC" w:rsidRPr="001235C8">
        <w:rPr>
          <w:rFonts w:ascii="Calibri" w:hAnsi="Calibri" w:cs="Tahoma"/>
          <w:color w:val="000000"/>
        </w:rPr>
        <w:t>match</w:t>
      </w:r>
      <w:r w:rsidR="001777D8" w:rsidRPr="001235C8">
        <w:rPr>
          <w:rFonts w:ascii="Calibri" w:hAnsi="Calibri" w:cs="Tahoma"/>
          <w:color w:val="000000"/>
        </w:rPr>
        <w:t>ed</w:t>
      </w:r>
      <w:r w:rsidR="00B459B3" w:rsidRPr="001235C8">
        <w:rPr>
          <w:rFonts w:ascii="Calibri" w:hAnsi="Calibri" w:cs="Tahoma"/>
          <w:color w:val="000000"/>
        </w:rPr>
        <w:t xml:space="preserve"> a</w:t>
      </w:r>
      <w:r w:rsidR="001777D8" w:rsidRPr="001235C8">
        <w:rPr>
          <w:rFonts w:ascii="Calibri" w:hAnsi="Calibri" w:cs="Tahoma"/>
          <w:color w:val="000000"/>
        </w:rPr>
        <w:t>gainst a</w:t>
      </w:r>
      <w:r w:rsidR="00B459B3" w:rsidRPr="001235C8">
        <w:rPr>
          <w:rFonts w:ascii="Calibri" w:hAnsi="Calibri" w:cs="Tahoma"/>
          <w:color w:val="000000"/>
        </w:rPr>
        <w:t xml:space="preserve"> series of public health reportable condition trigger codes. </w:t>
      </w:r>
      <w:r w:rsidR="00DB0BF6" w:rsidRPr="001235C8">
        <w:rPr>
          <w:rFonts w:ascii="Calibri" w:hAnsi="Calibri" w:cs="Tahoma"/>
          <w:color w:val="000000"/>
        </w:rPr>
        <w:t xml:space="preserve"> </w:t>
      </w:r>
      <w:r w:rsidR="00B459B3" w:rsidRPr="001235C8">
        <w:rPr>
          <w:rFonts w:ascii="Calibri" w:hAnsi="Calibri" w:cs="Tahoma"/>
          <w:color w:val="000000"/>
        </w:rPr>
        <w:t xml:space="preserve">The eICR </w:t>
      </w:r>
      <w:r w:rsidR="00DB58AC" w:rsidRPr="001235C8">
        <w:rPr>
          <w:rFonts w:ascii="Calibri" w:hAnsi="Calibri" w:cs="Tahoma"/>
          <w:color w:val="000000"/>
        </w:rPr>
        <w:t>will</w:t>
      </w:r>
      <w:r w:rsidR="00877FAC" w:rsidRPr="001235C8">
        <w:rPr>
          <w:rFonts w:ascii="Calibri" w:hAnsi="Calibri" w:cs="Tahoma"/>
          <w:color w:val="000000"/>
        </w:rPr>
        <w:t xml:space="preserve"> then</w:t>
      </w:r>
      <w:r w:rsidR="00DB58AC" w:rsidRPr="001235C8">
        <w:rPr>
          <w:rFonts w:ascii="Calibri" w:hAnsi="Calibri" w:cs="Tahoma"/>
          <w:color w:val="000000"/>
        </w:rPr>
        <w:t xml:space="preserve"> convey</w:t>
      </w:r>
      <w:r w:rsidR="00274421" w:rsidRPr="001235C8">
        <w:rPr>
          <w:rFonts w:ascii="Calibri" w:hAnsi="Calibri" w:cs="Tahoma"/>
          <w:color w:val="000000"/>
        </w:rPr>
        <w:t xml:space="preserve"> initial</w:t>
      </w:r>
      <w:r w:rsidR="00B459B3" w:rsidRPr="001235C8">
        <w:rPr>
          <w:rFonts w:ascii="Calibri" w:hAnsi="Calibri" w:cs="Tahoma"/>
          <w:color w:val="000000"/>
        </w:rPr>
        <w:t xml:space="preserve"> case data</w:t>
      </w:r>
      <w:r w:rsidR="0076555F" w:rsidRPr="001235C8">
        <w:rPr>
          <w:rFonts w:ascii="Calibri" w:hAnsi="Calibri" w:cs="Tahoma"/>
          <w:color w:val="000000"/>
        </w:rPr>
        <w:t xml:space="preserve"> to a PHA</w:t>
      </w:r>
      <w:r w:rsidR="00B459B3" w:rsidRPr="001235C8">
        <w:rPr>
          <w:rFonts w:ascii="Calibri" w:hAnsi="Calibri" w:cs="Tahoma"/>
          <w:color w:val="000000"/>
        </w:rPr>
        <w:t xml:space="preserve"> that </w:t>
      </w:r>
      <w:r w:rsidR="009C0E6D">
        <w:rPr>
          <w:rFonts w:ascii="Calibri" w:hAnsi="Calibri" w:cs="Tahoma"/>
          <w:color w:val="000000"/>
        </w:rPr>
        <w:t xml:space="preserve">intends to support </w:t>
      </w:r>
      <w:r w:rsidR="006D36F1">
        <w:rPr>
          <w:rFonts w:ascii="Calibri" w:hAnsi="Calibri" w:cs="Tahoma"/>
          <w:color w:val="000000"/>
        </w:rPr>
        <w:t>a</w:t>
      </w:r>
      <w:r w:rsidR="00B459B3" w:rsidRPr="001235C8">
        <w:rPr>
          <w:rFonts w:ascii="Calibri" w:hAnsi="Calibri" w:cs="Tahoma"/>
          <w:color w:val="000000"/>
        </w:rPr>
        <w:t xml:space="preserve">ll reportable conditions in all jurisdictions to ease integration by EHR vendors </w:t>
      </w:r>
      <w:r w:rsidR="00423BF4" w:rsidRPr="001235C8">
        <w:rPr>
          <w:rFonts w:ascii="Calibri" w:hAnsi="Calibri" w:cs="Tahoma"/>
          <w:color w:val="000000"/>
        </w:rPr>
        <w:t xml:space="preserve">and clinical care organizations </w:t>
      </w:r>
      <w:r w:rsidR="0076555F" w:rsidRPr="001235C8">
        <w:rPr>
          <w:rFonts w:ascii="Calibri" w:hAnsi="Calibri" w:cs="Tahoma"/>
          <w:color w:val="000000"/>
        </w:rPr>
        <w:t>so they can support</w:t>
      </w:r>
      <w:r w:rsidR="008C51D5" w:rsidRPr="001235C8">
        <w:rPr>
          <w:rFonts w:ascii="Calibri" w:hAnsi="Calibri" w:cs="Tahoma"/>
          <w:color w:val="000000"/>
        </w:rPr>
        <w:t xml:space="preserve"> this</w:t>
      </w:r>
      <w:r w:rsidR="00423BF4" w:rsidRPr="001235C8">
        <w:rPr>
          <w:rFonts w:ascii="Calibri" w:hAnsi="Calibri" w:cs="Tahoma"/>
          <w:color w:val="000000"/>
        </w:rPr>
        <w:t xml:space="preserve"> critical public health function.</w:t>
      </w:r>
      <w:r w:rsidR="00877FAC" w:rsidRPr="001235C8">
        <w:rPr>
          <w:rFonts w:ascii="Calibri" w:hAnsi="Calibri" w:cs="Tahoma"/>
          <w:color w:val="000000"/>
        </w:rPr>
        <w:t xml:space="preserve"> </w:t>
      </w:r>
      <w:r w:rsidR="00423BF4" w:rsidRPr="001235C8">
        <w:rPr>
          <w:rFonts w:ascii="Calibri" w:hAnsi="Calibri" w:cs="Tahoma"/>
          <w:color w:val="000000"/>
        </w:rPr>
        <w:t>Common data elements</w:t>
      </w:r>
      <w:r w:rsidR="00C23963" w:rsidRPr="001235C8">
        <w:rPr>
          <w:rFonts w:ascii="Calibri" w:hAnsi="Calibri" w:cs="Tahoma"/>
          <w:color w:val="000000"/>
        </w:rPr>
        <w:t xml:space="preserve"> f</w:t>
      </w:r>
      <w:r w:rsidR="00445E7C" w:rsidRPr="001235C8">
        <w:rPr>
          <w:rFonts w:ascii="Calibri" w:hAnsi="Calibri" w:cs="Tahoma"/>
          <w:color w:val="000000"/>
        </w:rPr>
        <w:t xml:space="preserve">or the eICR were identified by a task force of the Council of State and Territorial Epidemiologists (CSTE). </w:t>
      </w:r>
      <w:r w:rsidR="008C51D5" w:rsidRPr="001235C8">
        <w:rPr>
          <w:rFonts w:ascii="Calibri" w:hAnsi="Calibri" w:cs="Tahoma"/>
          <w:color w:val="000000"/>
        </w:rPr>
        <w:t>The data for the eICR are</w:t>
      </w:r>
      <w:r w:rsidR="007F56C2" w:rsidRPr="001235C8">
        <w:rPr>
          <w:rFonts w:ascii="Calibri" w:hAnsi="Calibri" w:cs="Tahoma"/>
          <w:color w:val="000000"/>
        </w:rPr>
        <w:t xml:space="preserve"> drawn from </w:t>
      </w:r>
      <w:r w:rsidR="009C0E6D" w:rsidRPr="001235C8">
        <w:rPr>
          <w:rFonts w:ascii="Calibri" w:hAnsi="Calibri" w:cs="Tahoma"/>
          <w:color w:val="000000"/>
        </w:rPr>
        <w:t>those</w:t>
      </w:r>
      <w:r w:rsidR="009C0E6D">
        <w:rPr>
          <w:rFonts w:ascii="Calibri" w:hAnsi="Calibri" w:cs="Tahoma"/>
          <w:color w:val="000000"/>
        </w:rPr>
        <w:t xml:space="preserve"> supported</w:t>
      </w:r>
      <w:r w:rsidR="008C51D5" w:rsidRPr="001235C8">
        <w:rPr>
          <w:rFonts w:ascii="Calibri" w:hAnsi="Calibri" w:cs="Tahoma"/>
          <w:color w:val="000000"/>
        </w:rPr>
        <w:t xml:space="preserve"> in certified EHRs</w:t>
      </w:r>
      <w:r w:rsidR="0083565E">
        <w:rPr>
          <w:rFonts w:ascii="Calibri" w:hAnsi="Calibri" w:cs="Tahoma"/>
          <w:color w:val="000000"/>
        </w:rPr>
        <w:t xml:space="preserve"> and are </w:t>
      </w:r>
      <w:r w:rsidR="00876E32">
        <w:rPr>
          <w:rFonts w:ascii="Calibri" w:hAnsi="Calibri" w:cs="Tahoma"/>
          <w:color w:val="000000"/>
        </w:rPr>
        <w:t xml:space="preserve">considered </w:t>
      </w:r>
      <w:r w:rsidR="0083565E">
        <w:rPr>
          <w:rFonts w:ascii="Calibri" w:hAnsi="Calibri" w:cs="Tahoma"/>
          <w:color w:val="000000"/>
        </w:rPr>
        <w:t>critical for reporting or the initiation of a public health investigation</w:t>
      </w:r>
      <w:r w:rsidR="007F56C2" w:rsidRPr="001235C8">
        <w:rPr>
          <w:rFonts w:ascii="Calibri" w:hAnsi="Calibri" w:cs="Tahoma"/>
          <w:color w:val="000000"/>
        </w:rPr>
        <w:t xml:space="preserve">. </w:t>
      </w:r>
      <w:r w:rsidR="00445E7C" w:rsidRPr="001235C8">
        <w:rPr>
          <w:rFonts w:ascii="Calibri" w:hAnsi="Calibri" w:cs="Tahoma"/>
          <w:color w:val="000000"/>
        </w:rPr>
        <w:t xml:space="preserve">These data elements </w:t>
      </w:r>
      <w:r w:rsidR="0098651F">
        <w:rPr>
          <w:rFonts w:ascii="Calibri" w:hAnsi="Calibri" w:cs="Tahoma"/>
          <w:color w:val="000000"/>
        </w:rPr>
        <w:t>are</w:t>
      </w:r>
      <w:r w:rsidR="00445E7C" w:rsidRPr="001235C8">
        <w:rPr>
          <w:rFonts w:ascii="Calibri" w:hAnsi="Calibri" w:cs="Tahoma"/>
          <w:color w:val="000000"/>
        </w:rPr>
        <w:t xml:space="preserve"> mapped to Consolidated Clinical Document Architecture (C-CDA) templates. </w:t>
      </w:r>
    </w:p>
    <w:p w14:paraId="7D404539" w14:textId="77777777" w:rsidR="00DB58AC" w:rsidRPr="001235C8" w:rsidRDefault="00DB58AC" w:rsidP="00AE3357">
      <w:pPr>
        <w:pStyle w:val="NormalWeb"/>
        <w:rPr>
          <w:rFonts w:ascii="Calibri" w:hAnsi="Calibri" w:cs="Tahoma"/>
          <w:color w:val="000000"/>
        </w:rPr>
      </w:pPr>
    </w:p>
    <w:p w14:paraId="25AC9697" w14:textId="2019A15F" w:rsidR="00AE3357" w:rsidRDefault="00B459B3" w:rsidP="00AE3357">
      <w:pPr>
        <w:pStyle w:val="NormalWeb"/>
        <w:rPr>
          <w:rFonts w:ascii="Calibri" w:hAnsi="Calibri" w:cs="Tahoma"/>
          <w:color w:val="000000"/>
        </w:rPr>
      </w:pPr>
      <w:r w:rsidRPr="001235C8">
        <w:rPr>
          <w:rFonts w:ascii="Calibri" w:hAnsi="Calibri" w:cs="Tahoma"/>
          <w:color w:val="000000"/>
        </w:rPr>
        <w:t xml:space="preserve">In some circumstances the eICR will be all that is needed </w:t>
      </w:r>
      <w:r w:rsidR="005B4406">
        <w:rPr>
          <w:rFonts w:ascii="Calibri" w:hAnsi="Calibri" w:cs="Tahoma"/>
          <w:color w:val="000000"/>
        </w:rPr>
        <w:t xml:space="preserve">to support public health reporting. </w:t>
      </w:r>
      <w:r w:rsidR="00EC16D9" w:rsidRPr="00EC16D9">
        <w:rPr>
          <w:rFonts w:ascii="Calibri" w:hAnsi="Calibri" w:cs="Tahoma"/>
          <w:color w:val="000000"/>
        </w:rPr>
        <w:t xml:space="preserve">Having electronic case reports on reportable condition sent from EHRs and received by PHAs will represent a significant accomplishment of interoperability between healthcare and public </w:t>
      </w:r>
      <w:r w:rsidR="00EC16D9" w:rsidRPr="00EC16D9">
        <w:rPr>
          <w:rFonts w:ascii="Calibri" w:hAnsi="Calibri" w:cs="Tahoma"/>
          <w:color w:val="000000"/>
        </w:rPr>
        <w:lastRenderedPageBreak/>
        <w:t>health</w:t>
      </w:r>
      <w:r w:rsidRPr="001235C8">
        <w:rPr>
          <w:rFonts w:ascii="Calibri" w:hAnsi="Calibri" w:cs="Tahoma"/>
          <w:color w:val="000000"/>
        </w:rPr>
        <w:t xml:space="preserve">. </w:t>
      </w:r>
      <w:r w:rsidR="005B4406">
        <w:rPr>
          <w:rFonts w:ascii="Calibri" w:hAnsi="Calibri" w:cs="Tahoma"/>
          <w:color w:val="000000"/>
        </w:rPr>
        <w:t>T</w:t>
      </w:r>
      <w:r w:rsidRPr="001235C8">
        <w:rPr>
          <w:rFonts w:ascii="Calibri" w:hAnsi="Calibri" w:cs="Tahoma"/>
          <w:color w:val="000000"/>
        </w:rPr>
        <w:t xml:space="preserve">he eICR </w:t>
      </w:r>
      <w:r w:rsidR="005B4406">
        <w:rPr>
          <w:rFonts w:ascii="Calibri" w:hAnsi="Calibri" w:cs="Tahoma"/>
          <w:color w:val="000000"/>
        </w:rPr>
        <w:t xml:space="preserve">may </w:t>
      </w:r>
      <w:r w:rsidR="0076555F" w:rsidRPr="001235C8">
        <w:rPr>
          <w:rFonts w:ascii="Calibri" w:hAnsi="Calibri" w:cs="Tahoma"/>
          <w:color w:val="000000"/>
        </w:rPr>
        <w:t>lead to</w:t>
      </w:r>
      <w:r w:rsidRPr="001235C8">
        <w:rPr>
          <w:rFonts w:ascii="Calibri" w:hAnsi="Calibri" w:cs="Tahoma"/>
          <w:color w:val="000000"/>
        </w:rPr>
        <w:t xml:space="preserve"> </w:t>
      </w:r>
      <w:r w:rsidR="006B5964">
        <w:rPr>
          <w:rFonts w:ascii="Calibri" w:hAnsi="Calibri" w:cs="Tahoma"/>
          <w:color w:val="000000"/>
        </w:rPr>
        <w:t xml:space="preserve">the reporting of </w:t>
      </w:r>
      <w:r w:rsidRPr="001235C8">
        <w:rPr>
          <w:rFonts w:ascii="Calibri" w:hAnsi="Calibri" w:cs="Tahoma"/>
          <w:color w:val="000000"/>
        </w:rPr>
        <w:t xml:space="preserve">additional </w:t>
      </w:r>
      <w:r w:rsidR="006B5964">
        <w:rPr>
          <w:rFonts w:ascii="Calibri" w:hAnsi="Calibri" w:cs="Tahoma"/>
          <w:color w:val="000000"/>
        </w:rPr>
        <w:t>data</w:t>
      </w:r>
      <w:r w:rsidR="0083565E">
        <w:rPr>
          <w:rFonts w:ascii="Calibri" w:hAnsi="Calibri" w:cs="Tahoma"/>
          <w:color w:val="000000"/>
        </w:rPr>
        <w:t xml:space="preserve"> or follow-up</w:t>
      </w:r>
      <w:r w:rsidR="006B5964">
        <w:rPr>
          <w:rFonts w:ascii="Calibri" w:hAnsi="Calibri" w:cs="Tahoma"/>
          <w:color w:val="000000"/>
        </w:rPr>
        <w:t xml:space="preserve"> by the PHA</w:t>
      </w:r>
      <w:r w:rsidRPr="001235C8">
        <w:rPr>
          <w:rFonts w:ascii="Calibri" w:hAnsi="Calibri" w:cs="Tahoma"/>
          <w:color w:val="000000"/>
        </w:rPr>
        <w:t xml:space="preserve"> to confirm reportability, provide condition-specifi</w:t>
      </w:r>
      <w:r w:rsidR="008D29E2" w:rsidRPr="001235C8">
        <w:rPr>
          <w:rFonts w:ascii="Calibri" w:hAnsi="Calibri" w:cs="Tahoma"/>
          <w:color w:val="000000"/>
        </w:rPr>
        <w:t>c or public health jurisdiction-</w:t>
      </w:r>
      <w:r w:rsidRPr="001235C8">
        <w:rPr>
          <w:rFonts w:ascii="Calibri" w:hAnsi="Calibri" w:cs="Tahoma"/>
          <w:color w:val="000000"/>
        </w:rPr>
        <w:t xml:space="preserve">specific </w:t>
      </w:r>
      <w:r w:rsidR="006B5964">
        <w:rPr>
          <w:rFonts w:ascii="Calibri" w:hAnsi="Calibri" w:cs="Tahoma"/>
          <w:color w:val="000000"/>
        </w:rPr>
        <w:t>case</w:t>
      </w:r>
      <w:r w:rsidR="00DB58AC" w:rsidRPr="001235C8">
        <w:rPr>
          <w:rFonts w:ascii="Calibri" w:hAnsi="Calibri" w:cs="Tahoma"/>
          <w:color w:val="000000"/>
        </w:rPr>
        <w:t xml:space="preserve"> </w:t>
      </w:r>
      <w:r w:rsidRPr="001235C8">
        <w:rPr>
          <w:rFonts w:ascii="Calibri" w:hAnsi="Calibri" w:cs="Tahoma"/>
          <w:color w:val="000000"/>
        </w:rPr>
        <w:t xml:space="preserve">data, </w:t>
      </w:r>
      <w:r w:rsidR="006B5964">
        <w:rPr>
          <w:rFonts w:ascii="Calibri" w:hAnsi="Calibri" w:cs="Tahoma"/>
          <w:color w:val="000000"/>
        </w:rPr>
        <w:t>and/</w:t>
      </w:r>
      <w:r w:rsidRPr="001235C8">
        <w:rPr>
          <w:rFonts w:ascii="Calibri" w:hAnsi="Calibri" w:cs="Tahoma"/>
          <w:color w:val="000000"/>
        </w:rPr>
        <w:t>or support public health investigation, contact tracing</w:t>
      </w:r>
      <w:r w:rsidR="00E21CC3" w:rsidRPr="001235C8">
        <w:rPr>
          <w:rFonts w:ascii="Calibri" w:hAnsi="Calibri" w:cs="Tahoma"/>
          <w:color w:val="000000"/>
        </w:rPr>
        <w:t>,</w:t>
      </w:r>
      <w:r w:rsidRPr="001235C8">
        <w:rPr>
          <w:rFonts w:ascii="Calibri" w:hAnsi="Calibri" w:cs="Tahoma"/>
          <w:color w:val="000000"/>
        </w:rPr>
        <w:t xml:space="preserve"> </w:t>
      </w:r>
      <w:r w:rsidR="008D29E2" w:rsidRPr="001235C8">
        <w:rPr>
          <w:rFonts w:ascii="Calibri" w:hAnsi="Calibri" w:cs="Tahoma"/>
          <w:color w:val="000000"/>
        </w:rPr>
        <w:t>and/or countermeasure administration.</w:t>
      </w:r>
    </w:p>
    <w:p w14:paraId="2B9E68D2" w14:textId="77777777" w:rsidR="00787368" w:rsidRPr="001235C8" w:rsidRDefault="00787368" w:rsidP="00AE3357">
      <w:pPr>
        <w:pStyle w:val="NormalWeb"/>
        <w:rPr>
          <w:rFonts w:ascii="Calibri" w:hAnsi="Calibri" w:cs="Tahoma"/>
          <w:color w:val="000000"/>
        </w:rPr>
      </w:pPr>
    </w:p>
    <w:p w14:paraId="4941C72B" w14:textId="77F7B8F7" w:rsidR="008D62F0" w:rsidRDefault="00CA2881" w:rsidP="00AE3357">
      <w:pPr>
        <w:pStyle w:val="NormalWeb"/>
        <w:rPr>
          <w:rFonts w:ascii="Calibri" w:hAnsi="Calibri" w:cs="Tahoma"/>
          <w:color w:val="000000"/>
        </w:rPr>
      </w:pPr>
      <w:r w:rsidRPr="001235C8">
        <w:rPr>
          <w:rFonts w:ascii="Calibri" w:hAnsi="Calibri" w:cs="Tahoma"/>
          <w:color w:val="000000"/>
        </w:rPr>
        <w:t>The eICR</w:t>
      </w:r>
      <w:r w:rsidR="00C23963" w:rsidRPr="001235C8">
        <w:rPr>
          <w:rFonts w:ascii="Calibri" w:hAnsi="Calibri" w:cs="Tahoma"/>
          <w:color w:val="000000"/>
        </w:rPr>
        <w:t xml:space="preserve"> </w:t>
      </w:r>
      <w:r w:rsidR="00DB0BF6" w:rsidRPr="001235C8">
        <w:rPr>
          <w:rFonts w:ascii="Calibri" w:hAnsi="Calibri" w:cs="Tahoma"/>
          <w:color w:val="000000"/>
        </w:rPr>
        <w:t xml:space="preserve">itself </w:t>
      </w:r>
      <w:r w:rsidR="00C23963" w:rsidRPr="001235C8">
        <w:rPr>
          <w:rFonts w:ascii="Calibri" w:hAnsi="Calibri" w:cs="Tahoma"/>
          <w:color w:val="000000"/>
        </w:rPr>
        <w:t>may be conveyed</w:t>
      </w:r>
      <w:r w:rsidR="00DB0BF6" w:rsidRPr="001235C8">
        <w:rPr>
          <w:rFonts w:ascii="Calibri" w:hAnsi="Calibri" w:cs="Tahoma"/>
          <w:color w:val="000000"/>
        </w:rPr>
        <w:t xml:space="preserve"> or referenced</w:t>
      </w:r>
      <w:r w:rsidR="00C23963" w:rsidRPr="001235C8">
        <w:rPr>
          <w:rFonts w:ascii="Calibri" w:hAnsi="Calibri" w:cs="Tahoma"/>
          <w:color w:val="000000"/>
        </w:rPr>
        <w:t xml:space="preserve"> by a number of different transport methods. </w:t>
      </w:r>
      <w:r w:rsidRPr="001235C8">
        <w:rPr>
          <w:rFonts w:ascii="Calibri" w:hAnsi="Calibri" w:cs="Tahoma"/>
          <w:color w:val="000000"/>
        </w:rPr>
        <w:t>It will serve as input t</w:t>
      </w:r>
      <w:r w:rsidR="00FD31A6">
        <w:rPr>
          <w:rFonts w:ascii="Calibri" w:hAnsi="Calibri" w:cs="Tahoma"/>
          <w:color w:val="000000"/>
        </w:rPr>
        <w:t xml:space="preserve">o </w:t>
      </w:r>
      <w:r w:rsidR="001C3B6C" w:rsidRPr="001235C8">
        <w:rPr>
          <w:rFonts w:ascii="Calibri" w:hAnsi="Calibri" w:cs="Tahoma"/>
          <w:color w:val="000000"/>
        </w:rPr>
        <w:t>reportability</w:t>
      </w:r>
      <w:r w:rsidRPr="001235C8">
        <w:rPr>
          <w:rFonts w:ascii="Calibri" w:hAnsi="Calibri" w:cs="Tahoma"/>
          <w:color w:val="000000"/>
        </w:rPr>
        <w:t xml:space="preserve"> evaluation</w:t>
      </w:r>
      <w:r w:rsidR="00FD31A6">
        <w:rPr>
          <w:rFonts w:ascii="Calibri" w:hAnsi="Calibri" w:cs="Tahoma"/>
          <w:color w:val="000000"/>
        </w:rPr>
        <w:t xml:space="preserve">, including </w:t>
      </w:r>
      <w:r w:rsidR="006B5964">
        <w:rPr>
          <w:rFonts w:ascii="Calibri" w:hAnsi="Calibri" w:cs="Tahoma"/>
          <w:color w:val="000000"/>
        </w:rPr>
        <w:t xml:space="preserve">that performed by </w:t>
      </w:r>
      <w:r w:rsidR="00FD31A6">
        <w:rPr>
          <w:rFonts w:ascii="Calibri" w:hAnsi="Calibri" w:cs="Tahoma"/>
          <w:color w:val="000000"/>
        </w:rPr>
        <w:t>public health decision support systems, such as</w:t>
      </w:r>
      <w:r w:rsidRPr="001235C8">
        <w:rPr>
          <w:rFonts w:ascii="Calibri" w:hAnsi="Calibri" w:cs="Tahoma"/>
          <w:color w:val="000000"/>
        </w:rPr>
        <w:t xml:space="preserve"> the CSTE/CDC Reportable Conditions Knowledge Management System (RCKMS</w:t>
      </w:r>
      <w:r w:rsidR="00FD31A6">
        <w:rPr>
          <w:rStyle w:val="FootnoteReference"/>
          <w:rFonts w:ascii="Calibri" w:hAnsi="Calibri" w:cs="Tahoma"/>
          <w:color w:val="000000"/>
        </w:rPr>
        <w:footnoteReference w:id="1"/>
      </w:r>
      <w:r w:rsidRPr="001235C8">
        <w:rPr>
          <w:rFonts w:ascii="Calibri" w:hAnsi="Calibri" w:cs="Tahoma"/>
          <w:color w:val="000000"/>
        </w:rPr>
        <w:t xml:space="preserve">) and others. The </w:t>
      </w:r>
      <w:r w:rsidR="009B6E55">
        <w:rPr>
          <w:rFonts w:ascii="Calibri" w:hAnsi="Calibri" w:cs="Tahoma"/>
          <w:color w:val="000000"/>
        </w:rPr>
        <w:t>ONC</w:t>
      </w:r>
      <w:r w:rsidR="00F3757D">
        <w:rPr>
          <w:rFonts w:ascii="Calibri" w:hAnsi="Calibri" w:cs="Tahoma"/>
          <w:color w:val="000000"/>
        </w:rPr>
        <w:t xml:space="preserve"> </w:t>
      </w:r>
      <w:r w:rsidRPr="001235C8">
        <w:rPr>
          <w:rFonts w:ascii="Calibri" w:hAnsi="Calibri" w:cs="Tahoma"/>
          <w:color w:val="000000"/>
        </w:rPr>
        <w:t>Structured Data Capture (SDC)</w:t>
      </w:r>
      <w:r w:rsidR="009B6E55">
        <w:rPr>
          <w:rFonts w:ascii="Calibri" w:hAnsi="Calibri" w:cs="Tahoma"/>
          <w:color w:val="000000"/>
        </w:rPr>
        <w:t xml:space="preserve"> initiative</w:t>
      </w:r>
      <w:r w:rsidRPr="001235C8">
        <w:rPr>
          <w:rFonts w:ascii="Calibri" w:hAnsi="Calibri" w:cs="Tahoma"/>
          <w:color w:val="000000"/>
        </w:rPr>
        <w:t xml:space="preserve"> standard </w:t>
      </w:r>
      <w:r w:rsidR="00787368">
        <w:rPr>
          <w:rFonts w:ascii="Calibri" w:hAnsi="Calibri" w:cs="Tahoma"/>
          <w:color w:val="000000"/>
        </w:rPr>
        <w:t>may</w:t>
      </w:r>
      <w:r w:rsidR="0076555F" w:rsidRPr="001235C8">
        <w:rPr>
          <w:rFonts w:ascii="Calibri" w:hAnsi="Calibri" w:cs="Tahoma"/>
          <w:color w:val="000000"/>
        </w:rPr>
        <w:t xml:space="preserve"> be a good </w:t>
      </w:r>
      <w:r w:rsidRPr="001235C8">
        <w:rPr>
          <w:rFonts w:ascii="Calibri" w:hAnsi="Calibri" w:cs="Tahoma"/>
          <w:color w:val="000000"/>
        </w:rPr>
        <w:t xml:space="preserve">complement to the eICR for </w:t>
      </w:r>
      <w:r w:rsidR="00C32DC0" w:rsidRPr="001235C8">
        <w:rPr>
          <w:rFonts w:ascii="Calibri" w:hAnsi="Calibri" w:cs="Tahoma"/>
          <w:color w:val="000000"/>
        </w:rPr>
        <w:t xml:space="preserve">the purpose of manually </w:t>
      </w:r>
      <w:r w:rsidRPr="001235C8">
        <w:rPr>
          <w:rFonts w:ascii="Calibri" w:hAnsi="Calibri" w:cs="Tahoma"/>
          <w:color w:val="000000"/>
        </w:rPr>
        <w:t xml:space="preserve">capturing </w:t>
      </w:r>
      <w:r w:rsidR="00901A87">
        <w:rPr>
          <w:rFonts w:ascii="Calibri" w:hAnsi="Calibri" w:cs="Tahoma"/>
          <w:color w:val="000000"/>
        </w:rPr>
        <w:t xml:space="preserve">supplemental </w:t>
      </w:r>
      <w:r w:rsidR="004C143A" w:rsidRPr="001235C8">
        <w:rPr>
          <w:rFonts w:ascii="Calibri" w:hAnsi="Calibri" w:cs="Tahoma"/>
          <w:color w:val="000000"/>
        </w:rPr>
        <w:t>disease</w:t>
      </w:r>
      <w:r w:rsidR="00787368">
        <w:rPr>
          <w:rFonts w:ascii="Calibri" w:hAnsi="Calibri" w:cs="Tahoma"/>
          <w:color w:val="000000"/>
        </w:rPr>
        <w:t>-</w:t>
      </w:r>
      <w:r w:rsidR="004C143A" w:rsidRPr="001235C8">
        <w:rPr>
          <w:rFonts w:ascii="Calibri" w:hAnsi="Calibri" w:cs="Tahoma"/>
          <w:color w:val="000000"/>
        </w:rPr>
        <w:t>specific</w:t>
      </w:r>
      <w:r w:rsidR="0076555F" w:rsidRPr="001235C8">
        <w:rPr>
          <w:rFonts w:ascii="Calibri" w:hAnsi="Calibri" w:cs="Tahoma"/>
          <w:color w:val="000000"/>
        </w:rPr>
        <w:t xml:space="preserve"> </w:t>
      </w:r>
      <w:r w:rsidR="004C143A" w:rsidRPr="001235C8">
        <w:rPr>
          <w:rFonts w:ascii="Calibri" w:hAnsi="Calibri" w:cs="Tahoma"/>
          <w:color w:val="000000"/>
        </w:rPr>
        <w:t xml:space="preserve">data </w:t>
      </w:r>
      <w:r w:rsidR="00135329">
        <w:rPr>
          <w:rFonts w:ascii="Calibri" w:hAnsi="Calibri" w:cs="Tahoma"/>
          <w:color w:val="000000"/>
        </w:rPr>
        <w:t xml:space="preserve">that may not be available in the EHR </w:t>
      </w:r>
      <w:r w:rsidR="004C143A" w:rsidRPr="001235C8">
        <w:rPr>
          <w:rFonts w:ascii="Calibri" w:hAnsi="Calibri" w:cs="Tahoma"/>
          <w:color w:val="000000"/>
        </w:rPr>
        <w:t xml:space="preserve">into </w:t>
      </w:r>
      <w:r w:rsidRPr="001235C8">
        <w:rPr>
          <w:rFonts w:ascii="Calibri" w:hAnsi="Calibri" w:cs="Tahoma"/>
          <w:color w:val="000000"/>
        </w:rPr>
        <w:t xml:space="preserve">forms. </w:t>
      </w:r>
      <w:r w:rsidR="00AC536A">
        <w:rPr>
          <w:rFonts w:ascii="Calibri" w:hAnsi="Calibri" w:cs="Tahoma"/>
          <w:color w:val="000000"/>
        </w:rPr>
        <w:t>While out of scope for this IG, r</w:t>
      </w:r>
      <w:r w:rsidR="00C23963" w:rsidRPr="001235C8">
        <w:rPr>
          <w:rFonts w:ascii="Calibri" w:hAnsi="Calibri" w:cs="Tahoma"/>
          <w:color w:val="000000"/>
        </w:rPr>
        <w:t xml:space="preserve">eceiving an eICR will also allow </w:t>
      </w:r>
      <w:r w:rsidR="009B61EF" w:rsidRPr="001235C8">
        <w:rPr>
          <w:rFonts w:ascii="Calibri" w:hAnsi="Calibri" w:cs="Tahoma"/>
          <w:color w:val="000000"/>
        </w:rPr>
        <w:t>PHAs</w:t>
      </w:r>
      <w:r w:rsidR="00C23963" w:rsidRPr="001235C8">
        <w:rPr>
          <w:rFonts w:ascii="Calibri" w:hAnsi="Calibri" w:cs="Tahoma"/>
          <w:color w:val="000000"/>
        </w:rPr>
        <w:t xml:space="preserve"> to communicate the </w:t>
      </w:r>
      <w:r w:rsidR="001C3B6C" w:rsidRPr="001235C8">
        <w:rPr>
          <w:rFonts w:ascii="Calibri" w:hAnsi="Calibri" w:cs="Tahoma"/>
          <w:color w:val="000000"/>
        </w:rPr>
        <w:t>reportability</w:t>
      </w:r>
      <w:r w:rsidR="00C23963" w:rsidRPr="001235C8">
        <w:rPr>
          <w:rFonts w:ascii="Calibri" w:hAnsi="Calibri" w:cs="Tahoma"/>
          <w:color w:val="000000"/>
        </w:rPr>
        <w:t xml:space="preserve"> of a condition</w:t>
      </w:r>
      <w:r w:rsidR="00AC536A">
        <w:rPr>
          <w:rFonts w:ascii="Calibri" w:hAnsi="Calibri" w:cs="Tahoma"/>
          <w:color w:val="000000"/>
        </w:rPr>
        <w:t>, along with other relevant public health information,</w:t>
      </w:r>
      <w:r w:rsidR="00C23963" w:rsidRPr="001235C8">
        <w:rPr>
          <w:rFonts w:ascii="Calibri" w:hAnsi="Calibri" w:cs="Tahoma"/>
          <w:color w:val="000000"/>
        </w:rPr>
        <w:t xml:space="preserve"> back to clinical care personnel</w:t>
      </w:r>
      <w:r w:rsidR="00AC536A">
        <w:rPr>
          <w:rFonts w:ascii="Calibri" w:hAnsi="Calibri" w:cs="Tahoma"/>
          <w:color w:val="000000"/>
        </w:rPr>
        <w:t xml:space="preserve">. </w:t>
      </w:r>
      <w:r w:rsidR="00135329" w:rsidRPr="00135329">
        <w:t xml:space="preserve"> </w:t>
      </w:r>
    </w:p>
    <w:p w14:paraId="59633A9A" w14:textId="77777777" w:rsidR="008D62F0" w:rsidRDefault="008D62F0" w:rsidP="00AE3357">
      <w:pPr>
        <w:pStyle w:val="NormalWeb"/>
        <w:rPr>
          <w:rFonts w:ascii="Calibri" w:hAnsi="Calibri" w:cs="Tahoma"/>
          <w:color w:val="000000"/>
        </w:rPr>
      </w:pPr>
    </w:p>
    <w:p w14:paraId="47FE9BB9" w14:textId="6EF3EA27" w:rsidR="00AE3357" w:rsidRPr="00B049B3" w:rsidRDefault="00C22B23" w:rsidP="00B049B3">
      <w:pPr>
        <w:pStyle w:val="Heading2nospace"/>
        <w:rPr>
          <w:rFonts w:asciiTheme="minorHAnsi" w:hAnsiTheme="minorHAnsi"/>
          <w:i w:val="0"/>
        </w:rPr>
      </w:pPr>
      <w:bookmarkStart w:id="2" w:name="_Toc436033849"/>
      <w:r w:rsidRPr="00B049B3">
        <w:rPr>
          <w:rFonts w:asciiTheme="minorHAnsi" w:hAnsiTheme="minorHAnsi"/>
          <w:i w:val="0"/>
        </w:rPr>
        <w:t>1.2 Audience</w:t>
      </w:r>
      <w:bookmarkEnd w:id="2"/>
    </w:p>
    <w:p w14:paraId="0DA8D95C" w14:textId="77777777" w:rsidR="005B6B9E" w:rsidRDefault="005B6B9E" w:rsidP="00AE3357">
      <w:pPr>
        <w:pStyle w:val="NormalWeb"/>
        <w:rPr>
          <w:rFonts w:ascii="Calibri" w:hAnsi="Calibri" w:cs="Tahoma"/>
          <w:color w:val="000000"/>
          <w:sz w:val="28"/>
          <w:szCs w:val="28"/>
        </w:rPr>
      </w:pPr>
    </w:p>
    <w:p w14:paraId="21A74709" w14:textId="125069D8" w:rsidR="005B6B9E" w:rsidRPr="001235C8" w:rsidRDefault="005B6B9E" w:rsidP="00AE3357">
      <w:pPr>
        <w:pStyle w:val="NormalWeb"/>
        <w:rPr>
          <w:rFonts w:ascii="Calibri" w:hAnsi="Calibri" w:cs="Tahoma"/>
          <w:color w:val="000000"/>
        </w:rPr>
      </w:pPr>
      <w:r w:rsidRPr="001235C8">
        <w:rPr>
          <w:rFonts w:ascii="Calibri" w:hAnsi="Calibri" w:cs="Tahoma"/>
          <w:color w:val="000000"/>
        </w:rPr>
        <w:t>This IG is designed to provide EHR vendors with the specifications for developing the functionality of EHRs used in hospitals and by ambulatory care providers to report</w:t>
      </w:r>
      <w:r w:rsidR="00901A87">
        <w:rPr>
          <w:rFonts w:ascii="Calibri" w:hAnsi="Calibri" w:cs="Tahoma"/>
          <w:color w:val="000000"/>
        </w:rPr>
        <w:t xml:space="preserve"> potential</w:t>
      </w:r>
      <w:r w:rsidRPr="001235C8">
        <w:rPr>
          <w:rFonts w:ascii="Calibri" w:hAnsi="Calibri" w:cs="Tahoma"/>
          <w:color w:val="000000"/>
        </w:rPr>
        <w:t xml:space="preserve"> cases</w:t>
      </w:r>
      <w:r w:rsidR="00901A87">
        <w:rPr>
          <w:rFonts w:ascii="Calibri" w:hAnsi="Calibri" w:cs="Tahoma"/>
          <w:color w:val="000000"/>
        </w:rPr>
        <w:t xml:space="preserve"> of reportable conditions</w:t>
      </w:r>
      <w:r w:rsidRPr="001235C8">
        <w:rPr>
          <w:rFonts w:ascii="Calibri" w:hAnsi="Calibri" w:cs="Tahoma"/>
          <w:color w:val="000000"/>
        </w:rPr>
        <w:t xml:space="preserve"> to PHAs. </w:t>
      </w:r>
      <w:r w:rsidR="008C05F2">
        <w:rPr>
          <w:rFonts w:ascii="Calibri" w:hAnsi="Calibri" w:cs="Tahoma"/>
          <w:color w:val="000000"/>
        </w:rPr>
        <w:t xml:space="preserve">This IG is designed to provide public health surveillance systems developers the specifications for implementing functionality used by PHAs to </w:t>
      </w:r>
      <w:r w:rsidR="00AC536A" w:rsidRPr="00AC536A">
        <w:rPr>
          <w:rFonts w:ascii="Calibri" w:hAnsi="Calibri" w:cs="Tahoma"/>
          <w:color w:val="000000"/>
        </w:rPr>
        <w:t>receive, process, and store or archive the eICRs.</w:t>
      </w:r>
      <w:r w:rsidR="008C05F2">
        <w:rPr>
          <w:rFonts w:ascii="Calibri" w:hAnsi="Calibri" w:cs="Tahoma"/>
          <w:color w:val="000000"/>
        </w:rPr>
        <w:t xml:space="preserve"> </w:t>
      </w:r>
      <w:r w:rsidRPr="001235C8">
        <w:rPr>
          <w:rFonts w:ascii="Calibri" w:hAnsi="Calibri" w:cs="Tahoma"/>
          <w:color w:val="000000"/>
        </w:rPr>
        <w:t xml:space="preserve">The IG will also be informative to health care providers, public health </w:t>
      </w:r>
      <w:r w:rsidR="008C05F2">
        <w:rPr>
          <w:rFonts w:ascii="Calibri" w:hAnsi="Calibri" w:cs="Tahoma"/>
          <w:color w:val="000000"/>
        </w:rPr>
        <w:t>staff</w:t>
      </w:r>
      <w:r w:rsidRPr="001235C8">
        <w:rPr>
          <w:rFonts w:ascii="Calibri" w:hAnsi="Calibri" w:cs="Tahoma"/>
          <w:color w:val="000000"/>
        </w:rPr>
        <w:t>,</w:t>
      </w:r>
      <w:r w:rsidR="008C05F2">
        <w:rPr>
          <w:rFonts w:ascii="Calibri" w:hAnsi="Calibri" w:cs="Tahoma"/>
          <w:color w:val="000000"/>
        </w:rPr>
        <w:t xml:space="preserve"> analysts, and</w:t>
      </w:r>
      <w:r w:rsidRPr="001235C8">
        <w:rPr>
          <w:rFonts w:ascii="Calibri" w:hAnsi="Calibri" w:cs="Tahoma"/>
          <w:color w:val="000000"/>
        </w:rPr>
        <w:t xml:space="preserve"> health information exchange organizations</w:t>
      </w:r>
      <w:r w:rsidR="00876E32">
        <w:rPr>
          <w:rFonts w:ascii="Calibri" w:hAnsi="Calibri" w:cs="Tahoma"/>
          <w:color w:val="000000"/>
        </w:rPr>
        <w:t xml:space="preserve"> among others</w:t>
      </w:r>
      <w:r w:rsidRPr="001235C8">
        <w:rPr>
          <w:rFonts w:ascii="Calibri" w:hAnsi="Calibri" w:cs="Tahoma"/>
          <w:color w:val="000000"/>
        </w:rPr>
        <w:t>. Users of this IG must be familiar with the details of the H</w:t>
      </w:r>
      <w:r w:rsidR="0076555F" w:rsidRPr="001235C8">
        <w:rPr>
          <w:rFonts w:ascii="Calibri" w:hAnsi="Calibri" w:cs="Tahoma"/>
          <w:color w:val="000000"/>
        </w:rPr>
        <w:t>L7 CDA R2 document construction and the C-CDA templates.</w:t>
      </w:r>
    </w:p>
    <w:p w14:paraId="295CE8FB" w14:textId="77777777" w:rsidR="00AE3357" w:rsidRDefault="00AE3357" w:rsidP="00AE3357">
      <w:pPr>
        <w:pStyle w:val="NormalWeb"/>
        <w:rPr>
          <w:rFonts w:ascii="Calibri" w:hAnsi="Calibri" w:cs="Tahoma"/>
          <w:color w:val="000000"/>
          <w:sz w:val="28"/>
          <w:szCs w:val="28"/>
        </w:rPr>
      </w:pPr>
    </w:p>
    <w:p w14:paraId="20C617B2" w14:textId="73EE6690" w:rsidR="005B6B9E" w:rsidRPr="00B049B3" w:rsidRDefault="00C22B23" w:rsidP="00B049B3">
      <w:pPr>
        <w:pStyle w:val="Heading2nospace"/>
        <w:rPr>
          <w:rFonts w:asciiTheme="minorHAnsi" w:hAnsiTheme="minorHAnsi"/>
          <w:i w:val="0"/>
        </w:rPr>
      </w:pPr>
      <w:bookmarkStart w:id="3" w:name="_Toc436033850"/>
      <w:r w:rsidRPr="00B049B3">
        <w:rPr>
          <w:rFonts w:asciiTheme="minorHAnsi" w:hAnsiTheme="minorHAnsi"/>
          <w:i w:val="0"/>
        </w:rPr>
        <w:t>1.3 Background</w:t>
      </w:r>
      <w:bookmarkEnd w:id="3"/>
      <w:r w:rsidRPr="00B049B3">
        <w:rPr>
          <w:rFonts w:asciiTheme="minorHAnsi" w:hAnsiTheme="minorHAnsi"/>
          <w:i w:val="0"/>
        </w:rPr>
        <w:t xml:space="preserve"> </w:t>
      </w:r>
    </w:p>
    <w:p w14:paraId="3D24BCE4" w14:textId="77777777" w:rsidR="0028488C" w:rsidRDefault="0028488C" w:rsidP="0028488C">
      <w:pPr>
        <w:pStyle w:val="NormalWeb"/>
        <w:contextualSpacing/>
        <w:rPr>
          <w:rFonts w:ascii="Calibri" w:hAnsi="Calibri" w:cs="Tahoma"/>
          <w:color w:val="000000"/>
        </w:rPr>
      </w:pPr>
    </w:p>
    <w:p w14:paraId="438EF419" w14:textId="10350677" w:rsidR="00612DEB" w:rsidRDefault="006F51B7" w:rsidP="0028488C">
      <w:pPr>
        <w:pStyle w:val="NormalWeb"/>
        <w:contextualSpacing/>
        <w:rPr>
          <w:rFonts w:ascii="Calibri" w:hAnsi="Calibri" w:cs="Tahoma"/>
          <w:color w:val="000000"/>
        </w:rPr>
      </w:pPr>
      <w:r w:rsidRPr="0073412B">
        <w:rPr>
          <w:rFonts w:ascii="Calibri" w:hAnsi="Calibri" w:cs="Tahoma"/>
          <w:color w:val="000000"/>
        </w:rPr>
        <w:t>State, Local and Territorial laws and regulations require the reporting of cases and, at times, suspected cases of certain infectious and non</w:t>
      </w:r>
      <w:r w:rsidR="005D22B6">
        <w:rPr>
          <w:rFonts w:ascii="Calibri" w:hAnsi="Calibri" w:cs="Tahoma"/>
          <w:color w:val="000000"/>
        </w:rPr>
        <w:t>-</w:t>
      </w:r>
      <w:r w:rsidRPr="0073412B">
        <w:rPr>
          <w:rFonts w:ascii="Calibri" w:hAnsi="Calibri" w:cs="Tahoma"/>
          <w:color w:val="000000"/>
        </w:rPr>
        <w:t>infectious conditions to public health agencies to support disease monitoring and surveillance.</w:t>
      </w:r>
      <w:r w:rsidR="00116458">
        <w:rPr>
          <w:rFonts w:ascii="Calibri" w:hAnsi="Calibri" w:cs="Tahoma"/>
          <w:color w:val="000000"/>
        </w:rPr>
        <w:t xml:space="preserve"> </w:t>
      </w:r>
      <w:r w:rsidR="00116458" w:rsidRPr="00A72CE8">
        <w:rPr>
          <w:rFonts w:ascii="Calibri" w:hAnsi="Calibri" w:cs="Tahoma"/>
          <w:color w:val="000000"/>
        </w:rPr>
        <w:t xml:space="preserve">For the purpose of this implementation guide, related notifications </w:t>
      </w:r>
      <w:r w:rsidR="009C70E2">
        <w:rPr>
          <w:rFonts w:ascii="Calibri" w:hAnsi="Calibri" w:cs="Tahoma"/>
          <w:color w:val="000000"/>
        </w:rPr>
        <w:t xml:space="preserve">from PHAs </w:t>
      </w:r>
      <w:r w:rsidR="00116458" w:rsidRPr="00A72CE8">
        <w:rPr>
          <w:rFonts w:ascii="Calibri" w:hAnsi="Calibri" w:cs="Tahoma"/>
          <w:color w:val="000000"/>
        </w:rPr>
        <w:t xml:space="preserve">to the Centers for Disease Control and Prevention (CDC) and between PHAs </w:t>
      </w:r>
      <w:r w:rsidR="0098651F">
        <w:rPr>
          <w:rFonts w:ascii="Calibri" w:hAnsi="Calibri" w:cs="Tahoma"/>
          <w:color w:val="000000"/>
        </w:rPr>
        <w:t>are</w:t>
      </w:r>
      <w:r w:rsidR="00116458" w:rsidRPr="00A72CE8">
        <w:rPr>
          <w:rFonts w:ascii="Calibri" w:hAnsi="Calibri" w:cs="Tahoma"/>
          <w:color w:val="000000"/>
        </w:rPr>
        <w:t xml:space="preserve"> not in scope.</w:t>
      </w:r>
      <w:r w:rsidRPr="0073412B">
        <w:rPr>
          <w:rFonts w:ascii="Calibri" w:hAnsi="Calibri" w:cs="Tahoma"/>
          <w:color w:val="000000"/>
        </w:rPr>
        <w:t xml:space="preserve"> </w:t>
      </w:r>
      <w:r w:rsidR="00D800AA">
        <w:rPr>
          <w:rFonts w:ascii="Calibri" w:hAnsi="Calibri" w:cs="Tahoma"/>
          <w:color w:val="000000"/>
        </w:rPr>
        <w:t xml:space="preserve">Transmission of reportable </w:t>
      </w:r>
      <w:r w:rsidR="00C0763F">
        <w:rPr>
          <w:rFonts w:ascii="Calibri" w:hAnsi="Calibri" w:cs="Tahoma"/>
          <w:color w:val="000000"/>
        </w:rPr>
        <w:t>lab</w:t>
      </w:r>
      <w:r w:rsidR="00876E32">
        <w:rPr>
          <w:rFonts w:ascii="Calibri" w:hAnsi="Calibri" w:cs="Tahoma"/>
          <w:color w:val="000000"/>
        </w:rPr>
        <w:t>oratory</w:t>
      </w:r>
      <w:r w:rsidR="00C0763F">
        <w:rPr>
          <w:rFonts w:ascii="Calibri" w:hAnsi="Calibri" w:cs="Tahoma"/>
          <w:color w:val="000000"/>
        </w:rPr>
        <w:t xml:space="preserve"> results</w:t>
      </w:r>
      <w:r w:rsidR="00F3757D">
        <w:rPr>
          <w:rFonts w:ascii="Calibri" w:hAnsi="Calibri" w:cs="Tahoma"/>
          <w:color w:val="000000"/>
        </w:rPr>
        <w:t xml:space="preserve"> </w:t>
      </w:r>
      <w:r w:rsidR="00D800AA">
        <w:rPr>
          <w:rFonts w:ascii="Calibri" w:hAnsi="Calibri" w:cs="Tahoma"/>
          <w:color w:val="000000"/>
        </w:rPr>
        <w:t>is he</w:t>
      </w:r>
      <w:r w:rsidR="00116458">
        <w:rPr>
          <w:rFonts w:ascii="Calibri" w:hAnsi="Calibri" w:cs="Tahoma"/>
          <w:color w:val="000000"/>
        </w:rPr>
        <w:t>lpful in identifying cases. Clinical laboratory result messages, however, frequently lack critical clinical and demographic data needed for surveillance.</w:t>
      </w:r>
    </w:p>
    <w:p w14:paraId="5E3744A3" w14:textId="77777777" w:rsidR="00612DEB" w:rsidRDefault="00612DEB" w:rsidP="0028488C">
      <w:pPr>
        <w:pStyle w:val="NormalWeb"/>
        <w:contextualSpacing/>
        <w:rPr>
          <w:rFonts w:ascii="Calibri" w:hAnsi="Calibri" w:cs="Tahoma"/>
          <w:color w:val="000000"/>
        </w:rPr>
      </w:pPr>
    </w:p>
    <w:p w14:paraId="6A87B90A" w14:textId="56CF8BCE" w:rsidR="00D16BCE" w:rsidRPr="001235C8" w:rsidRDefault="00A637FA" w:rsidP="0028488C">
      <w:pPr>
        <w:pStyle w:val="NormalWeb"/>
        <w:contextualSpacing/>
        <w:rPr>
          <w:rFonts w:ascii="Calibri" w:hAnsi="Calibri" w:cs="Tahoma"/>
          <w:color w:val="000000"/>
        </w:rPr>
      </w:pPr>
      <w:r w:rsidRPr="001235C8">
        <w:rPr>
          <w:rFonts w:ascii="Calibri" w:hAnsi="Calibri" w:cs="Tahoma"/>
          <w:color w:val="000000"/>
        </w:rPr>
        <w:t xml:space="preserve">While case reporting from clinical care to Public Health Agencies is considered to be a core public health function, its electronic implementation has </w:t>
      </w:r>
      <w:r w:rsidR="00956EBB" w:rsidRPr="001235C8">
        <w:rPr>
          <w:rFonts w:ascii="Calibri" w:hAnsi="Calibri" w:cs="Tahoma"/>
          <w:color w:val="000000"/>
        </w:rPr>
        <w:t xml:space="preserve">been slow to </w:t>
      </w:r>
      <w:r w:rsidR="00607579" w:rsidRPr="001235C8">
        <w:rPr>
          <w:rFonts w:ascii="Calibri" w:hAnsi="Calibri" w:cs="Tahoma"/>
          <w:color w:val="000000"/>
        </w:rPr>
        <w:t>advan</w:t>
      </w:r>
      <w:r w:rsidR="00956EBB" w:rsidRPr="001235C8">
        <w:rPr>
          <w:rFonts w:ascii="Calibri" w:hAnsi="Calibri" w:cs="Tahoma"/>
          <w:color w:val="000000"/>
        </w:rPr>
        <w:t>ce</w:t>
      </w:r>
      <w:r w:rsidR="00607579" w:rsidRPr="001235C8">
        <w:rPr>
          <w:rFonts w:ascii="Calibri" w:hAnsi="Calibri" w:cs="Tahoma"/>
          <w:color w:val="000000"/>
        </w:rPr>
        <w:t xml:space="preserve"> nationally because of a number of challenges. Laws requiring the reporting of infectious and non-infectious conditions are written</w:t>
      </w:r>
      <w:r w:rsidR="00D16BCE" w:rsidRPr="001235C8">
        <w:rPr>
          <w:rFonts w:ascii="Calibri" w:hAnsi="Calibri" w:cs="Tahoma"/>
          <w:color w:val="000000"/>
        </w:rPr>
        <w:t xml:space="preserve"> individually</w:t>
      </w:r>
      <w:r w:rsidR="00607579" w:rsidRPr="001235C8">
        <w:rPr>
          <w:rFonts w:ascii="Calibri" w:hAnsi="Calibri" w:cs="Tahoma"/>
          <w:color w:val="000000"/>
        </w:rPr>
        <w:t xml:space="preserve"> by each </w:t>
      </w:r>
      <w:r w:rsidR="00D800AA">
        <w:rPr>
          <w:rFonts w:ascii="Calibri" w:hAnsi="Calibri" w:cs="Tahoma"/>
          <w:color w:val="000000"/>
        </w:rPr>
        <w:t>public health jurisdiction</w:t>
      </w:r>
      <w:r w:rsidR="00956EBB" w:rsidRPr="001235C8">
        <w:rPr>
          <w:rFonts w:ascii="Calibri" w:hAnsi="Calibri" w:cs="Tahoma"/>
          <w:color w:val="000000"/>
        </w:rPr>
        <w:t>. G</w:t>
      </w:r>
      <w:r w:rsidR="00607579" w:rsidRPr="001235C8">
        <w:rPr>
          <w:rFonts w:ascii="Calibri" w:hAnsi="Calibri" w:cs="Tahoma"/>
          <w:color w:val="000000"/>
        </w:rPr>
        <w:t xml:space="preserve">eographic </w:t>
      </w:r>
      <w:r w:rsidR="00607579" w:rsidRPr="001235C8">
        <w:rPr>
          <w:rFonts w:ascii="Calibri" w:hAnsi="Calibri" w:cs="Tahoma"/>
          <w:color w:val="000000"/>
        </w:rPr>
        <w:lastRenderedPageBreak/>
        <w:t>differences in condition</w:t>
      </w:r>
      <w:r w:rsidR="00C15B09" w:rsidRPr="001235C8">
        <w:rPr>
          <w:rFonts w:ascii="Calibri" w:hAnsi="Calibri" w:cs="Tahoma"/>
          <w:color w:val="000000"/>
        </w:rPr>
        <w:t xml:space="preserve"> prevalence and other</w:t>
      </w:r>
      <w:r w:rsidR="00D16BCE" w:rsidRPr="001235C8">
        <w:rPr>
          <w:rFonts w:ascii="Calibri" w:hAnsi="Calibri" w:cs="Tahoma"/>
          <w:color w:val="000000"/>
        </w:rPr>
        <w:t xml:space="preserve"> jurisdictional variations</w:t>
      </w:r>
      <w:r w:rsidR="00607579" w:rsidRPr="001235C8">
        <w:rPr>
          <w:rFonts w:ascii="Calibri" w:hAnsi="Calibri" w:cs="Tahoma"/>
          <w:color w:val="000000"/>
        </w:rPr>
        <w:t xml:space="preserve"> </w:t>
      </w:r>
      <w:r w:rsidR="00C15B09" w:rsidRPr="001235C8">
        <w:rPr>
          <w:rFonts w:ascii="Calibri" w:hAnsi="Calibri" w:cs="Tahoma"/>
          <w:color w:val="000000"/>
        </w:rPr>
        <w:t xml:space="preserve">have created a complex array of reporting expectations </w:t>
      </w:r>
      <w:r w:rsidR="00D800AA">
        <w:rPr>
          <w:rFonts w:ascii="Calibri" w:hAnsi="Calibri" w:cs="Tahoma"/>
          <w:color w:val="000000"/>
        </w:rPr>
        <w:t xml:space="preserve">making it difficult </w:t>
      </w:r>
      <w:r w:rsidR="00C15B09" w:rsidRPr="001235C8">
        <w:rPr>
          <w:rFonts w:ascii="Calibri" w:hAnsi="Calibri" w:cs="Tahoma"/>
          <w:color w:val="000000"/>
        </w:rPr>
        <w:t xml:space="preserve">for </w:t>
      </w:r>
      <w:r w:rsidR="00956EBB" w:rsidRPr="001235C8">
        <w:rPr>
          <w:rFonts w:ascii="Calibri" w:hAnsi="Calibri" w:cs="Tahoma"/>
          <w:color w:val="000000"/>
        </w:rPr>
        <w:t>providers to know</w:t>
      </w:r>
      <w:r w:rsidR="00C15B09" w:rsidRPr="001235C8">
        <w:rPr>
          <w:rFonts w:ascii="Calibri" w:hAnsi="Calibri" w:cs="Tahoma"/>
          <w:color w:val="000000"/>
        </w:rPr>
        <w:t xml:space="preserve"> when, where, and what to report.</w:t>
      </w:r>
      <w:r w:rsidR="00D16BCE" w:rsidRPr="001235C8">
        <w:rPr>
          <w:rFonts w:ascii="Calibri" w:hAnsi="Calibri" w:cs="Tahoma"/>
          <w:color w:val="000000"/>
        </w:rPr>
        <w:t xml:space="preserve"> </w:t>
      </w:r>
      <w:r w:rsidR="0076555F" w:rsidRPr="001235C8">
        <w:rPr>
          <w:rFonts w:ascii="Calibri" w:hAnsi="Calibri" w:cs="Tahoma"/>
          <w:color w:val="000000"/>
        </w:rPr>
        <w:t>Health</w:t>
      </w:r>
      <w:r w:rsidR="00C15B09" w:rsidRPr="001235C8">
        <w:rPr>
          <w:rFonts w:ascii="Calibri" w:hAnsi="Calibri" w:cs="Tahoma"/>
          <w:color w:val="000000"/>
        </w:rPr>
        <w:t>care providers</w:t>
      </w:r>
      <w:r w:rsidR="00956EBB" w:rsidRPr="001235C8">
        <w:rPr>
          <w:rFonts w:ascii="Calibri" w:hAnsi="Calibri" w:cs="Tahoma"/>
          <w:color w:val="000000"/>
        </w:rPr>
        <w:t>, for their part,</w:t>
      </w:r>
      <w:r w:rsidR="00C15B09" w:rsidRPr="001235C8">
        <w:rPr>
          <w:rFonts w:ascii="Calibri" w:hAnsi="Calibri" w:cs="Tahoma"/>
          <w:color w:val="000000"/>
        </w:rPr>
        <w:t xml:space="preserve"> have </w:t>
      </w:r>
      <w:r w:rsidR="00956EBB" w:rsidRPr="001235C8">
        <w:rPr>
          <w:rFonts w:ascii="Calibri" w:hAnsi="Calibri" w:cs="Tahoma"/>
          <w:color w:val="000000"/>
        </w:rPr>
        <w:t xml:space="preserve">been historically inconsistent in reporting </w:t>
      </w:r>
      <w:r w:rsidR="002E6BA4" w:rsidRPr="001235C8">
        <w:rPr>
          <w:rFonts w:ascii="Calibri" w:hAnsi="Calibri" w:cs="Tahoma"/>
          <w:color w:val="000000"/>
        </w:rPr>
        <w:t xml:space="preserve">from clinical care </w:t>
      </w:r>
      <w:r w:rsidR="00956EBB" w:rsidRPr="001235C8">
        <w:rPr>
          <w:rFonts w:ascii="Calibri" w:hAnsi="Calibri" w:cs="Tahoma"/>
          <w:color w:val="000000"/>
        </w:rPr>
        <w:t xml:space="preserve">by any process. </w:t>
      </w:r>
      <w:r w:rsidR="00876E32">
        <w:rPr>
          <w:rFonts w:ascii="Calibri" w:hAnsi="Calibri" w:cs="Tahoma"/>
          <w:color w:val="000000"/>
        </w:rPr>
        <w:t>For example, a</w:t>
      </w:r>
      <w:r w:rsidR="00956EBB" w:rsidRPr="001235C8">
        <w:rPr>
          <w:rFonts w:ascii="Calibri" w:hAnsi="Calibri" w:cs="Tahoma"/>
          <w:color w:val="000000"/>
        </w:rPr>
        <w:t xml:space="preserve"> recent CDC study indicated that of the cases of Lyme disease recorded as a clinical diagnosis in </w:t>
      </w:r>
      <w:r w:rsidR="0076555F" w:rsidRPr="001235C8">
        <w:rPr>
          <w:rFonts w:ascii="Calibri" w:hAnsi="Calibri" w:cs="Tahoma"/>
          <w:color w:val="000000"/>
        </w:rPr>
        <w:t>clinical care</w:t>
      </w:r>
      <w:r w:rsidR="00956EBB" w:rsidRPr="001235C8">
        <w:rPr>
          <w:rFonts w:ascii="Calibri" w:hAnsi="Calibri" w:cs="Tahoma"/>
          <w:color w:val="000000"/>
        </w:rPr>
        <w:t xml:space="preserve">, only about one out of ten are reported to the appropriate </w:t>
      </w:r>
      <w:r w:rsidR="00665700">
        <w:rPr>
          <w:rFonts w:ascii="Calibri" w:hAnsi="Calibri" w:cs="Tahoma"/>
          <w:color w:val="000000"/>
        </w:rPr>
        <w:t>PHA</w:t>
      </w:r>
      <w:r w:rsidR="00956EBB" w:rsidRPr="001235C8">
        <w:rPr>
          <w:rFonts w:ascii="Calibri" w:hAnsi="Calibri" w:cs="Tahoma"/>
          <w:color w:val="000000"/>
        </w:rPr>
        <w:t>.</w:t>
      </w:r>
      <w:r w:rsidR="00D800AA" w:rsidRPr="00D800AA">
        <w:rPr>
          <w:rStyle w:val="FootnoteReference"/>
          <w:rFonts w:ascii="Calibri" w:hAnsi="Calibri" w:cs="Tahoma"/>
          <w:color w:val="000000"/>
        </w:rPr>
        <w:t xml:space="preserve"> </w:t>
      </w:r>
      <w:r w:rsidR="00D800AA">
        <w:rPr>
          <w:rStyle w:val="FootnoteReference"/>
          <w:rFonts w:ascii="Calibri" w:hAnsi="Calibri" w:cs="Tahoma"/>
          <w:color w:val="000000"/>
        </w:rPr>
        <w:footnoteReference w:id="2"/>
      </w:r>
      <w:r w:rsidR="00956EBB" w:rsidRPr="001235C8">
        <w:rPr>
          <w:rFonts w:ascii="Calibri" w:hAnsi="Calibri" w:cs="Tahoma"/>
          <w:color w:val="000000"/>
        </w:rPr>
        <w:t xml:space="preserve"> </w:t>
      </w:r>
    </w:p>
    <w:p w14:paraId="73D2A95E" w14:textId="77777777" w:rsidR="00D16BCE" w:rsidRPr="001235C8" w:rsidRDefault="00D16BCE" w:rsidP="00AE3357">
      <w:pPr>
        <w:pStyle w:val="NormalWeb"/>
        <w:rPr>
          <w:rFonts w:ascii="Calibri" w:hAnsi="Calibri" w:cs="Tahoma"/>
          <w:color w:val="000000"/>
        </w:rPr>
      </w:pPr>
    </w:p>
    <w:p w14:paraId="73B87B33" w14:textId="7ADD91E0" w:rsidR="00C15B09" w:rsidRPr="001235C8" w:rsidRDefault="0076555F" w:rsidP="00AE3357">
      <w:pPr>
        <w:pStyle w:val="NormalWeb"/>
        <w:rPr>
          <w:rFonts w:ascii="Calibri" w:hAnsi="Calibri" w:cs="Tahoma"/>
          <w:color w:val="000000"/>
        </w:rPr>
      </w:pPr>
      <w:r w:rsidRPr="001235C8">
        <w:rPr>
          <w:rFonts w:ascii="Calibri" w:hAnsi="Calibri" w:cs="Tahoma"/>
          <w:color w:val="000000"/>
        </w:rPr>
        <w:t>Case reports are important for</w:t>
      </w:r>
      <w:r w:rsidR="00956EBB" w:rsidRPr="001235C8">
        <w:rPr>
          <w:rFonts w:ascii="Calibri" w:hAnsi="Calibri" w:cs="Tahoma"/>
          <w:color w:val="000000"/>
        </w:rPr>
        <w:t xml:space="preserve"> tracking disease trends at </w:t>
      </w:r>
      <w:r w:rsidR="0098651F">
        <w:rPr>
          <w:rFonts w:ascii="Calibri" w:hAnsi="Calibri" w:cs="Tahoma"/>
          <w:color w:val="000000"/>
        </w:rPr>
        <w:t xml:space="preserve">the </w:t>
      </w:r>
      <w:r w:rsidR="00956EBB" w:rsidRPr="001235C8">
        <w:rPr>
          <w:rFonts w:ascii="Calibri" w:hAnsi="Calibri" w:cs="Tahoma"/>
          <w:color w:val="000000"/>
        </w:rPr>
        <w:t>Local, State and National levels, but also serve to feed surveillance and outbreak management systems that support the</w:t>
      </w:r>
      <w:r w:rsidR="00D16BCE" w:rsidRPr="001235C8">
        <w:rPr>
          <w:rFonts w:ascii="Calibri" w:hAnsi="Calibri" w:cs="Tahoma"/>
          <w:color w:val="000000"/>
        </w:rPr>
        <w:t xml:space="preserve"> investigation and management of individual cases and </w:t>
      </w:r>
      <w:r w:rsidR="00956EBB" w:rsidRPr="001235C8">
        <w:rPr>
          <w:rFonts w:ascii="Calibri" w:hAnsi="Calibri" w:cs="Tahoma"/>
          <w:color w:val="000000"/>
        </w:rPr>
        <w:t xml:space="preserve">outbreaks in </w:t>
      </w:r>
      <w:r w:rsidR="00D16BCE" w:rsidRPr="001235C8">
        <w:rPr>
          <w:rFonts w:ascii="Calibri" w:hAnsi="Calibri" w:cs="Tahoma"/>
          <w:color w:val="000000"/>
        </w:rPr>
        <w:t xml:space="preserve">routine and emergent </w:t>
      </w:r>
      <w:r w:rsidR="00956EBB" w:rsidRPr="001235C8">
        <w:rPr>
          <w:rFonts w:ascii="Calibri" w:hAnsi="Calibri" w:cs="Tahoma"/>
          <w:color w:val="000000"/>
        </w:rPr>
        <w:t>public health situations.</w:t>
      </w:r>
      <w:r w:rsidR="00D16BCE" w:rsidRPr="001235C8">
        <w:rPr>
          <w:rFonts w:ascii="Calibri" w:hAnsi="Calibri" w:cs="Tahoma"/>
          <w:color w:val="000000"/>
        </w:rPr>
        <w:t xml:space="preserve"> State, Local and Territorial PHAs are authorized by law to receive identifiable case data to enable these activities.</w:t>
      </w:r>
    </w:p>
    <w:p w14:paraId="075B3DB4" w14:textId="77777777" w:rsidR="00D16BCE" w:rsidRPr="001235C8" w:rsidRDefault="00D16BCE" w:rsidP="00AE3357">
      <w:pPr>
        <w:pStyle w:val="NormalWeb"/>
        <w:rPr>
          <w:rFonts w:ascii="Calibri" w:hAnsi="Calibri" w:cs="Tahoma"/>
          <w:color w:val="000000"/>
        </w:rPr>
      </w:pPr>
    </w:p>
    <w:p w14:paraId="525AE4B4" w14:textId="56C9A911" w:rsidR="00D16BCE" w:rsidRPr="001235C8" w:rsidRDefault="00D16BCE" w:rsidP="00AE3357">
      <w:pPr>
        <w:pStyle w:val="NormalWeb"/>
        <w:rPr>
          <w:rFonts w:ascii="Calibri" w:hAnsi="Calibri" w:cs="Tahoma"/>
          <w:color w:val="000000"/>
        </w:rPr>
      </w:pPr>
      <w:r w:rsidRPr="001235C8">
        <w:rPr>
          <w:rFonts w:ascii="Calibri" w:hAnsi="Calibri" w:cs="Tahoma"/>
          <w:color w:val="000000"/>
        </w:rPr>
        <w:t>Previous efforts to develop standards for the exchange of case data between clinical care and public health have been challenged by inter-organizational exchange issues</w:t>
      </w:r>
      <w:r w:rsidR="00FB305C">
        <w:rPr>
          <w:rFonts w:ascii="Calibri" w:hAnsi="Calibri" w:cs="Tahoma"/>
          <w:color w:val="000000"/>
        </w:rPr>
        <w:t xml:space="preserve">. These issues include </w:t>
      </w:r>
      <w:r w:rsidRPr="001235C8">
        <w:rPr>
          <w:rFonts w:ascii="Calibri" w:hAnsi="Calibri" w:cs="Tahoma"/>
          <w:color w:val="000000"/>
        </w:rPr>
        <w:t>efforts to develop numerous implementation guides to accommodate individual conditions and</w:t>
      </w:r>
      <w:r w:rsidR="0076555F" w:rsidRPr="001235C8">
        <w:rPr>
          <w:rFonts w:ascii="Calibri" w:hAnsi="Calibri" w:cs="Tahoma"/>
          <w:color w:val="000000"/>
        </w:rPr>
        <w:t xml:space="preserve"> </w:t>
      </w:r>
      <w:r w:rsidRPr="001235C8">
        <w:rPr>
          <w:rFonts w:ascii="Calibri" w:hAnsi="Calibri" w:cs="Tahoma"/>
          <w:color w:val="000000"/>
        </w:rPr>
        <w:t xml:space="preserve">efforts to try to harmonize different jurisdictional reporting nuances </w:t>
      </w:r>
      <w:r w:rsidR="0076555F" w:rsidRPr="001235C8">
        <w:rPr>
          <w:rFonts w:ascii="Calibri" w:hAnsi="Calibri" w:cs="Tahoma"/>
          <w:color w:val="000000"/>
        </w:rPr>
        <w:t>and program specific data into one</w:t>
      </w:r>
      <w:r w:rsidRPr="001235C8">
        <w:rPr>
          <w:rFonts w:ascii="Calibri" w:hAnsi="Calibri" w:cs="Tahoma"/>
          <w:color w:val="000000"/>
        </w:rPr>
        <w:t xml:space="preserve"> consolidated data specification.</w:t>
      </w:r>
    </w:p>
    <w:p w14:paraId="04049DB8" w14:textId="77777777" w:rsidR="00D16BCE" w:rsidRPr="001235C8" w:rsidRDefault="00D16BCE" w:rsidP="00AE3357">
      <w:pPr>
        <w:pStyle w:val="NormalWeb"/>
        <w:rPr>
          <w:rFonts w:ascii="Calibri" w:hAnsi="Calibri" w:cs="Tahoma"/>
          <w:color w:val="000000"/>
        </w:rPr>
      </w:pPr>
    </w:p>
    <w:p w14:paraId="40234488" w14:textId="267BCA42" w:rsidR="00DF50AD" w:rsidRPr="001235C8" w:rsidRDefault="0076555F" w:rsidP="00AE3357">
      <w:pPr>
        <w:pStyle w:val="NormalWeb"/>
        <w:rPr>
          <w:rFonts w:ascii="Calibri" w:hAnsi="Calibri" w:cs="Tahoma"/>
          <w:color w:val="000000"/>
        </w:rPr>
      </w:pPr>
      <w:r w:rsidRPr="001235C8">
        <w:rPr>
          <w:rFonts w:ascii="Calibri" w:hAnsi="Calibri" w:cs="Tahoma"/>
          <w:color w:val="000000"/>
        </w:rPr>
        <w:t>Now, S</w:t>
      </w:r>
      <w:r w:rsidR="00DF50AD" w:rsidRPr="001235C8">
        <w:rPr>
          <w:rFonts w:ascii="Calibri" w:hAnsi="Calibri" w:cs="Tahoma"/>
          <w:color w:val="000000"/>
        </w:rPr>
        <w:t xml:space="preserve">tage </w:t>
      </w:r>
      <w:r w:rsidR="00AC536A">
        <w:rPr>
          <w:rFonts w:ascii="Calibri" w:hAnsi="Calibri" w:cs="Tahoma"/>
          <w:color w:val="000000"/>
        </w:rPr>
        <w:t>3</w:t>
      </w:r>
      <w:r w:rsidR="00DF50AD" w:rsidRPr="001235C8">
        <w:rPr>
          <w:rFonts w:ascii="Calibri" w:hAnsi="Calibri" w:cs="Tahoma"/>
          <w:color w:val="000000"/>
        </w:rPr>
        <w:t xml:space="preserve"> of the HITECH M</w:t>
      </w:r>
      <w:r w:rsidRPr="001235C8">
        <w:rPr>
          <w:rFonts w:ascii="Calibri" w:hAnsi="Calibri" w:cs="Tahoma"/>
          <w:color w:val="000000"/>
        </w:rPr>
        <w:t>eaningful Use program has identified</w:t>
      </w:r>
      <w:r w:rsidR="00DF50AD" w:rsidRPr="001235C8">
        <w:rPr>
          <w:rFonts w:ascii="Calibri" w:hAnsi="Calibri" w:cs="Tahoma"/>
          <w:color w:val="000000"/>
        </w:rPr>
        <w:t xml:space="preserve"> </w:t>
      </w:r>
      <w:r w:rsidR="001777D8" w:rsidRPr="001235C8">
        <w:rPr>
          <w:rFonts w:ascii="Calibri" w:hAnsi="Calibri" w:cs="Tahoma"/>
          <w:color w:val="000000"/>
        </w:rPr>
        <w:t xml:space="preserve">electronic </w:t>
      </w:r>
      <w:r w:rsidR="00DF50AD" w:rsidRPr="001235C8">
        <w:rPr>
          <w:rFonts w:ascii="Calibri" w:hAnsi="Calibri" w:cs="Tahoma"/>
          <w:color w:val="000000"/>
        </w:rPr>
        <w:t xml:space="preserve">public health case reporting as an option for clinical reporters to meet Meaningful Use criteria. </w:t>
      </w:r>
      <w:r w:rsidR="0098651F">
        <w:rPr>
          <w:rFonts w:ascii="Calibri" w:hAnsi="Calibri" w:cs="Tahoma"/>
          <w:color w:val="000000"/>
        </w:rPr>
        <w:t xml:space="preserve">A goal of </w:t>
      </w:r>
      <w:r w:rsidR="00DF50AD" w:rsidRPr="001235C8">
        <w:rPr>
          <w:rFonts w:ascii="Calibri" w:hAnsi="Calibri" w:cs="Tahoma"/>
          <w:color w:val="000000"/>
        </w:rPr>
        <w:t xml:space="preserve">this implementation guide </w:t>
      </w:r>
      <w:r w:rsidR="0098651F">
        <w:rPr>
          <w:rFonts w:ascii="Calibri" w:hAnsi="Calibri" w:cs="Tahoma"/>
          <w:color w:val="000000"/>
        </w:rPr>
        <w:t xml:space="preserve">is to contribute to </w:t>
      </w:r>
      <w:r w:rsidR="00DF50AD" w:rsidRPr="001235C8">
        <w:rPr>
          <w:rFonts w:ascii="Calibri" w:hAnsi="Calibri" w:cs="Tahoma"/>
          <w:color w:val="000000"/>
        </w:rPr>
        <w:t xml:space="preserve">future certification criteria to insure that consistent, comparable case </w:t>
      </w:r>
      <w:r w:rsidR="001777D8" w:rsidRPr="001235C8">
        <w:rPr>
          <w:rFonts w:ascii="Calibri" w:hAnsi="Calibri" w:cs="Tahoma"/>
          <w:color w:val="000000"/>
        </w:rPr>
        <w:t xml:space="preserve">reports </w:t>
      </w:r>
      <w:r w:rsidR="00DF50AD" w:rsidRPr="001235C8">
        <w:rPr>
          <w:rFonts w:ascii="Calibri" w:hAnsi="Calibri" w:cs="Tahoma"/>
          <w:color w:val="000000"/>
        </w:rPr>
        <w:t xml:space="preserve">are received by Public Health Agencies and that a consistent, common </w:t>
      </w:r>
      <w:r w:rsidR="00C712BC">
        <w:rPr>
          <w:rFonts w:ascii="Calibri" w:hAnsi="Calibri" w:cs="Tahoma"/>
          <w:color w:val="000000"/>
        </w:rPr>
        <w:t xml:space="preserve">eICR </w:t>
      </w:r>
      <w:r w:rsidR="00DF50AD" w:rsidRPr="001235C8">
        <w:rPr>
          <w:rFonts w:ascii="Calibri" w:hAnsi="Calibri" w:cs="Tahoma"/>
          <w:color w:val="000000"/>
        </w:rPr>
        <w:t>can</w:t>
      </w:r>
      <w:r w:rsidR="002E248C">
        <w:rPr>
          <w:rFonts w:ascii="Calibri" w:hAnsi="Calibri" w:cs="Tahoma"/>
          <w:color w:val="000000"/>
        </w:rPr>
        <w:t xml:space="preserve"> </w:t>
      </w:r>
      <w:r w:rsidR="00DF50AD" w:rsidRPr="001235C8">
        <w:rPr>
          <w:rFonts w:ascii="Calibri" w:hAnsi="Calibri" w:cs="Tahoma"/>
          <w:color w:val="000000"/>
        </w:rPr>
        <w:t>be constructed by EHR vendors and clinical care providers regardless of the jurisdiction</w:t>
      </w:r>
      <w:r w:rsidRPr="001235C8">
        <w:rPr>
          <w:rFonts w:ascii="Calibri" w:hAnsi="Calibri" w:cs="Tahoma"/>
          <w:color w:val="000000"/>
        </w:rPr>
        <w:t>s</w:t>
      </w:r>
      <w:r w:rsidR="00DF50AD" w:rsidRPr="001235C8">
        <w:rPr>
          <w:rFonts w:ascii="Calibri" w:hAnsi="Calibri" w:cs="Tahoma"/>
          <w:color w:val="000000"/>
        </w:rPr>
        <w:t xml:space="preserve"> in which they must report. </w:t>
      </w:r>
    </w:p>
    <w:p w14:paraId="2408E116" w14:textId="77777777" w:rsidR="00DF50AD" w:rsidRPr="001235C8" w:rsidRDefault="00DF50AD" w:rsidP="00AE3357">
      <w:pPr>
        <w:pStyle w:val="NormalWeb"/>
        <w:rPr>
          <w:rFonts w:ascii="Calibri" w:hAnsi="Calibri" w:cs="Tahoma"/>
          <w:color w:val="000000"/>
        </w:rPr>
      </w:pPr>
    </w:p>
    <w:p w14:paraId="03AFCE01" w14:textId="1B07808C" w:rsidR="00D16BCE" w:rsidRPr="001235C8" w:rsidRDefault="00D16BCE" w:rsidP="00AE3357">
      <w:pPr>
        <w:pStyle w:val="NormalWeb"/>
        <w:rPr>
          <w:rFonts w:ascii="Calibri" w:hAnsi="Calibri" w:cs="Tahoma"/>
          <w:color w:val="000000"/>
        </w:rPr>
      </w:pPr>
      <w:r w:rsidRPr="001235C8">
        <w:rPr>
          <w:rFonts w:ascii="Calibri" w:hAnsi="Calibri" w:cs="Tahoma"/>
          <w:color w:val="000000"/>
        </w:rPr>
        <w:t xml:space="preserve">This </w:t>
      </w:r>
      <w:r w:rsidR="0098651F">
        <w:rPr>
          <w:rFonts w:ascii="Calibri" w:hAnsi="Calibri" w:cs="Tahoma"/>
          <w:color w:val="000000"/>
        </w:rPr>
        <w:t xml:space="preserve">eICR IG </w:t>
      </w:r>
      <w:r w:rsidRPr="001235C8">
        <w:rPr>
          <w:rFonts w:ascii="Calibri" w:hAnsi="Calibri" w:cs="Tahoma"/>
          <w:color w:val="000000"/>
        </w:rPr>
        <w:t xml:space="preserve"> builds on experience, specifications and lessons learned from the HL7 Implementation Guide for CDA Release </w:t>
      </w:r>
      <w:r w:rsidR="00767738" w:rsidRPr="001235C8">
        <w:rPr>
          <w:rFonts w:ascii="Calibri" w:hAnsi="Calibri" w:cs="Tahoma"/>
          <w:color w:val="000000"/>
        </w:rPr>
        <w:t>2: Public Health Case Reporting</w:t>
      </w:r>
      <w:r w:rsidRPr="001235C8">
        <w:rPr>
          <w:rFonts w:ascii="Calibri" w:hAnsi="Calibri" w:cs="Tahoma"/>
          <w:color w:val="000000"/>
        </w:rPr>
        <w:t xml:space="preserve"> Release 1</w:t>
      </w:r>
      <w:r w:rsidR="00876E32">
        <w:rPr>
          <w:rFonts w:ascii="Calibri" w:hAnsi="Calibri" w:cs="Tahoma"/>
          <w:color w:val="000000"/>
        </w:rPr>
        <w:t>;</w:t>
      </w:r>
      <w:r w:rsidR="00767738" w:rsidRPr="001235C8">
        <w:rPr>
          <w:rFonts w:ascii="Calibri" w:hAnsi="Calibri" w:cs="Tahoma"/>
          <w:color w:val="000000"/>
        </w:rPr>
        <w:t xml:space="preserve"> The ONC </w:t>
      </w:r>
      <w:r w:rsidR="0076555F" w:rsidRPr="001235C8">
        <w:rPr>
          <w:rFonts w:ascii="Calibri" w:hAnsi="Calibri" w:cs="Tahoma"/>
          <w:color w:val="000000"/>
        </w:rPr>
        <w:t>S&amp;</w:t>
      </w:r>
      <w:r w:rsidR="00767738" w:rsidRPr="001235C8">
        <w:rPr>
          <w:rFonts w:ascii="Calibri" w:hAnsi="Calibri" w:cs="Tahoma"/>
          <w:color w:val="000000"/>
        </w:rPr>
        <w:t>I Framework Public Health Case Reporting Initiative (PHRI)</w:t>
      </w:r>
      <w:r w:rsidR="00876E32">
        <w:rPr>
          <w:rFonts w:ascii="Calibri" w:hAnsi="Calibri" w:cs="Tahoma"/>
          <w:color w:val="000000"/>
        </w:rPr>
        <w:t>;</w:t>
      </w:r>
      <w:r w:rsidR="00767738" w:rsidRPr="001235C8">
        <w:rPr>
          <w:rFonts w:ascii="Calibri" w:hAnsi="Calibri" w:cs="Tahoma"/>
          <w:color w:val="000000"/>
        </w:rPr>
        <w:t xml:space="preserve"> </w:t>
      </w:r>
      <w:r w:rsidR="00DF50AD" w:rsidRPr="001235C8">
        <w:rPr>
          <w:rFonts w:ascii="Calibri" w:hAnsi="Calibri" w:cs="Tahoma"/>
          <w:color w:val="000000"/>
        </w:rPr>
        <w:t>the Council of State and Territorial Epidemiologists (CSTE) “</w:t>
      </w:r>
      <w:r w:rsidR="0076555F" w:rsidRPr="001235C8">
        <w:rPr>
          <w:rFonts w:ascii="Calibri" w:hAnsi="Calibri" w:cs="Tahoma"/>
          <w:color w:val="000000"/>
        </w:rPr>
        <w:t>M</w:t>
      </w:r>
      <w:r w:rsidR="00DF50AD" w:rsidRPr="001235C8">
        <w:rPr>
          <w:rFonts w:ascii="Calibri" w:hAnsi="Calibri" w:cs="Tahoma"/>
          <w:color w:val="000000"/>
        </w:rPr>
        <w:t xml:space="preserve">inimum EHR Data for an Electronic Initial </w:t>
      </w:r>
      <w:r w:rsidR="0076555F" w:rsidRPr="001235C8">
        <w:rPr>
          <w:rFonts w:ascii="Calibri" w:hAnsi="Calibri" w:cs="Tahoma"/>
          <w:color w:val="000000"/>
        </w:rPr>
        <w:t>Case Report (eICR)</w:t>
      </w:r>
      <w:r w:rsidR="007811AB">
        <w:rPr>
          <w:rFonts w:ascii="Calibri" w:hAnsi="Calibri" w:cs="Tahoma"/>
          <w:color w:val="000000"/>
        </w:rPr>
        <w:t>”</w:t>
      </w:r>
      <w:r w:rsidR="00876E32">
        <w:rPr>
          <w:rFonts w:ascii="Calibri" w:hAnsi="Calibri" w:cs="Tahoma"/>
          <w:color w:val="000000"/>
        </w:rPr>
        <w:t>;</w:t>
      </w:r>
      <w:r w:rsidR="0076555F" w:rsidRPr="001235C8">
        <w:rPr>
          <w:rFonts w:ascii="Calibri" w:hAnsi="Calibri" w:cs="Tahoma"/>
          <w:color w:val="000000"/>
        </w:rPr>
        <w:t xml:space="preserve"> </w:t>
      </w:r>
      <w:r w:rsidR="00DF50AD" w:rsidRPr="001235C8">
        <w:rPr>
          <w:rFonts w:ascii="Calibri" w:hAnsi="Calibri" w:cs="Tahoma"/>
          <w:color w:val="000000"/>
        </w:rPr>
        <w:t>work done by CSTE</w:t>
      </w:r>
      <w:r w:rsidR="00DF4DFD">
        <w:rPr>
          <w:rFonts w:ascii="Calibri" w:hAnsi="Calibri" w:cs="Tahoma"/>
          <w:color w:val="000000"/>
        </w:rPr>
        <w:t xml:space="preserve"> and </w:t>
      </w:r>
      <w:r w:rsidR="00DF50AD" w:rsidRPr="001235C8">
        <w:rPr>
          <w:rFonts w:ascii="Calibri" w:hAnsi="Calibri" w:cs="Tahoma"/>
          <w:color w:val="000000"/>
        </w:rPr>
        <w:t>CDC on the Reportable Conditions Knowledge Management System (RCKMS)</w:t>
      </w:r>
      <w:r w:rsidR="00876E32">
        <w:rPr>
          <w:rFonts w:ascii="Calibri" w:hAnsi="Calibri" w:cs="Tahoma"/>
          <w:color w:val="000000"/>
        </w:rPr>
        <w:t>;</w:t>
      </w:r>
      <w:r w:rsidR="00DF50AD" w:rsidRPr="001235C8">
        <w:rPr>
          <w:rFonts w:ascii="Calibri" w:hAnsi="Calibri" w:cs="Tahoma"/>
          <w:color w:val="000000"/>
        </w:rPr>
        <w:t xml:space="preserve"> and the Association of State and Territorial Health Offi</w:t>
      </w:r>
      <w:r w:rsidR="00C53116">
        <w:rPr>
          <w:rFonts w:ascii="Calibri" w:hAnsi="Calibri" w:cs="Tahoma"/>
          <w:color w:val="000000"/>
        </w:rPr>
        <w:t>cials</w:t>
      </w:r>
      <w:r w:rsidR="00DF50AD" w:rsidRPr="001235C8">
        <w:rPr>
          <w:rFonts w:ascii="Calibri" w:hAnsi="Calibri" w:cs="Tahoma"/>
          <w:color w:val="000000"/>
        </w:rPr>
        <w:t xml:space="preserve"> (ASTHO)</w:t>
      </w:r>
      <w:r w:rsidR="00DF4DFD">
        <w:rPr>
          <w:rFonts w:ascii="Calibri" w:hAnsi="Calibri" w:cs="Tahoma"/>
          <w:color w:val="000000"/>
        </w:rPr>
        <w:t xml:space="preserve">,  </w:t>
      </w:r>
      <w:r w:rsidR="00DF50AD" w:rsidRPr="001235C8">
        <w:rPr>
          <w:rFonts w:ascii="Calibri" w:hAnsi="Calibri" w:cs="Tahoma"/>
          <w:color w:val="000000"/>
        </w:rPr>
        <w:t>Association of Public Health Lab</w:t>
      </w:r>
      <w:r w:rsidR="00B6282D">
        <w:rPr>
          <w:rFonts w:ascii="Calibri" w:hAnsi="Calibri" w:cs="Tahoma"/>
          <w:color w:val="000000"/>
        </w:rPr>
        <w:t>oratorie</w:t>
      </w:r>
      <w:r w:rsidR="00DF50AD" w:rsidRPr="001235C8">
        <w:rPr>
          <w:rFonts w:ascii="Calibri" w:hAnsi="Calibri" w:cs="Tahoma"/>
          <w:color w:val="000000"/>
        </w:rPr>
        <w:t>s (APHL)</w:t>
      </w:r>
      <w:r w:rsidR="00DF4DFD">
        <w:rPr>
          <w:rFonts w:ascii="Calibri" w:hAnsi="Calibri" w:cs="Tahoma"/>
          <w:color w:val="000000"/>
        </w:rPr>
        <w:t xml:space="preserve">, and the </w:t>
      </w:r>
      <w:r w:rsidR="00DF50AD" w:rsidRPr="001235C8">
        <w:rPr>
          <w:rFonts w:ascii="Calibri" w:hAnsi="Calibri" w:cs="Tahoma"/>
          <w:color w:val="000000"/>
        </w:rPr>
        <w:t>CDC work on trigger codes for reportable conditions</w:t>
      </w:r>
      <w:r w:rsidR="00FB6DBD">
        <w:rPr>
          <w:rFonts w:ascii="Calibri" w:hAnsi="Calibri" w:cs="Tahoma"/>
          <w:color w:val="000000"/>
        </w:rPr>
        <w:t xml:space="preserve"> as part of the Public Health Community Platform (PHCP).</w:t>
      </w:r>
      <w:r w:rsidR="00FB6DBD">
        <w:rPr>
          <w:rStyle w:val="FootnoteReference"/>
          <w:rFonts w:ascii="Calibri" w:hAnsi="Calibri" w:cs="Tahoma"/>
          <w:color w:val="000000"/>
        </w:rPr>
        <w:footnoteReference w:id="3"/>
      </w:r>
    </w:p>
    <w:p w14:paraId="0A7EBB02" w14:textId="77777777" w:rsidR="005B6B9E" w:rsidRDefault="005B6B9E" w:rsidP="00AE3357">
      <w:pPr>
        <w:pStyle w:val="NormalWeb"/>
        <w:rPr>
          <w:rFonts w:ascii="Calibri" w:hAnsi="Calibri" w:cs="Tahoma"/>
          <w:color w:val="000000"/>
          <w:sz w:val="28"/>
          <w:szCs w:val="28"/>
        </w:rPr>
      </w:pPr>
    </w:p>
    <w:p w14:paraId="3AD8E982" w14:textId="09DB3C80" w:rsidR="00AE3357" w:rsidRPr="00B049B3" w:rsidRDefault="00C22B23" w:rsidP="00B049B3">
      <w:pPr>
        <w:pStyle w:val="Heading2nospace"/>
        <w:rPr>
          <w:rFonts w:asciiTheme="minorHAnsi" w:hAnsiTheme="minorHAnsi"/>
          <w:i w:val="0"/>
        </w:rPr>
      </w:pPr>
      <w:bookmarkStart w:id="4" w:name="_Toc436033851"/>
      <w:r w:rsidRPr="00B049B3">
        <w:rPr>
          <w:rFonts w:asciiTheme="minorHAnsi" w:hAnsiTheme="minorHAnsi"/>
          <w:i w:val="0"/>
        </w:rPr>
        <w:t xml:space="preserve">1.4 </w:t>
      </w:r>
      <w:r w:rsidR="005B6B9E" w:rsidRPr="00B049B3">
        <w:rPr>
          <w:rFonts w:asciiTheme="minorHAnsi" w:hAnsiTheme="minorHAnsi"/>
          <w:i w:val="0"/>
        </w:rPr>
        <w:t xml:space="preserve">Scope of the </w:t>
      </w:r>
      <w:r w:rsidR="00DF4DFD">
        <w:rPr>
          <w:rFonts w:asciiTheme="minorHAnsi" w:hAnsiTheme="minorHAnsi"/>
          <w:i w:val="0"/>
        </w:rPr>
        <w:t>I</w:t>
      </w:r>
      <w:r w:rsidR="005B6B9E" w:rsidRPr="00B049B3">
        <w:rPr>
          <w:rFonts w:asciiTheme="minorHAnsi" w:hAnsiTheme="minorHAnsi"/>
          <w:i w:val="0"/>
        </w:rPr>
        <w:t>mplementation Guide</w:t>
      </w:r>
      <w:bookmarkEnd w:id="4"/>
    </w:p>
    <w:p w14:paraId="2E82F965" w14:textId="77777777" w:rsidR="005B6B9E" w:rsidRDefault="005B6B9E" w:rsidP="00AE3357">
      <w:pPr>
        <w:pStyle w:val="NormalWeb"/>
        <w:rPr>
          <w:rFonts w:ascii="Calibri" w:hAnsi="Calibri" w:cs="Tahoma"/>
          <w:color w:val="000000"/>
          <w:sz w:val="28"/>
          <w:szCs w:val="28"/>
        </w:rPr>
      </w:pPr>
    </w:p>
    <w:p w14:paraId="71A65102" w14:textId="77777777" w:rsidR="005B6B9E" w:rsidRPr="001235C8" w:rsidRDefault="005B6B9E" w:rsidP="00AE3357">
      <w:pPr>
        <w:pStyle w:val="NormalWeb"/>
        <w:rPr>
          <w:rFonts w:ascii="Calibri" w:hAnsi="Calibri" w:cs="Tahoma"/>
          <w:color w:val="000000"/>
        </w:rPr>
      </w:pPr>
      <w:r w:rsidRPr="001235C8">
        <w:rPr>
          <w:rFonts w:ascii="Calibri" w:hAnsi="Calibri" w:cs="Tahoma"/>
          <w:color w:val="000000"/>
        </w:rPr>
        <w:t>The following areas are In Scope for this IG:</w:t>
      </w:r>
    </w:p>
    <w:p w14:paraId="3130C3D1" w14:textId="77777777" w:rsidR="00D55A8E" w:rsidRDefault="00D55A8E" w:rsidP="00203DFB">
      <w:pPr>
        <w:pStyle w:val="NormalWeb"/>
        <w:spacing w:after="200"/>
        <w:rPr>
          <w:rFonts w:ascii="Calibri" w:hAnsi="Calibri" w:cs="Tahoma"/>
          <w:color w:val="000000"/>
        </w:rPr>
      </w:pPr>
    </w:p>
    <w:p w14:paraId="147EB835" w14:textId="4149CA6E" w:rsidR="00FA105A" w:rsidRPr="001235C8" w:rsidRDefault="00FA105A" w:rsidP="009C77AB">
      <w:pPr>
        <w:pStyle w:val="NormalWeb"/>
        <w:numPr>
          <w:ilvl w:val="0"/>
          <w:numId w:val="12"/>
        </w:numPr>
        <w:spacing w:after="200"/>
        <w:rPr>
          <w:rFonts w:ascii="Calibri" w:hAnsi="Calibri" w:cs="Tahoma"/>
          <w:color w:val="000000"/>
        </w:rPr>
      </w:pPr>
      <w:r w:rsidRPr="001235C8">
        <w:rPr>
          <w:rFonts w:ascii="Calibri" w:hAnsi="Calibri" w:cs="Tahoma"/>
          <w:color w:val="000000"/>
        </w:rPr>
        <w:lastRenderedPageBreak/>
        <w:t>The data elements to be retrieved from the EHR to produce the eICR</w:t>
      </w:r>
      <w:r w:rsidR="00180455">
        <w:rPr>
          <w:rFonts w:ascii="Calibri" w:hAnsi="Calibri" w:cs="Tahoma"/>
          <w:color w:val="000000"/>
        </w:rPr>
        <w:t>;</w:t>
      </w:r>
    </w:p>
    <w:p w14:paraId="5C6D941B" w14:textId="5B950493" w:rsidR="005B6B9E" w:rsidRPr="001235C8" w:rsidRDefault="00FA105A" w:rsidP="009C77AB">
      <w:pPr>
        <w:pStyle w:val="NormalWeb"/>
        <w:numPr>
          <w:ilvl w:val="0"/>
          <w:numId w:val="12"/>
        </w:numPr>
        <w:spacing w:after="200"/>
        <w:rPr>
          <w:rFonts w:ascii="Calibri" w:hAnsi="Calibri" w:cs="Tahoma"/>
          <w:color w:val="000000"/>
        </w:rPr>
      </w:pPr>
      <w:r w:rsidRPr="001235C8">
        <w:rPr>
          <w:rFonts w:ascii="Calibri" w:hAnsi="Calibri" w:cs="Tahoma"/>
          <w:color w:val="000000"/>
        </w:rPr>
        <w:t>The specification of an eICR</w:t>
      </w:r>
      <w:r w:rsidR="00180455">
        <w:rPr>
          <w:rFonts w:ascii="Calibri" w:hAnsi="Calibri" w:cs="Tahoma"/>
          <w:color w:val="000000"/>
        </w:rPr>
        <w:t>;</w:t>
      </w:r>
    </w:p>
    <w:p w14:paraId="72D7BB41" w14:textId="7EDD52D7" w:rsidR="00314144" w:rsidRDefault="00314144" w:rsidP="009C77AB">
      <w:pPr>
        <w:pStyle w:val="NormalWeb"/>
        <w:numPr>
          <w:ilvl w:val="0"/>
          <w:numId w:val="12"/>
        </w:numPr>
        <w:spacing w:after="200"/>
        <w:rPr>
          <w:rFonts w:ascii="Calibri" w:hAnsi="Calibri" w:cs="Tahoma"/>
          <w:color w:val="000000"/>
        </w:rPr>
      </w:pPr>
      <w:r w:rsidRPr="001235C8">
        <w:rPr>
          <w:rFonts w:ascii="Calibri" w:hAnsi="Calibri" w:cs="Tahoma"/>
          <w:color w:val="000000"/>
        </w:rPr>
        <w:t>The structure of the eICR in HL7 CDA R2 format</w:t>
      </w:r>
      <w:r w:rsidR="00180455">
        <w:rPr>
          <w:rFonts w:ascii="Calibri" w:hAnsi="Calibri" w:cs="Tahoma"/>
          <w:color w:val="000000"/>
        </w:rPr>
        <w:t>;</w:t>
      </w:r>
    </w:p>
    <w:p w14:paraId="0314BBCB" w14:textId="46E7BA0C" w:rsidR="00032A5F" w:rsidRPr="001E7512" w:rsidRDefault="00D800AA" w:rsidP="009C77AB">
      <w:pPr>
        <w:pStyle w:val="ListParagraph"/>
        <w:numPr>
          <w:ilvl w:val="0"/>
          <w:numId w:val="12"/>
        </w:numPr>
        <w:spacing w:line="271" w:lineRule="auto"/>
        <w:ind w:right="36"/>
        <w:contextualSpacing w:val="0"/>
        <w:rPr>
          <w:sz w:val="24"/>
          <w:szCs w:val="24"/>
        </w:rPr>
      </w:pPr>
      <w:r>
        <w:rPr>
          <w:sz w:val="24"/>
          <w:szCs w:val="24"/>
        </w:rPr>
        <w:t xml:space="preserve">A description of </w:t>
      </w:r>
      <w:r w:rsidR="00032A5F" w:rsidRPr="001E7512">
        <w:rPr>
          <w:sz w:val="24"/>
          <w:szCs w:val="24"/>
        </w:rPr>
        <w:t>the stakeholders and actors for each public health reporting User Story</w:t>
      </w:r>
      <w:r w:rsidR="00180455">
        <w:rPr>
          <w:sz w:val="24"/>
          <w:szCs w:val="24"/>
        </w:rPr>
        <w:t>;</w:t>
      </w:r>
      <w:r w:rsidR="00032A5F" w:rsidRPr="001E7512">
        <w:rPr>
          <w:sz w:val="24"/>
          <w:szCs w:val="24"/>
        </w:rPr>
        <w:t xml:space="preserve"> </w:t>
      </w:r>
    </w:p>
    <w:p w14:paraId="1F16EDBA" w14:textId="42D94144" w:rsidR="00032A5F" w:rsidRPr="001E7512" w:rsidRDefault="0065463B" w:rsidP="009C77AB">
      <w:pPr>
        <w:pStyle w:val="ListParagraph"/>
        <w:numPr>
          <w:ilvl w:val="0"/>
          <w:numId w:val="12"/>
        </w:numPr>
        <w:spacing w:line="271" w:lineRule="auto"/>
        <w:ind w:right="36"/>
        <w:contextualSpacing w:val="0"/>
        <w:rPr>
          <w:sz w:val="24"/>
          <w:szCs w:val="24"/>
        </w:rPr>
      </w:pPr>
      <w:r>
        <w:rPr>
          <w:sz w:val="24"/>
          <w:szCs w:val="24"/>
        </w:rPr>
        <w:t xml:space="preserve">The definition of </w:t>
      </w:r>
      <w:r w:rsidR="00032A5F" w:rsidRPr="001E7512">
        <w:rPr>
          <w:sz w:val="24"/>
          <w:szCs w:val="24"/>
        </w:rPr>
        <w:t>a standard exchange format including structure and content (i.e., vocabulary)</w:t>
      </w:r>
      <w:r w:rsidR="00180455">
        <w:rPr>
          <w:sz w:val="24"/>
          <w:szCs w:val="24"/>
        </w:rPr>
        <w:t>; and</w:t>
      </w:r>
      <w:r w:rsidR="00032A5F" w:rsidRPr="001E7512">
        <w:rPr>
          <w:sz w:val="24"/>
          <w:szCs w:val="24"/>
        </w:rPr>
        <w:t xml:space="preserve"> </w:t>
      </w:r>
    </w:p>
    <w:p w14:paraId="4FCF92A8" w14:textId="31F93D04" w:rsidR="00032A5F" w:rsidRPr="001E7512" w:rsidRDefault="00032A5F" w:rsidP="009C77AB">
      <w:pPr>
        <w:pStyle w:val="ListParagraph"/>
        <w:numPr>
          <w:ilvl w:val="0"/>
          <w:numId w:val="12"/>
        </w:numPr>
        <w:spacing w:line="271" w:lineRule="auto"/>
        <w:ind w:right="36"/>
        <w:contextualSpacing w:val="0"/>
        <w:rPr>
          <w:sz w:val="24"/>
          <w:szCs w:val="24"/>
        </w:rPr>
      </w:pPr>
      <w:r w:rsidRPr="001E7512">
        <w:rPr>
          <w:sz w:val="24"/>
          <w:szCs w:val="24"/>
        </w:rPr>
        <w:t>Identif</w:t>
      </w:r>
      <w:r w:rsidR="0065463B">
        <w:rPr>
          <w:sz w:val="24"/>
          <w:szCs w:val="24"/>
        </w:rPr>
        <w:t xml:space="preserve">ication of </w:t>
      </w:r>
      <w:r w:rsidRPr="001E7512">
        <w:rPr>
          <w:sz w:val="24"/>
          <w:szCs w:val="24"/>
        </w:rPr>
        <w:t xml:space="preserve">the </w:t>
      </w:r>
      <w:r w:rsidR="00515BB8">
        <w:rPr>
          <w:sz w:val="24"/>
          <w:szCs w:val="24"/>
        </w:rPr>
        <w:t xml:space="preserve">full </w:t>
      </w:r>
      <w:r w:rsidRPr="001E7512">
        <w:rPr>
          <w:sz w:val="24"/>
          <w:szCs w:val="24"/>
        </w:rPr>
        <w:t xml:space="preserve">requirements to </w:t>
      </w:r>
      <w:r w:rsidR="008A1353">
        <w:rPr>
          <w:sz w:val="24"/>
          <w:szCs w:val="24"/>
        </w:rPr>
        <w:t>generate</w:t>
      </w:r>
      <w:r w:rsidRPr="001E7512">
        <w:rPr>
          <w:sz w:val="24"/>
          <w:szCs w:val="24"/>
        </w:rPr>
        <w:t xml:space="preserve"> reports from EHR systems (in all clinical settings where EHR data is used for reporting purposes</w:t>
      </w:r>
      <w:r w:rsidR="0065463B">
        <w:rPr>
          <w:sz w:val="24"/>
          <w:szCs w:val="24"/>
        </w:rPr>
        <w:t xml:space="preserve">, e.g., </w:t>
      </w:r>
      <w:r w:rsidRPr="001E7512">
        <w:rPr>
          <w:sz w:val="24"/>
          <w:szCs w:val="24"/>
        </w:rPr>
        <w:t>inpatient, outpatient, emergency room, urgent care) to public health agencies (Note:  reports may include administrative, laboratory, pharmacy and/or other information imported from separate systems into the EHR)</w:t>
      </w:r>
      <w:r w:rsidR="00180455">
        <w:rPr>
          <w:sz w:val="24"/>
          <w:szCs w:val="24"/>
        </w:rPr>
        <w:t>.</w:t>
      </w:r>
      <w:r w:rsidRPr="001E7512">
        <w:rPr>
          <w:sz w:val="24"/>
          <w:szCs w:val="24"/>
        </w:rPr>
        <w:t xml:space="preserve"> </w:t>
      </w:r>
    </w:p>
    <w:p w14:paraId="59379895" w14:textId="77777777" w:rsidR="00FA105A" w:rsidRPr="001235C8" w:rsidRDefault="00FA105A" w:rsidP="005B6B9E">
      <w:pPr>
        <w:pStyle w:val="NormalWeb"/>
        <w:rPr>
          <w:rFonts w:ascii="Calibri" w:hAnsi="Calibri" w:cs="Tahoma"/>
          <w:color w:val="000000"/>
        </w:rPr>
      </w:pPr>
    </w:p>
    <w:p w14:paraId="44E58297" w14:textId="77777777" w:rsidR="00FA105A" w:rsidRDefault="005B6B9E" w:rsidP="00FA105A">
      <w:pPr>
        <w:pStyle w:val="NormalWeb"/>
        <w:rPr>
          <w:rFonts w:ascii="Calibri" w:hAnsi="Calibri" w:cs="Tahoma"/>
          <w:color w:val="000000"/>
        </w:rPr>
      </w:pPr>
      <w:r w:rsidRPr="001235C8">
        <w:rPr>
          <w:rFonts w:ascii="Calibri" w:hAnsi="Calibri" w:cs="Tahoma"/>
          <w:color w:val="000000"/>
        </w:rPr>
        <w:t>The following areas are Out of Scope for this IG:</w:t>
      </w:r>
    </w:p>
    <w:p w14:paraId="27E409F9" w14:textId="77777777" w:rsidR="00D55A8E" w:rsidRPr="001235C8" w:rsidRDefault="00D55A8E" w:rsidP="00FA105A">
      <w:pPr>
        <w:pStyle w:val="NormalWeb"/>
        <w:rPr>
          <w:rFonts w:ascii="Calibri" w:hAnsi="Calibri" w:cs="Tahoma"/>
          <w:color w:val="000000"/>
        </w:rPr>
      </w:pPr>
    </w:p>
    <w:p w14:paraId="33CFBB5D" w14:textId="1D02424A" w:rsidR="00FA105A" w:rsidRPr="001E7512" w:rsidRDefault="00B2354A" w:rsidP="009B6E55">
      <w:pPr>
        <w:pStyle w:val="ListParagraph"/>
        <w:numPr>
          <w:ilvl w:val="0"/>
          <w:numId w:val="12"/>
        </w:numPr>
        <w:spacing w:line="271" w:lineRule="auto"/>
        <w:ind w:right="43"/>
        <w:contextualSpacing w:val="0"/>
        <w:rPr>
          <w:sz w:val="24"/>
          <w:szCs w:val="24"/>
        </w:rPr>
      </w:pPr>
      <w:r w:rsidRPr="001E7512">
        <w:rPr>
          <w:sz w:val="24"/>
          <w:szCs w:val="24"/>
        </w:rPr>
        <w:t xml:space="preserve">The </w:t>
      </w:r>
      <w:r w:rsidR="009B6E55" w:rsidRPr="009B6E55">
        <w:rPr>
          <w:sz w:val="24"/>
          <w:szCs w:val="24"/>
        </w:rPr>
        <w:t>definition, specification, format, and vocabularies used, and specific examples or instances of</w:t>
      </w:r>
      <w:r w:rsidR="00FA105A" w:rsidRPr="001E7512">
        <w:rPr>
          <w:sz w:val="24"/>
          <w:szCs w:val="24"/>
        </w:rPr>
        <w:t xml:space="preserve"> trigger codes used to initiate the sending of an eICR</w:t>
      </w:r>
      <w:r w:rsidR="00180455">
        <w:rPr>
          <w:sz w:val="24"/>
          <w:szCs w:val="24"/>
        </w:rPr>
        <w:t>;</w:t>
      </w:r>
    </w:p>
    <w:p w14:paraId="4353B6D3" w14:textId="7AB5C208" w:rsidR="00FA105A" w:rsidRPr="001E7512" w:rsidRDefault="00B2354A" w:rsidP="009C77AB">
      <w:pPr>
        <w:pStyle w:val="ListParagraph"/>
        <w:numPr>
          <w:ilvl w:val="0"/>
          <w:numId w:val="12"/>
        </w:numPr>
        <w:spacing w:line="271" w:lineRule="auto"/>
        <w:ind w:right="43"/>
        <w:contextualSpacing w:val="0"/>
        <w:rPr>
          <w:sz w:val="24"/>
          <w:szCs w:val="24"/>
        </w:rPr>
      </w:pPr>
      <w:r w:rsidRPr="001E7512">
        <w:rPr>
          <w:sz w:val="24"/>
          <w:szCs w:val="24"/>
        </w:rPr>
        <w:t>The s</w:t>
      </w:r>
      <w:r w:rsidR="00FA105A" w:rsidRPr="001E7512">
        <w:rPr>
          <w:sz w:val="24"/>
          <w:szCs w:val="24"/>
        </w:rPr>
        <w:t>pecifications for supplemental data</w:t>
      </w:r>
      <w:r w:rsidR="00D773F7">
        <w:rPr>
          <w:sz w:val="24"/>
          <w:szCs w:val="24"/>
        </w:rPr>
        <w:t xml:space="preserve"> associated with a report of a reportable condition</w:t>
      </w:r>
      <w:r w:rsidR="00180455">
        <w:rPr>
          <w:sz w:val="24"/>
          <w:szCs w:val="24"/>
        </w:rPr>
        <w:t>;</w:t>
      </w:r>
    </w:p>
    <w:p w14:paraId="7D99A6E6" w14:textId="29E1B31B" w:rsidR="00C55941" w:rsidRPr="001E7512" w:rsidRDefault="00B2354A" w:rsidP="009C77AB">
      <w:pPr>
        <w:pStyle w:val="ListParagraph"/>
        <w:numPr>
          <w:ilvl w:val="0"/>
          <w:numId w:val="12"/>
        </w:numPr>
        <w:spacing w:line="271" w:lineRule="auto"/>
        <w:ind w:right="43"/>
        <w:contextualSpacing w:val="0"/>
        <w:rPr>
          <w:sz w:val="24"/>
          <w:szCs w:val="24"/>
        </w:rPr>
      </w:pPr>
      <w:r w:rsidRPr="001E7512">
        <w:rPr>
          <w:sz w:val="24"/>
          <w:szCs w:val="24"/>
        </w:rPr>
        <w:t xml:space="preserve">The </w:t>
      </w:r>
      <w:r w:rsidR="00A34022" w:rsidRPr="001E7512">
        <w:rPr>
          <w:sz w:val="24"/>
          <w:szCs w:val="24"/>
        </w:rPr>
        <w:t xml:space="preserve">specific </w:t>
      </w:r>
      <w:r w:rsidRPr="001E7512">
        <w:rPr>
          <w:sz w:val="24"/>
          <w:szCs w:val="24"/>
        </w:rPr>
        <w:t>m</w:t>
      </w:r>
      <w:r w:rsidR="005B6B9E" w:rsidRPr="001E7512">
        <w:rPr>
          <w:sz w:val="24"/>
          <w:szCs w:val="24"/>
        </w:rPr>
        <w:t>ethods for providers to transmit eICRs to Public Health Agencies (PHAs)</w:t>
      </w:r>
      <w:r w:rsidR="00A34022" w:rsidRPr="001E7512">
        <w:rPr>
          <w:sz w:val="24"/>
          <w:szCs w:val="24"/>
        </w:rPr>
        <w:t>. Some of these are described in this IG for context purposes only</w:t>
      </w:r>
      <w:r w:rsidR="00180455">
        <w:rPr>
          <w:sz w:val="24"/>
          <w:szCs w:val="24"/>
        </w:rPr>
        <w:t>;</w:t>
      </w:r>
    </w:p>
    <w:p w14:paraId="0AA4B520" w14:textId="0990DE67" w:rsidR="005B6B9E" w:rsidRPr="001E7512" w:rsidRDefault="00B2354A" w:rsidP="009C77AB">
      <w:pPr>
        <w:pStyle w:val="ListParagraph"/>
        <w:numPr>
          <w:ilvl w:val="0"/>
          <w:numId w:val="12"/>
        </w:numPr>
        <w:spacing w:line="271" w:lineRule="auto"/>
        <w:ind w:right="43"/>
        <w:contextualSpacing w:val="0"/>
        <w:rPr>
          <w:sz w:val="24"/>
          <w:szCs w:val="24"/>
        </w:rPr>
      </w:pPr>
      <w:r w:rsidRPr="001E7512">
        <w:rPr>
          <w:sz w:val="24"/>
          <w:szCs w:val="24"/>
        </w:rPr>
        <w:t>The m</w:t>
      </w:r>
      <w:r w:rsidR="005B6B9E" w:rsidRPr="001E7512">
        <w:rPr>
          <w:sz w:val="24"/>
          <w:szCs w:val="24"/>
        </w:rPr>
        <w:t>ethods for PHAs to receive and process eICRs</w:t>
      </w:r>
      <w:r w:rsidR="00180455">
        <w:rPr>
          <w:sz w:val="24"/>
          <w:szCs w:val="24"/>
        </w:rPr>
        <w:t>;</w:t>
      </w:r>
    </w:p>
    <w:p w14:paraId="7B9EC533" w14:textId="15B0DE40" w:rsidR="00FB691B" w:rsidRPr="001E7512" w:rsidRDefault="00FB691B" w:rsidP="009C77AB">
      <w:pPr>
        <w:pStyle w:val="ListParagraph"/>
        <w:numPr>
          <w:ilvl w:val="0"/>
          <w:numId w:val="12"/>
        </w:numPr>
        <w:spacing w:line="271" w:lineRule="auto"/>
        <w:ind w:right="43"/>
        <w:contextualSpacing w:val="0"/>
        <w:rPr>
          <w:sz w:val="24"/>
          <w:szCs w:val="24"/>
        </w:rPr>
      </w:pPr>
      <w:r w:rsidRPr="001E7512">
        <w:rPr>
          <w:sz w:val="24"/>
          <w:szCs w:val="24"/>
        </w:rPr>
        <w:t xml:space="preserve">The specification and methods for sending a “notice of </w:t>
      </w:r>
      <w:r w:rsidR="001C3B6C" w:rsidRPr="001E7512">
        <w:rPr>
          <w:sz w:val="24"/>
          <w:szCs w:val="24"/>
        </w:rPr>
        <w:t>reportability</w:t>
      </w:r>
      <w:r w:rsidRPr="001E7512">
        <w:rPr>
          <w:sz w:val="24"/>
          <w:szCs w:val="24"/>
        </w:rPr>
        <w:t>” or other information from the PHA to clinical care</w:t>
      </w:r>
      <w:r w:rsidR="00180455">
        <w:rPr>
          <w:sz w:val="24"/>
          <w:szCs w:val="24"/>
        </w:rPr>
        <w:t>;</w:t>
      </w:r>
    </w:p>
    <w:p w14:paraId="6BC551EE" w14:textId="3D4B0602" w:rsidR="005B6B9E" w:rsidRPr="001E7512" w:rsidRDefault="00B2354A" w:rsidP="009C77AB">
      <w:pPr>
        <w:pStyle w:val="ListParagraph"/>
        <w:numPr>
          <w:ilvl w:val="0"/>
          <w:numId w:val="12"/>
        </w:numPr>
        <w:spacing w:line="271" w:lineRule="auto"/>
        <w:ind w:right="43"/>
        <w:contextualSpacing w:val="0"/>
        <w:rPr>
          <w:sz w:val="24"/>
          <w:szCs w:val="24"/>
        </w:rPr>
      </w:pPr>
      <w:r w:rsidRPr="001E7512">
        <w:rPr>
          <w:sz w:val="24"/>
          <w:szCs w:val="24"/>
        </w:rPr>
        <w:t>The s</w:t>
      </w:r>
      <w:r w:rsidR="005B6B9E" w:rsidRPr="001E7512">
        <w:rPr>
          <w:sz w:val="24"/>
          <w:szCs w:val="24"/>
        </w:rPr>
        <w:t>pecifications for PHAs to notify the Centers for Dis</w:t>
      </w:r>
      <w:r w:rsidR="00FA105A" w:rsidRPr="001E7512">
        <w:rPr>
          <w:sz w:val="24"/>
          <w:szCs w:val="24"/>
        </w:rPr>
        <w:t>ease Control and Prevention of nationally n</w:t>
      </w:r>
      <w:r w:rsidR="005B6B9E" w:rsidRPr="001E7512">
        <w:rPr>
          <w:sz w:val="24"/>
          <w:szCs w:val="24"/>
        </w:rPr>
        <w:t xml:space="preserve">otifiable </w:t>
      </w:r>
      <w:r w:rsidR="00FA105A" w:rsidRPr="001E7512">
        <w:rPr>
          <w:sz w:val="24"/>
          <w:szCs w:val="24"/>
        </w:rPr>
        <w:t>diseases</w:t>
      </w:r>
      <w:r w:rsidR="00180455">
        <w:rPr>
          <w:sz w:val="24"/>
          <w:szCs w:val="24"/>
        </w:rPr>
        <w:t>;</w:t>
      </w:r>
    </w:p>
    <w:p w14:paraId="062BB618" w14:textId="6B06F742"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 xml:space="preserve">The definition of </w:t>
      </w:r>
      <w:r w:rsidR="00032A5F" w:rsidRPr="001E7512">
        <w:rPr>
          <w:sz w:val="24"/>
          <w:szCs w:val="24"/>
        </w:rPr>
        <w:t xml:space="preserve">specifications and guidelines on reportable event criteria (e.g., defining reportable conditions) – this </w:t>
      </w:r>
      <w:r w:rsidR="0040791E" w:rsidRPr="001E7512">
        <w:rPr>
          <w:sz w:val="24"/>
          <w:szCs w:val="24"/>
        </w:rPr>
        <w:t xml:space="preserve">implementation guide </w:t>
      </w:r>
      <w:r w:rsidR="00032A5F" w:rsidRPr="001E7512">
        <w:rPr>
          <w:sz w:val="24"/>
          <w:szCs w:val="24"/>
        </w:rPr>
        <w:t>will enable healthcare providers to submit a</w:t>
      </w:r>
      <w:r w:rsidR="004A6725">
        <w:rPr>
          <w:sz w:val="24"/>
          <w:szCs w:val="24"/>
        </w:rPr>
        <w:t>n</w:t>
      </w:r>
      <w:r w:rsidR="00032A5F" w:rsidRPr="001E7512">
        <w:rPr>
          <w:sz w:val="24"/>
          <w:szCs w:val="24"/>
        </w:rPr>
        <w:t xml:space="preserve"> </w:t>
      </w:r>
      <w:r w:rsidR="004A6725">
        <w:rPr>
          <w:sz w:val="24"/>
          <w:szCs w:val="24"/>
        </w:rPr>
        <w:t xml:space="preserve">initial case </w:t>
      </w:r>
      <w:r w:rsidR="00032A5F" w:rsidRPr="001E7512">
        <w:rPr>
          <w:sz w:val="24"/>
          <w:szCs w:val="24"/>
        </w:rPr>
        <w:t>report</w:t>
      </w:r>
      <w:r w:rsidR="004A6725">
        <w:rPr>
          <w:sz w:val="24"/>
          <w:szCs w:val="24"/>
        </w:rPr>
        <w:t xml:space="preserve">, </w:t>
      </w:r>
      <w:r w:rsidR="00032A5F" w:rsidRPr="001E7512">
        <w:rPr>
          <w:sz w:val="24"/>
          <w:szCs w:val="24"/>
        </w:rPr>
        <w:t xml:space="preserve"> but will not defin</w:t>
      </w:r>
      <w:r w:rsidR="00370C30" w:rsidRPr="001E7512">
        <w:rPr>
          <w:sz w:val="24"/>
          <w:szCs w:val="24"/>
        </w:rPr>
        <w:t>e</w:t>
      </w:r>
      <w:r w:rsidR="00032A5F" w:rsidRPr="001E7512">
        <w:rPr>
          <w:sz w:val="24"/>
          <w:szCs w:val="24"/>
        </w:rPr>
        <w:t xml:space="preserve"> </w:t>
      </w:r>
      <w:r w:rsidR="00370C30" w:rsidRPr="001E7512">
        <w:rPr>
          <w:sz w:val="24"/>
          <w:szCs w:val="24"/>
        </w:rPr>
        <w:t xml:space="preserve">all </w:t>
      </w:r>
      <w:r w:rsidR="00032A5F" w:rsidRPr="001E7512">
        <w:rPr>
          <w:sz w:val="24"/>
          <w:szCs w:val="24"/>
        </w:rPr>
        <w:t>the reporting criteria</w:t>
      </w:r>
      <w:r w:rsidR="004A6725">
        <w:rPr>
          <w:sz w:val="24"/>
          <w:szCs w:val="24"/>
        </w:rPr>
        <w:t xml:space="preserve"> or all potential elements that a jurisdiction may want in a complete report</w:t>
      </w:r>
      <w:r w:rsidR="00180455">
        <w:rPr>
          <w:sz w:val="24"/>
          <w:szCs w:val="24"/>
        </w:rPr>
        <w:t>;</w:t>
      </w:r>
    </w:p>
    <w:p w14:paraId="55F5749C" w14:textId="0548845C"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lastRenderedPageBreak/>
        <w:t xml:space="preserve">The definition of </w:t>
      </w:r>
      <w:r w:rsidR="00032A5F" w:rsidRPr="001E7512">
        <w:rPr>
          <w:sz w:val="24"/>
          <w:szCs w:val="24"/>
        </w:rPr>
        <w:t>automated ‘business rules’ to identify potential reportable events – this</w:t>
      </w:r>
      <w:r w:rsidR="00370C30" w:rsidRPr="001E7512">
        <w:rPr>
          <w:sz w:val="24"/>
          <w:szCs w:val="24"/>
        </w:rPr>
        <w:t xml:space="preserve"> implementation guide</w:t>
      </w:r>
      <w:r w:rsidR="00032A5F" w:rsidRPr="001E7512">
        <w:rPr>
          <w:sz w:val="24"/>
          <w:szCs w:val="24"/>
        </w:rPr>
        <w:t xml:space="preserve"> will enable healthcare providers to submit a report but will not describe the criteria or business rules to identify when such a</w:t>
      </w:r>
      <w:r w:rsidR="00370C30" w:rsidRPr="001E7512">
        <w:rPr>
          <w:sz w:val="24"/>
          <w:szCs w:val="24"/>
        </w:rPr>
        <w:t>n eICR</w:t>
      </w:r>
      <w:r w:rsidR="00032A5F" w:rsidRPr="001E7512">
        <w:rPr>
          <w:sz w:val="24"/>
          <w:szCs w:val="24"/>
        </w:rPr>
        <w:t xml:space="preserve"> should be sent</w:t>
      </w:r>
      <w:r w:rsidR="00180455">
        <w:rPr>
          <w:sz w:val="24"/>
          <w:szCs w:val="24"/>
        </w:rPr>
        <w:t>;</w:t>
      </w:r>
      <w:r w:rsidR="00032A5F" w:rsidRPr="001E7512">
        <w:rPr>
          <w:sz w:val="24"/>
          <w:szCs w:val="24"/>
        </w:rPr>
        <w:t xml:space="preserve"> </w:t>
      </w:r>
    </w:p>
    <w:p w14:paraId="44875FDC" w14:textId="4A0A67C2"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 xml:space="preserve">The description of </w:t>
      </w:r>
      <w:r w:rsidR="00032A5F" w:rsidRPr="001E7512">
        <w:rPr>
          <w:sz w:val="24"/>
          <w:szCs w:val="24"/>
        </w:rPr>
        <w:t>the process for healthcare providers to add information into an EHR or auxiliary system</w:t>
      </w:r>
      <w:r w:rsidR="00180455">
        <w:rPr>
          <w:sz w:val="24"/>
          <w:szCs w:val="24"/>
        </w:rPr>
        <w:t>;</w:t>
      </w:r>
      <w:r w:rsidR="00032A5F" w:rsidRPr="001E7512">
        <w:rPr>
          <w:sz w:val="24"/>
          <w:szCs w:val="24"/>
        </w:rPr>
        <w:t xml:space="preserve"> </w:t>
      </w:r>
    </w:p>
    <w:p w14:paraId="187556F0" w14:textId="0C3B4902"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 xml:space="preserve">The description of </w:t>
      </w:r>
      <w:r w:rsidR="00032A5F" w:rsidRPr="001E7512">
        <w:rPr>
          <w:sz w:val="24"/>
          <w:szCs w:val="24"/>
        </w:rPr>
        <w:t>the process for public health agencies to perform follow-up activities, including case monitoring</w:t>
      </w:r>
      <w:r w:rsidR="00180455">
        <w:rPr>
          <w:sz w:val="24"/>
          <w:szCs w:val="24"/>
        </w:rPr>
        <w:t>;</w:t>
      </w:r>
      <w:r w:rsidR="00032A5F" w:rsidRPr="001E7512">
        <w:rPr>
          <w:sz w:val="24"/>
          <w:szCs w:val="24"/>
        </w:rPr>
        <w:t xml:space="preserve"> </w:t>
      </w:r>
    </w:p>
    <w:p w14:paraId="6894EAC2" w14:textId="596C88CC"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 xml:space="preserve">The definition of </w:t>
      </w:r>
      <w:r w:rsidR="00032A5F" w:rsidRPr="001E7512">
        <w:rPr>
          <w:sz w:val="24"/>
          <w:szCs w:val="24"/>
        </w:rPr>
        <w:t>specifications and guidelines for reporting by means other than the transmission of an electronic message or document (e.g., telephone voice, manual web-entry and mailed or faxed information)</w:t>
      </w:r>
      <w:r w:rsidR="00180455">
        <w:rPr>
          <w:sz w:val="24"/>
          <w:szCs w:val="24"/>
        </w:rPr>
        <w:t>;</w:t>
      </w:r>
      <w:r w:rsidR="00032A5F" w:rsidRPr="001E7512">
        <w:rPr>
          <w:sz w:val="24"/>
          <w:szCs w:val="24"/>
        </w:rPr>
        <w:t xml:space="preserve"> </w:t>
      </w:r>
    </w:p>
    <w:p w14:paraId="33FF0FCF" w14:textId="4B8E51BD"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 xml:space="preserve">The description of </w:t>
      </w:r>
      <w:r w:rsidR="00032A5F" w:rsidRPr="001E7512">
        <w:rPr>
          <w:sz w:val="24"/>
          <w:szCs w:val="24"/>
        </w:rPr>
        <w:t xml:space="preserve">any additional or extensive bi-directional communication between a </w:t>
      </w:r>
      <w:r w:rsidR="00665700">
        <w:rPr>
          <w:sz w:val="24"/>
          <w:szCs w:val="24"/>
        </w:rPr>
        <w:t>PHA</w:t>
      </w:r>
      <w:r w:rsidR="00032A5F" w:rsidRPr="001E7512">
        <w:rPr>
          <w:sz w:val="24"/>
          <w:szCs w:val="24"/>
        </w:rPr>
        <w:t xml:space="preserve"> and a healthcare provider beyond the sending of an </w:t>
      </w:r>
      <w:r w:rsidR="00C712BC">
        <w:rPr>
          <w:sz w:val="24"/>
          <w:szCs w:val="24"/>
        </w:rPr>
        <w:t xml:space="preserve">eICR; </w:t>
      </w:r>
      <w:r w:rsidR="00032A5F" w:rsidRPr="001E7512">
        <w:rPr>
          <w:sz w:val="24"/>
          <w:szCs w:val="24"/>
        </w:rPr>
        <w:t xml:space="preserve"> </w:t>
      </w:r>
    </w:p>
    <w:p w14:paraId="4F515C99" w14:textId="34A495E3"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The i</w:t>
      </w:r>
      <w:r w:rsidR="00032A5F" w:rsidRPr="001E7512">
        <w:rPr>
          <w:sz w:val="24"/>
          <w:szCs w:val="24"/>
        </w:rPr>
        <w:t>dentif</w:t>
      </w:r>
      <w:r>
        <w:rPr>
          <w:sz w:val="24"/>
          <w:szCs w:val="24"/>
        </w:rPr>
        <w:t xml:space="preserve">ication of </w:t>
      </w:r>
      <w:r w:rsidR="00032A5F" w:rsidRPr="001E7512">
        <w:rPr>
          <w:sz w:val="24"/>
          <w:szCs w:val="24"/>
        </w:rPr>
        <w:t>security requirements, methodologies, procedures,  and/or protocols</w:t>
      </w:r>
      <w:r w:rsidR="00180455">
        <w:rPr>
          <w:sz w:val="24"/>
          <w:szCs w:val="24"/>
        </w:rPr>
        <w:t>; and</w:t>
      </w:r>
      <w:r w:rsidR="00032A5F" w:rsidRPr="001E7512">
        <w:rPr>
          <w:sz w:val="24"/>
          <w:szCs w:val="24"/>
        </w:rPr>
        <w:t xml:space="preserve"> </w:t>
      </w:r>
    </w:p>
    <w:p w14:paraId="7F5A35D1" w14:textId="716CEF18" w:rsidR="00032A5F" w:rsidRPr="001E7512" w:rsidRDefault="0065463B" w:rsidP="009C77AB">
      <w:pPr>
        <w:pStyle w:val="ListParagraph"/>
        <w:numPr>
          <w:ilvl w:val="0"/>
          <w:numId w:val="12"/>
        </w:numPr>
        <w:spacing w:line="271" w:lineRule="auto"/>
        <w:ind w:right="43"/>
        <w:contextualSpacing w:val="0"/>
        <w:rPr>
          <w:sz w:val="24"/>
          <w:szCs w:val="24"/>
        </w:rPr>
      </w:pPr>
      <w:r>
        <w:rPr>
          <w:sz w:val="24"/>
          <w:szCs w:val="24"/>
        </w:rPr>
        <w:t>The i</w:t>
      </w:r>
      <w:r w:rsidR="00032A5F" w:rsidRPr="001E7512">
        <w:rPr>
          <w:sz w:val="24"/>
          <w:szCs w:val="24"/>
        </w:rPr>
        <w:t>dentif</w:t>
      </w:r>
      <w:r>
        <w:rPr>
          <w:sz w:val="24"/>
          <w:szCs w:val="24"/>
        </w:rPr>
        <w:t xml:space="preserve">ication of </w:t>
      </w:r>
      <w:r w:rsidR="00032A5F" w:rsidRPr="001E7512">
        <w:rPr>
          <w:sz w:val="24"/>
          <w:szCs w:val="24"/>
        </w:rPr>
        <w:t>information and data stewardship practices and policies</w:t>
      </w:r>
      <w:r w:rsidR="00180455">
        <w:rPr>
          <w:sz w:val="24"/>
          <w:szCs w:val="24"/>
        </w:rPr>
        <w:t>.</w:t>
      </w:r>
      <w:r w:rsidR="00032A5F" w:rsidRPr="001E7512">
        <w:rPr>
          <w:sz w:val="24"/>
          <w:szCs w:val="24"/>
        </w:rPr>
        <w:t xml:space="preserve"> </w:t>
      </w:r>
    </w:p>
    <w:p w14:paraId="42CF83C5" w14:textId="77777777" w:rsidR="00032A5F" w:rsidRPr="00F63E75" w:rsidRDefault="00032A5F" w:rsidP="00032A5F">
      <w:pPr>
        <w:spacing w:after="19" w:line="259" w:lineRule="auto"/>
      </w:pPr>
      <w:r>
        <w:t xml:space="preserve"> </w:t>
      </w:r>
    </w:p>
    <w:p w14:paraId="7469DD66" w14:textId="468DBF66" w:rsidR="00032A5F" w:rsidRPr="00B049B3" w:rsidRDefault="00F63E75" w:rsidP="00B049B3">
      <w:pPr>
        <w:pStyle w:val="Heading2nospace"/>
        <w:rPr>
          <w:rFonts w:asciiTheme="minorHAnsi" w:hAnsiTheme="minorHAnsi"/>
          <w:i w:val="0"/>
        </w:rPr>
      </w:pPr>
      <w:bookmarkStart w:id="5" w:name="_Toc436033852"/>
      <w:bookmarkStart w:id="6" w:name="_Toc40063"/>
      <w:r w:rsidRPr="00B049B3">
        <w:rPr>
          <w:rFonts w:asciiTheme="minorHAnsi" w:hAnsiTheme="minorHAnsi"/>
          <w:i w:val="0"/>
        </w:rPr>
        <w:t>1.5</w:t>
      </w:r>
      <w:r w:rsidR="00032A5F" w:rsidRPr="00B049B3">
        <w:rPr>
          <w:rFonts w:asciiTheme="minorHAnsi" w:hAnsiTheme="minorHAnsi"/>
          <w:i w:val="0"/>
        </w:rPr>
        <w:t xml:space="preserve"> Stakeholders</w:t>
      </w:r>
      <w:bookmarkEnd w:id="5"/>
      <w:r w:rsidR="00032A5F" w:rsidRPr="00B049B3">
        <w:rPr>
          <w:rFonts w:asciiTheme="minorHAnsi" w:hAnsiTheme="minorHAnsi"/>
          <w:i w:val="0"/>
        </w:rPr>
        <w:t xml:space="preserve">  </w:t>
      </w:r>
      <w:bookmarkEnd w:id="6"/>
    </w:p>
    <w:p w14:paraId="456F46ED" w14:textId="77777777" w:rsidR="0028488C" w:rsidRDefault="0028488C" w:rsidP="00032A5F">
      <w:pPr>
        <w:spacing w:after="0"/>
        <w:ind w:left="-5" w:right="36"/>
      </w:pPr>
    </w:p>
    <w:p w14:paraId="1C5F817A" w14:textId="7B1D53A4" w:rsidR="00032A5F" w:rsidRPr="001E7512" w:rsidRDefault="008548FE" w:rsidP="00032A5F">
      <w:pPr>
        <w:spacing w:after="0"/>
        <w:ind w:left="-5" w:right="36"/>
        <w:rPr>
          <w:rFonts w:ascii="Calibri" w:hAnsi="Calibri" w:cs="Tahoma"/>
          <w:color w:val="000000"/>
          <w:sz w:val="24"/>
          <w:szCs w:val="24"/>
        </w:rPr>
      </w:pPr>
      <w:r>
        <w:rPr>
          <w:rFonts w:ascii="Calibri" w:hAnsi="Calibri" w:cs="Tahoma"/>
          <w:color w:val="000000"/>
          <w:sz w:val="24"/>
          <w:szCs w:val="24"/>
        </w:rPr>
        <w:t xml:space="preserve">Table </w:t>
      </w:r>
      <w:r w:rsidR="009B70F9">
        <w:rPr>
          <w:rFonts w:ascii="Calibri" w:hAnsi="Calibri" w:cs="Tahoma"/>
          <w:color w:val="000000"/>
          <w:sz w:val="24"/>
          <w:szCs w:val="24"/>
        </w:rPr>
        <w:t>1</w:t>
      </w:r>
      <w:r>
        <w:rPr>
          <w:rFonts w:ascii="Calibri" w:hAnsi="Calibri" w:cs="Tahoma"/>
          <w:color w:val="000000"/>
          <w:sz w:val="24"/>
          <w:szCs w:val="24"/>
        </w:rPr>
        <w:t xml:space="preserve">.  </w:t>
      </w:r>
      <w:r w:rsidR="00032A5F" w:rsidRPr="001E7512">
        <w:rPr>
          <w:rFonts w:ascii="Calibri" w:hAnsi="Calibri" w:cs="Tahoma"/>
          <w:color w:val="000000"/>
          <w:sz w:val="24"/>
          <w:szCs w:val="24"/>
        </w:rPr>
        <w:t>The key stakeholder groups interested in this Use Case</w:t>
      </w:r>
      <w:r w:rsidR="009B70F9">
        <w:rPr>
          <w:rFonts w:ascii="Calibri" w:hAnsi="Calibri" w:cs="Tahoma"/>
          <w:color w:val="000000"/>
          <w:sz w:val="24"/>
          <w:szCs w:val="24"/>
        </w:rPr>
        <w:t xml:space="preserve"> </w:t>
      </w:r>
      <w:r w:rsidR="00032A5F" w:rsidRPr="001E7512">
        <w:rPr>
          <w:rFonts w:ascii="Calibri" w:hAnsi="Calibri" w:cs="Tahoma"/>
          <w:color w:val="000000"/>
          <w:sz w:val="24"/>
          <w:szCs w:val="24"/>
        </w:rPr>
        <w:t xml:space="preserve">are included in the table below. </w:t>
      </w:r>
    </w:p>
    <w:p w14:paraId="38F9C319" w14:textId="77777777" w:rsidR="001E5810" w:rsidRDefault="001E5810" w:rsidP="001E5810">
      <w:r>
        <w:t xml:space="preserve">                                          </w:t>
      </w:r>
    </w:p>
    <w:tbl>
      <w:tblPr>
        <w:tblW w:w="9574" w:type="dxa"/>
        <w:tblInd w:w="-107" w:type="dxa"/>
        <w:tblCellMar>
          <w:left w:w="0" w:type="dxa"/>
          <w:right w:w="0" w:type="dxa"/>
        </w:tblCellMar>
        <w:tblLook w:val="04A0" w:firstRow="1" w:lastRow="0" w:firstColumn="1" w:lastColumn="0" w:noHBand="0" w:noVBand="1"/>
      </w:tblPr>
      <w:tblGrid>
        <w:gridCol w:w="3797"/>
        <w:gridCol w:w="5777"/>
      </w:tblGrid>
      <w:tr w:rsidR="001E5810" w14:paraId="051BAB84" w14:textId="77777777" w:rsidTr="001E5810">
        <w:trPr>
          <w:trHeight w:val="276"/>
        </w:trPr>
        <w:tc>
          <w:tcPr>
            <w:tcW w:w="3797" w:type="dxa"/>
            <w:tcBorders>
              <w:top w:val="single" w:sz="8" w:space="0" w:color="000000"/>
              <w:left w:val="single" w:sz="8" w:space="0" w:color="000000"/>
              <w:bottom w:val="single" w:sz="8" w:space="0" w:color="000000"/>
              <w:right w:val="single" w:sz="8" w:space="0" w:color="000000"/>
            </w:tcBorders>
            <w:shd w:val="clear" w:color="auto" w:fill="4F81BD"/>
            <w:tcMar>
              <w:top w:w="50" w:type="dxa"/>
              <w:left w:w="107" w:type="dxa"/>
              <w:bottom w:w="0" w:type="dxa"/>
              <w:right w:w="65" w:type="dxa"/>
            </w:tcMar>
            <w:hideMark/>
          </w:tcPr>
          <w:p w14:paraId="60BE6B93" w14:textId="77777777" w:rsidR="001E5810" w:rsidRDefault="001E5810">
            <w:pPr>
              <w:spacing w:line="252" w:lineRule="auto"/>
              <w:rPr>
                <w:rFonts w:ascii="Calibri" w:hAnsi="Calibri"/>
              </w:rPr>
            </w:pPr>
            <w:r>
              <w:rPr>
                <w:color w:val="FFFFFF"/>
              </w:rPr>
              <w:t xml:space="preserve">Stakeholders </w:t>
            </w:r>
          </w:p>
        </w:tc>
        <w:tc>
          <w:tcPr>
            <w:tcW w:w="5777" w:type="dxa"/>
            <w:tcBorders>
              <w:top w:val="single" w:sz="8" w:space="0" w:color="000000"/>
              <w:left w:val="nil"/>
              <w:bottom w:val="single" w:sz="8" w:space="0" w:color="000000"/>
              <w:right w:val="single" w:sz="8" w:space="0" w:color="000000"/>
            </w:tcBorders>
            <w:shd w:val="clear" w:color="auto" w:fill="4F81BD"/>
            <w:tcMar>
              <w:top w:w="50" w:type="dxa"/>
              <w:left w:w="107" w:type="dxa"/>
              <w:bottom w:w="0" w:type="dxa"/>
              <w:right w:w="65" w:type="dxa"/>
            </w:tcMar>
            <w:hideMark/>
          </w:tcPr>
          <w:p w14:paraId="0431C9E9" w14:textId="77777777" w:rsidR="001E5810" w:rsidRDefault="001E5810">
            <w:pPr>
              <w:spacing w:line="252" w:lineRule="auto"/>
              <w:rPr>
                <w:rFonts w:ascii="Calibri" w:hAnsi="Calibri"/>
              </w:rPr>
            </w:pPr>
            <w:r>
              <w:rPr>
                <w:color w:val="FFFFFF"/>
              </w:rPr>
              <w:t xml:space="preserve">Description </w:t>
            </w:r>
          </w:p>
        </w:tc>
      </w:tr>
      <w:tr w:rsidR="007811AB" w14:paraId="2218B364" w14:textId="77777777" w:rsidTr="001E5810">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tcPr>
          <w:p w14:paraId="4E730585" w14:textId="1F77D8FC" w:rsidR="007811AB" w:rsidRDefault="007811AB" w:rsidP="007811AB">
            <w:pPr>
              <w:spacing w:line="252" w:lineRule="auto"/>
              <w:rPr>
                <w:rFonts w:ascii="Calibri" w:hAnsi="Calibri"/>
              </w:rPr>
            </w:pPr>
            <w:r>
              <w:t xml:space="preserve">Electronic Health Record (EHR) / </w:t>
            </w:r>
          </w:p>
          <w:p w14:paraId="38926078" w14:textId="5266C1CC" w:rsidR="007811AB" w:rsidRDefault="007811AB" w:rsidP="008548FE">
            <w:pPr>
              <w:spacing w:line="252" w:lineRule="auto"/>
            </w:pPr>
            <w:r>
              <w:t xml:space="preserve">Electronic Medical Record (EMR) </w:t>
            </w:r>
          </w:p>
        </w:tc>
        <w:tc>
          <w:tcPr>
            <w:tcW w:w="5777" w:type="dxa"/>
            <w:tcBorders>
              <w:top w:val="nil"/>
              <w:left w:val="nil"/>
              <w:bottom w:val="single" w:sz="8" w:space="0" w:color="000000"/>
              <w:right w:val="single" w:sz="8" w:space="0" w:color="000000"/>
            </w:tcBorders>
            <w:tcMar>
              <w:top w:w="50" w:type="dxa"/>
              <w:left w:w="107" w:type="dxa"/>
              <w:bottom w:w="0" w:type="dxa"/>
              <w:right w:w="65" w:type="dxa"/>
            </w:tcMar>
          </w:tcPr>
          <w:p w14:paraId="628BA3D3" w14:textId="7F487F45" w:rsidR="007811AB" w:rsidRDefault="00EE168D" w:rsidP="007811AB">
            <w:pPr>
              <w:spacing w:line="252" w:lineRule="auto"/>
            </w:pPr>
            <w:r w:rsidRPr="00EE168D">
              <w:t>The Electronic Health Record (EHR) is a longitudinal electronic record of patient health information generated by one or more encounters in any care delivery setting.  Included in this information are patient demographics, progress notes, problems, medications, vital signs, past medical history, immunizations, laboratory data and radiology reports.  Source: http://www.himss.org/ASP/topics_ehr.asp  For purposes of this IG, EHR can also be interpreted to refer to applications that some vendors may call an Electronic Medical Record (EMR).</w:t>
            </w:r>
          </w:p>
        </w:tc>
      </w:tr>
      <w:tr w:rsidR="007811AB" w14:paraId="5F17B9EA" w14:textId="77777777" w:rsidTr="001E5810">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hideMark/>
          </w:tcPr>
          <w:p w14:paraId="118F9F74" w14:textId="4B259AEE" w:rsidR="007811AB" w:rsidRDefault="007811AB" w:rsidP="007811AB">
            <w:pPr>
              <w:spacing w:line="252" w:lineRule="auto"/>
              <w:rPr>
                <w:rFonts w:ascii="Calibri" w:hAnsi="Calibri"/>
              </w:rPr>
            </w:pPr>
            <w:r>
              <w:lastRenderedPageBreak/>
              <w:t>Healthcare Provider</w:t>
            </w:r>
          </w:p>
        </w:tc>
        <w:tc>
          <w:tcPr>
            <w:tcW w:w="5777" w:type="dxa"/>
            <w:tcBorders>
              <w:top w:val="nil"/>
              <w:left w:val="nil"/>
              <w:bottom w:val="single" w:sz="8" w:space="0" w:color="000000"/>
              <w:right w:val="single" w:sz="8" w:space="0" w:color="000000"/>
            </w:tcBorders>
            <w:tcMar>
              <w:top w:w="50" w:type="dxa"/>
              <w:left w:w="107" w:type="dxa"/>
              <w:bottom w:w="0" w:type="dxa"/>
              <w:right w:w="65" w:type="dxa"/>
            </w:tcMar>
            <w:hideMark/>
          </w:tcPr>
          <w:p w14:paraId="4DE4D6F8" w14:textId="1B4784E9" w:rsidR="007811AB" w:rsidRDefault="007811AB" w:rsidP="00DF4DFD">
            <w:pPr>
              <w:spacing w:line="252" w:lineRule="auto"/>
              <w:rPr>
                <w:rFonts w:ascii="Calibri" w:hAnsi="Calibri"/>
              </w:rPr>
            </w:pPr>
            <w:r>
              <w:t>Any supplier of a healthcare service</w:t>
            </w:r>
            <w:r w:rsidR="00DF4DFD">
              <w:t xml:space="preserve">, i.e., a </w:t>
            </w:r>
            <w:r>
              <w:t>person or organization</w:t>
            </w:r>
            <w:r w:rsidR="00DF4DFD">
              <w:t>,</w:t>
            </w:r>
            <w:r>
              <w:t xml:space="preserve"> that furnishes, bills, or is paid for healthcare in the normal course of business.  Includes physicians and healthcare provider staff, as well as ancillary healthcare personnel (e.g., laboratory personnel)</w:t>
            </w:r>
          </w:p>
        </w:tc>
      </w:tr>
      <w:tr w:rsidR="008548FE" w14:paraId="61D66848" w14:textId="77777777" w:rsidTr="001E5810">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tcPr>
          <w:p w14:paraId="075DDF8A" w14:textId="21C2A873" w:rsidR="008548FE" w:rsidRDefault="008548FE" w:rsidP="008548FE">
            <w:pPr>
              <w:spacing w:line="252" w:lineRule="auto"/>
            </w:pPr>
            <w:r>
              <w:t>Health IT Vendor</w:t>
            </w:r>
          </w:p>
        </w:tc>
        <w:tc>
          <w:tcPr>
            <w:tcW w:w="5777" w:type="dxa"/>
            <w:tcBorders>
              <w:top w:val="nil"/>
              <w:left w:val="nil"/>
              <w:bottom w:val="single" w:sz="8" w:space="0" w:color="000000"/>
              <w:right w:val="single" w:sz="8" w:space="0" w:color="000000"/>
            </w:tcBorders>
            <w:tcMar>
              <w:top w:w="50" w:type="dxa"/>
              <w:left w:w="107" w:type="dxa"/>
              <w:bottom w:w="0" w:type="dxa"/>
              <w:right w:w="65" w:type="dxa"/>
            </w:tcMar>
          </w:tcPr>
          <w:p w14:paraId="3755637C" w14:textId="43C51A65" w:rsidR="008548FE" w:rsidRDefault="008548FE" w:rsidP="008548FE">
            <w:pPr>
              <w:spacing w:line="252" w:lineRule="auto"/>
            </w:pPr>
            <w:r>
              <w:t xml:space="preserve">A vendor or supplier is a company/consortium that provides </w:t>
            </w:r>
            <w:r w:rsidR="00881721" w:rsidRPr="00881721">
              <w:t>health information technology products and/or services, in this case, for supporting health or healthcare.</w:t>
            </w:r>
            <w:r>
              <w:t>.</w:t>
            </w:r>
          </w:p>
        </w:tc>
      </w:tr>
      <w:tr w:rsidR="008548FE" w14:paraId="4AD824B4" w14:textId="77777777" w:rsidTr="001E5810">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tcPr>
          <w:p w14:paraId="6D4FB2BF" w14:textId="7CB584E8" w:rsidR="008548FE" w:rsidRDefault="008548FE" w:rsidP="008548FE">
            <w:pPr>
              <w:rPr>
                <w:rFonts w:ascii="Calibri" w:hAnsi="Calibri"/>
              </w:rPr>
            </w:pPr>
            <w:r>
              <w:t>Intermediary System</w:t>
            </w:r>
          </w:p>
          <w:p w14:paraId="1B234497" w14:textId="6B92C71D" w:rsidR="008548FE" w:rsidRDefault="008548FE" w:rsidP="008548FE">
            <w:pPr>
              <w:spacing w:line="252" w:lineRule="auto"/>
            </w:pPr>
          </w:p>
        </w:tc>
        <w:tc>
          <w:tcPr>
            <w:tcW w:w="5777" w:type="dxa"/>
            <w:tcBorders>
              <w:top w:val="nil"/>
              <w:left w:val="nil"/>
              <w:bottom w:val="single" w:sz="8" w:space="0" w:color="000000"/>
              <w:right w:val="single" w:sz="8" w:space="0" w:color="000000"/>
            </w:tcBorders>
            <w:tcMar>
              <w:top w:w="50" w:type="dxa"/>
              <w:left w:w="107" w:type="dxa"/>
              <w:bottom w:w="0" w:type="dxa"/>
              <w:right w:w="65" w:type="dxa"/>
            </w:tcMar>
          </w:tcPr>
          <w:p w14:paraId="138B06F4" w14:textId="77777777" w:rsidR="008548FE" w:rsidRDefault="008548FE" w:rsidP="008548FE">
            <w:r>
              <w:t xml:space="preserve">System that sits between EHR systems and Public Health Information Systems to facilitate exchange and routing of messages. </w:t>
            </w:r>
          </w:p>
          <w:p w14:paraId="6097D6C2" w14:textId="3C16BE19" w:rsidR="009C70E2" w:rsidRPr="001E7512" w:rsidRDefault="009C70E2" w:rsidP="008548FE">
            <w:pPr>
              <w:rPr>
                <w:rFonts w:ascii="Calibri" w:hAnsi="Calibri"/>
              </w:rPr>
            </w:pPr>
            <w:r>
              <w:t>Examples:</w:t>
            </w:r>
          </w:p>
          <w:p w14:paraId="5796885E" w14:textId="39FEAB98" w:rsidR="008548FE" w:rsidRDefault="009C70E2" w:rsidP="008548FE">
            <w:r>
              <w:t>- Health Information Exchange (HIE) Organizations (</w:t>
            </w:r>
            <w:r w:rsidR="008548FE">
              <w:t>HIEs</w:t>
            </w:r>
            <w:r>
              <w:t>) - O</w:t>
            </w:r>
            <w:r w:rsidR="008548FE">
              <w:t>rganizations</w:t>
            </w:r>
            <w:r w:rsidR="00DF4DFD">
              <w:t xml:space="preserve">, </w:t>
            </w:r>
            <w:r w:rsidR="008548FE">
              <w:t>including state Designated Entities for Health Information Exchange, as well as other organizations</w:t>
            </w:r>
            <w:r w:rsidR="00DF4DFD">
              <w:t xml:space="preserve">, that </w:t>
            </w:r>
            <w:r w:rsidR="008548FE">
              <w:t>manag</w:t>
            </w:r>
            <w:r w:rsidR="00DF4DFD">
              <w:t>e</w:t>
            </w:r>
            <w:r w:rsidR="008548FE">
              <w:t xml:space="preserve"> </w:t>
            </w:r>
            <w:r w:rsidR="00DF4DFD">
              <w:t xml:space="preserve">health </w:t>
            </w:r>
            <w:r w:rsidR="008548FE">
              <w:t>information exchange among different corporate entities. Includes Regional Health Information Organizations (RHIOs).</w:t>
            </w:r>
          </w:p>
          <w:p w14:paraId="330B12AC" w14:textId="196838BC" w:rsidR="008548FE" w:rsidRDefault="009C70E2" w:rsidP="00665700">
            <w:pPr>
              <w:spacing w:line="252" w:lineRule="auto"/>
            </w:pPr>
            <w:r>
              <w:t>- Public Health Community Platform (PHCP) Integration Engine  - A</w:t>
            </w:r>
            <w:r w:rsidR="008548FE">
              <w:t xml:space="preserve">n application that receives messages from the EHR system and parses, and routes messages to a </w:t>
            </w:r>
            <w:r w:rsidR="00665700">
              <w:t>PHA</w:t>
            </w:r>
            <w:r w:rsidR="008548FE">
              <w:t xml:space="preserve"> or </w:t>
            </w:r>
            <w:r w:rsidR="009C0E6D">
              <w:t xml:space="preserve">public health </w:t>
            </w:r>
            <w:r w:rsidR="008548FE">
              <w:t>decision support</w:t>
            </w:r>
            <w:r>
              <w:t>.</w:t>
            </w:r>
          </w:p>
        </w:tc>
      </w:tr>
      <w:tr w:rsidR="008548FE" w14:paraId="33145FE4" w14:textId="77777777" w:rsidTr="00B36FAE">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tcPr>
          <w:p w14:paraId="1A6F196D" w14:textId="183BD123" w:rsidR="008548FE" w:rsidRDefault="008548FE" w:rsidP="008548FE">
            <w:pPr>
              <w:spacing w:line="252" w:lineRule="auto"/>
            </w:pPr>
            <w:r>
              <w:t xml:space="preserve">Laboratory </w:t>
            </w:r>
          </w:p>
        </w:tc>
        <w:tc>
          <w:tcPr>
            <w:tcW w:w="5777" w:type="dxa"/>
            <w:tcBorders>
              <w:top w:val="nil"/>
              <w:left w:val="nil"/>
              <w:bottom w:val="single" w:sz="8" w:space="0" w:color="000000"/>
              <w:right w:val="single" w:sz="8" w:space="0" w:color="000000"/>
            </w:tcBorders>
            <w:tcMar>
              <w:top w:w="50" w:type="dxa"/>
              <w:left w:w="107" w:type="dxa"/>
              <w:bottom w:w="0" w:type="dxa"/>
              <w:right w:w="65" w:type="dxa"/>
            </w:tcMar>
          </w:tcPr>
          <w:p w14:paraId="332F27BE" w14:textId="4F69DA16" w:rsidR="008548FE" w:rsidRDefault="008548FE" w:rsidP="008548FE">
            <w:pPr>
              <w:spacing w:line="252" w:lineRule="auto"/>
            </w:pPr>
            <w:r>
              <w:t>The laboratory is a producer of laboratory test results (filler</w:t>
            </w:r>
            <w:r w:rsidR="00EE168D">
              <w:t xml:space="preserve"> or, at times, placer</w:t>
            </w:r>
            <w:r>
              <w:t xml:space="preserve"> of a laboratory order).   </w:t>
            </w:r>
          </w:p>
        </w:tc>
      </w:tr>
      <w:tr w:rsidR="008548FE" w14:paraId="3860940D" w14:textId="77777777" w:rsidTr="00B36FAE">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tcPr>
          <w:p w14:paraId="0409E19F" w14:textId="395071E8" w:rsidR="008548FE" w:rsidRDefault="008548FE" w:rsidP="008548FE">
            <w:pPr>
              <w:spacing w:line="252" w:lineRule="auto"/>
            </w:pPr>
            <w:r>
              <w:t>Laboratory Information System (LIS)</w:t>
            </w:r>
          </w:p>
        </w:tc>
        <w:tc>
          <w:tcPr>
            <w:tcW w:w="5777" w:type="dxa"/>
            <w:tcBorders>
              <w:top w:val="nil"/>
              <w:left w:val="nil"/>
              <w:bottom w:val="single" w:sz="8" w:space="0" w:color="000000"/>
              <w:right w:val="single" w:sz="8" w:space="0" w:color="000000"/>
            </w:tcBorders>
            <w:tcMar>
              <w:top w:w="50" w:type="dxa"/>
              <w:left w:w="107" w:type="dxa"/>
              <w:bottom w:w="0" w:type="dxa"/>
              <w:right w:w="65" w:type="dxa"/>
            </w:tcMar>
          </w:tcPr>
          <w:p w14:paraId="0A213E52" w14:textId="5E2E97F0" w:rsidR="008548FE" w:rsidRDefault="008548FE" w:rsidP="008548FE">
            <w:pPr>
              <w:spacing w:line="252" w:lineRule="auto"/>
            </w:pPr>
            <w:r>
              <w:t>An application to streamline the management of laboratory processes including data collection, workflow management, and report generation.  May provide an automatic interface to laboratory analytical instruments to transfer verified results to nurse stations, chart carts, and remote physician offices.  Also referred to as a Laboratory Information Management System.</w:t>
            </w:r>
          </w:p>
        </w:tc>
      </w:tr>
      <w:tr w:rsidR="008548FE" w14:paraId="6C3E3792" w14:textId="77777777" w:rsidTr="00B36FAE">
        <w:trPr>
          <w:trHeight w:val="1084"/>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hideMark/>
          </w:tcPr>
          <w:p w14:paraId="2C442D56" w14:textId="3DB10D55" w:rsidR="008548FE" w:rsidRDefault="008548FE" w:rsidP="008548FE">
            <w:pPr>
              <w:spacing w:line="252" w:lineRule="auto"/>
              <w:rPr>
                <w:rFonts w:ascii="Calibri" w:hAnsi="Calibri"/>
              </w:rPr>
            </w:pPr>
            <w:r>
              <w:t xml:space="preserve">Public Health Agency </w:t>
            </w:r>
            <w:r w:rsidR="0065463B">
              <w:t>(PHA)</w:t>
            </w:r>
          </w:p>
        </w:tc>
        <w:tc>
          <w:tcPr>
            <w:tcW w:w="5777" w:type="dxa"/>
            <w:tcBorders>
              <w:top w:val="nil"/>
              <w:left w:val="nil"/>
              <w:bottom w:val="single" w:sz="8" w:space="0" w:color="000000"/>
              <w:right w:val="single" w:sz="8" w:space="0" w:color="000000"/>
            </w:tcBorders>
            <w:tcMar>
              <w:top w:w="50" w:type="dxa"/>
              <w:left w:w="107" w:type="dxa"/>
              <w:bottom w:w="0" w:type="dxa"/>
              <w:right w:w="65" w:type="dxa"/>
            </w:tcMar>
            <w:hideMark/>
          </w:tcPr>
          <w:p w14:paraId="4E8C023A" w14:textId="44C9A255" w:rsidR="008548FE" w:rsidRDefault="0065463B" w:rsidP="0065463B">
            <w:pPr>
              <w:spacing w:line="252" w:lineRule="auto"/>
              <w:rPr>
                <w:rFonts w:ascii="Calibri" w:hAnsi="Calibri"/>
              </w:rPr>
            </w:pPr>
            <w:r>
              <w:t xml:space="preserve">For the purposes of this IG, a PHA is a governmental </w:t>
            </w:r>
            <w:r w:rsidR="008548FE">
              <w:t xml:space="preserve">entity </w:t>
            </w:r>
            <w:r>
              <w:t xml:space="preserve">at the federal, state, territorial, local or tribal level that is legally entitled to establish public health case reporting requirements and receive case reports.  </w:t>
            </w:r>
            <w:r w:rsidR="008548FE">
              <w:t xml:space="preserve"> </w:t>
            </w:r>
          </w:p>
        </w:tc>
      </w:tr>
      <w:tr w:rsidR="00881721" w14:paraId="34C6CF2A" w14:textId="77777777" w:rsidTr="00B36FAE">
        <w:trPr>
          <w:trHeight w:val="547"/>
        </w:trPr>
        <w:tc>
          <w:tcPr>
            <w:tcW w:w="3797" w:type="dxa"/>
            <w:tcBorders>
              <w:top w:val="single" w:sz="4" w:space="0" w:color="auto"/>
              <w:left w:val="single" w:sz="8" w:space="0" w:color="000000"/>
              <w:bottom w:val="single" w:sz="8" w:space="0" w:color="000000"/>
              <w:right w:val="single" w:sz="8" w:space="0" w:color="000000"/>
            </w:tcBorders>
            <w:tcMar>
              <w:top w:w="50" w:type="dxa"/>
              <w:left w:w="107" w:type="dxa"/>
              <w:bottom w:w="0" w:type="dxa"/>
              <w:right w:w="65" w:type="dxa"/>
            </w:tcMar>
          </w:tcPr>
          <w:p w14:paraId="3B3D98DE" w14:textId="3419C14B" w:rsidR="00881721" w:rsidRDefault="00881721" w:rsidP="0065463B">
            <w:pPr>
              <w:spacing w:line="252" w:lineRule="auto"/>
            </w:pPr>
            <w:r>
              <w:t xml:space="preserve">Public Health Decision Support </w:t>
            </w:r>
            <w:r w:rsidR="00EB0C9C">
              <w:t>(PHDS)</w:t>
            </w:r>
          </w:p>
        </w:tc>
        <w:tc>
          <w:tcPr>
            <w:tcW w:w="5777" w:type="dxa"/>
            <w:tcBorders>
              <w:top w:val="single" w:sz="4" w:space="0" w:color="auto"/>
              <w:left w:val="nil"/>
              <w:bottom w:val="single" w:sz="8" w:space="0" w:color="000000"/>
              <w:right w:val="single" w:sz="8" w:space="0" w:color="000000"/>
            </w:tcBorders>
            <w:tcMar>
              <w:top w:w="50" w:type="dxa"/>
              <w:left w:w="107" w:type="dxa"/>
              <w:bottom w:w="0" w:type="dxa"/>
              <w:right w:w="65" w:type="dxa"/>
            </w:tcMar>
          </w:tcPr>
          <w:p w14:paraId="451E4195" w14:textId="41A6891C" w:rsidR="00881721" w:rsidRDefault="00EB0C9C" w:rsidP="006D36F1">
            <w:pPr>
              <w:spacing w:line="252" w:lineRule="auto"/>
            </w:pPr>
            <w:r>
              <w:rPr>
                <w:lang w:val="en"/>
              </w:rPr>
              <w:t xml:space="preserve">For the purposes on this IG, PHDS provides clinicians, staff and public health practitioners with knowledge about </w:t>
            </w:r>
            <w:r w:rsidR="001208EA">
              <w:rPr>
                <w:lang w:val="en"/>
              </w:rPr>
              <w:t xml:space="preserve">reporting </w:t>
            </w:r>
            <w:r w:rsidR="001208EA">
              <w:rPr>
                <w:lang w:val="en"/>
              </w:rPr>
              <w:lastRenderedPageBreak/>
              <w:t>cases</w:t>
            </w:r>
            <w:r>
              <w:rPr>
                <w:lang w:val="en"/>
              </w:rPr>
              <w:t xml:space="preserve"> to public health</w:t>
            </w:r>
            <w:r w:rsidR="001208EA">
              <w:rPr>
                <w:lang w:val="en"/>
              </w:rPr>
              <w:t xml:space="preserve"> and information about the condition that has been identified</w:t>
            </w:r>
            <w:r>
              <w:rPr>
                <w:lang w:val="en"/>
              </w:rPr>
              <w:t xml:space="preserve">.  </w:t>
            </w:r>
            <w:r>
              <w:t>E</w:t>
            </w:r>
            <w:r w:rsidR="00881721" w:rsidRPr="00881721">
              <w:t xml:space="preserve">xamples </w:t>
            </w:r>
            <w:r>
              <w:t>include</w:t>
            </w:r>
            <w:r w:rsidR="00016BAD">
              <w:t xml:space="preserve"> the Reportable Conditions Knowledge Management System (RCKMS), the Notifiable Condition Detector (NCD), and Electronic Support for Public Health (ESP).</w:t>
            </w:r>
          </w:p>
        </w:tc>
      </w:tr>
      <w:tr w:rsidR="008548FE" w14:paraId="06E97F49" w14:textId="77777777" w:rsidTr="00B36FAE">
        <w:trPr>
          <w:trHeight w:val="547"/>
        </w:trPr>
        <w:tc>
          <w:tcPr>
            <w:tcW w:w="3797" w:type="dxa"/>
            <w:tcBorders>
              <w:top w:val="single" w:sz="4" w:space="0" w:color="auto"/>
              <w:left w:val="single" w:sz="8" w:space="0" w:color="000000"/>
              <w:bottom w:val="single" w:sz="8" w:space="0" w:color="000000"/>
              <w:right w:val="single" w:sz="8" w:space="0" w:color="000000"/>
            </w:tcBorders>
            <w:tcMar>
              <w:top w:w="50" w:type="dxa"/>
              <w:left w:w="107" w:type="dxa"/>
              <w:bottom w:w="0" w:type="dxa"/>
              <w:right w:w="65" w:type="dxa"/>
            </w:tcMar>
            <w:hideMark/>
          </w:tcPr>
          <w:p w14:paraId="75E0575D" w14:textId="7EB2FCB7" w:rsidR="008548FE" w:rsidRDefault="008548FE" w:rsidP="0065463B">
            <w:pPr>
              <w:spacing w:line="252" w:lineRule="auto"/>
              <w:rPr>
                <w:rFonts w:ascii="Calibri" w:hAnsi="Calibri"/>
              </w:rPr>
            </w:pPr>
            <w:r>
              <w:lastRenderedPageBreak/>
              <w:t xml:space="preserve">Public Health System </w:t>
            </w:r>
          </w:p>
        </w:tc>
        <w:tc>
          <w:tcPr>
            <w:tcW w:w="5777" w:type="dxa"/>
            <w:tcBorders>
              <w:top w:val="single" w:sz="4" w:space="0" w:color="auto"/>
              <w:left w:val="nil"/>
              <w:bottom w:val="single" w:sz="8" w:space="0" w:color="000000"/>
              <w:right w:val="single" w:sz="8" w:space="0" w:color="000000"/>
            </w:tcBorders>
            <w:tcMar>
              <w:top w:w="50" w:type="dxa"/>
              <w:left w:w="107" w:type="dxa"/>
              <w:bottom w:w="0" w:type="dxa"/>
              <w:right w:w="65" w:type="dxa"/>
            </w:tcMar>
            <w:hideMark/>
          </w:tcPr>
          <w:p w14:paraId="3A847782" w14:textId="1CB9D495" w:rsidR="008548FE" w:rsidRDefault="008548FE" w:rsidP="0065463B">
            <w:pPr>
              <w:spacing w:line="252" w:lineRule="auto"/>
              <w:rPr>
                <w:rFonts w:ascii="Calibri" w:hAnsi="Calibri"/>
              </w:rPr>
            </w:pPr>
            <w:r>
              <w:t>Jurisdiction</w:t>
            </w:r>
            <w:r w:rsidR="009C70E2">
              <w:t>al</w:t>
            </w:r>
            <w:r w:rsidR="0065463B">
              <w:t xml:space="preserve"> information systems that </w:t>
            </w:r>
            <w:r>
              <w:t xml:space="preserve">may, among other things, receive public health </w:t>
            </w:r>
            <w:r w:rsidR="0065463B">
              <w:t xml:space="preserve">case </w:t>
            </w:r>
            <w:r w:rsidR="009916E7">
              <w:t>r</w:t>
            </w:r>
            <w:r>
              <w:t xml:space="preserve">eports </w:t>
            </w:r>
          </w:p>
        </w:tc>
      </w:tr>
      <w:tr w:rsidR="008548FE" w14:paraId="505CC74F" w14:textId="77777777" w:rsidTr="001E5810">
        <w:trPr>
          <w:trHeight w:val="816"/>
        </w:trPr>
        <w:tc>
          <w:tcPr>
            <w:tcW w:w="3797" w:type="dxa"/>
            <w:tcBorders>
              <w:top w:val="nil"/>
              <w:left w:val="single" w:sz="8" w:space="0" w:color="000000"/>
              <w:bottom w:val="single" w:sz="8" w:space="0" w:color="000000"/>
              <w:right w:val="single" w:sz="8" w:space="0" w:color="000000"/>
            </w:tcBorders>
            <w:tcMar>
              <w:top w:w="50" w:type="dxa"/>
              <w:left w:w="107" w:type="dxa"/>
              <w:bottom w:w="0" w:type="dxa"/>
              <w:right w:w="65" w:type="dxa"/>
            </w:tcMar>
            <w:hideMark/>
          </w:tcPr>
          <w:p w14:paraId="13DD50ED" w14:textId="201D08AF" w:rsidR="008548FE" w:rsidRDefault="008548FE" w:rsidP="008548FE">
            <w:pPr>
              <w:spacing w:line="252" w:lineRule="auto"/>
              <w:rPr>
                <w:rFonts w:ascii="Calibri" w:hAnsi="Calibri"/>
              </w:rPr>
            </w:pPr>
            <w:r>
              <w:t xml:space="preserve">Standards Development Organization </w:t>
            </w:r>
          </w:p>
        </w:tc>
        <w:tc>
          <w:tcPr>
            <w:tcW w:w="5777" w:type="dxa"/>
            <w:tcBorders>
              <w:top w:val="nil"/>
              <w:left w:val="nil"/>
              <w:bottom w:val="single" w:sz="8" w:space="0" w:color="000000"/>
              <w:right w:val="single" w:sz="8" w:space="0" w:color="000000"/>
            </w:tcBorders>
            <w:tcMar>
              <w:top w:w="50" w:type="dxa"/>
              <w:left w:w="107" w:type="dxa"/>
              <w:bottom w:w="0" w:type="dxa"/>
              <w:right w:w="65" w:type="dxa"/>
            </w:tcMar>
            <w:hideMark/>
          </w:tcPr>
          <w:p w14:paraId="2C7645B4" w14:textId="2CE6DC07" w:rsidR="008548FE" w:rsidRDefault="008548FE" w:rsidP="006D36F1">
            <w:pPr>
              <w:spacing w:line="252" w:lineRule="auto"/>
              <w:rPr>
                <w:rFonts w:ascii="Calibri" w:hAnsi="Calibri"/>
              </w:rPr>
            </w:pPr>
            <w:r>
              <w:t xml:space="preserve">An organization </w:t>
            </w:r>
            <w:r w:rsidR="0012370B">
              <w:t>that identifies the need for, locates interested parties, and writes specifications that all parties in a part</w:t>
            </w:r>
            <w:r w:rsidR="00F3757D">
              <w:t xml:space="preserve">icular field of human endeavor </w:t>
            </w:r>
            <w:r w:rsidR="0012370B">
              <w:t xml:space="preserve">can use to their mutual benefit.  For the purpose of this document, the field is health or health interoperability and recognition by the American National Standards Institute (ANSI) or the International Standards Organization (ISO) is accepted as evidence that a particular organization is a SDO. </w:t>
            </w:r>
            <w:r>
              <w:t xml:space="preserve">   </w:t>
            </w:r>
          </w:p>
        </w:tc>
      </w:tr>
    </w:tbl>
    <w:p w14:paraId="220871D7" w14:textId="77777777" w:rsidR="001E5810" w:rsidRDefault="001E5810" w:rsidP="00AE3357">
      <w:pPr>
        <w:pStyle w:val="NormalWeb"/>
        <w:rPr>
          <w:rFonts w:ascii="Calibri" w:hAnsi="Calibri" w:cs="Tahoma"/>
          <w:color w:val="000000"/>
          <w:sz w:val="28"/>
          <w:szCs w:val="28"/>
        </w:rPr>
      </w:pPr>
    </w:p>
    <w:p w14:paraId="6EE38543" w14:textId="39D5D6CA" w:rsidR="001235C8" w:rsidRPr="00B049B3" w:rsidRDefault="000325E1" w:rsidP="00B049B3">
      <w:pPr>
        <w:pStyle w:val="Heading2nospace"/>
        <w:rPr>
          <w:rFonts w:asciiTheme="minorHAnsi" w:hAnsiTheme="minorHAnsi"/>
          <w:i w:val="0"/>
        </w:rPr>
      </w:pPr>
      <w:bookmarkStart w:id="7" w:name="_Toc434568844"/>
      <w:bookmarkStart w:id="8" w:name="_Toc436033853"/>
      <w:r w:rsidRPr="00B049B3">
        <w:rPr>
          <w:rFonts w:asciiTheme="minorHAnsi" w:hAnsiTheme="minorHAnsi"/>
          <w:i w:val="0"/>
        </w:rPr>
        <w:t>1</w:t>
      </w:r>
      <w:bookmarkEnd w:id="7"/>
      <w:r w:rsidRPr="00B049B3">
        <w:rPr>
          <w:rFonts w:asciiTheme="minorHAnsi" w:hAnsiTheme="minorHAnsi"/>
          <w:i w:val="0"/>
        </w:rPr>
        <w:t>.6 Future</w:t>
      </w:r>
      <w:r w:rsidR="00AE3357" w:rsidRPr="00B049B3">
        <w:rPr>
          <w:rFonts w:asciiTheme="minorHAnsi" w:hAnsiTheme="minorHAnsi"/>
          <w:i w:val="0"/>
        </w:rPr>
        <w:t xml:space="preserve"> work / </w:t>
      </w:r>
      <w:r w:rsidR="007811AB">
        <w:rPr>
          <w:rFonts w:asciiTheme="minorHAnsi" w:hAnsiTheme="minorHAnsi"/>
          <w:i w:val="0"/>
        </w:rPr>
        <w:t>R</w:t>
      </w:r>
      <w:r w:rsidR="00AE3357" w:rsidRPr="00B049B3">
        <w:rPr>
          <w:rFonts w:asciiTheme="minorHAnsi" w:hAnsiTheme="minorHAnsi"/>
          <w:i w:val="0"/>
        </w:rPr>
        <w:t xml:space="preserve">elationships to </w:t>
      </w:r>
      <w:r w:rsidR="007811AB">
        <w:rPr>
          <w:rFonts w:asciiTheme="minorHAnsi" w:hAnsiTheme="minorHAnsi"/>
          <w:i w:val="0"/>
        </w:rPr>
        <w:t>O</w:t>
      </w:r>
      <w:r w:rsidR="00AE3357" w:rsidRPr="00B049B3">
        <w:rPr>
          <w:rFonts w:asciiTheme="minorHAnsi" w:hAnsiTheme="minorHAnsi"/>
          <w:i w:val="0"/>
        </w:rPr>
        <w:t xml:space="preserve">ther </w:t>
      </w:r>
      <w:r w:rsidR="007811AB">
        <w:rPr>
          <w:rFonts w:asciiTheme="minorHAnsi" w:hAnsiTheme="minorHAnsi"/>
          <w:i w:val="0"/>
        </w:rPr>
        <w:t>P</w:t>
      </w:r>
      <w:r w:rsidR="00AE3357" w:rsidRPr="00B049B3">
        <w:rPr>
          <w:rFonts w:asciiTheme="minorHAnsi" w:hAnsiTheme="minorHAnsi"/>
          <w:i w:val="0"/>
        </w:rPr>
        <w:t xml:space="preserve">rojects / </w:t>
      </w:r>
      <w:r w:rsidR="007811AB">
        <w:rPr>
          <w:rFonts w:asciiTheme="minorHAnsi" w:hAnsiTheme="minorHAnsi"/>
          <w:i w:val="0"/>
        </w:rPr>
        <w:t>S</w:t>
      </w:r>
      <w:r w:rsidR="00AE3357" w:rsidRPr="00B049B3">
        <w:rPr>
          <w:rFonts w:asciiTheme="minorHAnsi" w:hAnsiTheme="minorHAnsi"/>
          <w:i w:val="0"/>
        </w:rPr>
        <w:t>tandards</w:t>
      </w:r>
      <w:bookmarkEnd w:id="8"/>
    </w:p>
    <w:p w14:paraId="5E616BD2" w14:textId="77777777" w:rsidR="0012108F" w:rsidRPr="0012108F" w:rsidRDefault="0012108F" w:rsidP="00AE3357">
      <w:pPr>
        <w:pStyle w:val="NormalWeb"/>
        <w:rPr>
          <w:rFonts w:ascii="Calibri" w:hAnsi="Calibri" w:cs="Tahoma"/>
          <w:color w:val="000000"/>
        </w:rPr>
      </w:pPr>
    </w:p>
    <w:p w14:paraId="38CAD152" w14:textId="2F93BEC1" w:rsidR="0012108F" w:rsidRPr="009B70F9" w:rsidRDefault="0012108F" w:rsidP="00AE3357">
      <w:pPr>
        <w:pStyle w:val="NormalWeb"/>
        <w:rPr>
          <w:rFonts w:ascii="Calibri" w:hAnsi="Calibri" w:cs="Tahoma"/>
          <w:color w:val="000000"/>
        </w:rPr>
      </w:pPr>
      <w:r w:rsidRPr="009B70F9">
        <w:rPr>
          <w:rFonts w:ascii="Calibri" w:hAnsi="Calibri" w:cs="Tahoma"/>
          <w:color w:val="000000"/>
        </w:rPr>
        <w:t>Establishing an HL7 CDA R2 standard implementation guide for a</w:t>
      </w:r>
      <w:r w:rsidR="00C712BC" w:rsidRPr="009B70F9">
        <w:rPr>
          <w:rFonts w:ascii="Calibri" w:hAnsi="Calibri" w:cs="Tahoma"/>
          <w:color w:val="000000"/>
        </w:rPr>
        <w:t>n</w:t>
      </w:r>
      <w:r w:rsidRPr="009B70F9">
        <w:rPr>
          <w:rFonts w:ascii="Calibri" w:hAnsi="Calibri" w:cs="Tahoma"/>
          <w:color w:val="000000"/>
        </w:rPr>
        <w:t xml:space="preserve"> </w:t>
      </w:r>
      <w:r w:rsidR="00A21181" w:rsidRPr="009B70F9">
        <w:rPr>
          <w:rFonts w:ascii="Calibri" w:hAnsi="Calibri" w:cs="Tahoma"/>
          <w:color w:val="000000"/>
        </w:rPr>
        <w:t>e</w:t>
      </w:r>
      <w:r w:rsidR="00C712BC" w:rsidRPr="009B70F9">
        <w:rPr>
          <w:rFonts w:ascii="Calibri" w:hAnsi="Calibri" w:cs="Tahoma"/>
          <w:color w:val="000000"/>
        </w:rPr>
        <w:t xml:space="preserve">ICR </w:t>
      </w:r>
      <w:r w:rsidRPr="009B70F9">
        <w:rPr>
          <w:rFonts w:ascii="Calibri" w:hAnsi="Calibri" w:cs="Tahoma"/>
          <w:color w:val="000000"/>
        </w:rPr>
        <w:t xml:space="preserve">that can be used by all jurisdictions and all </w:t>
      </w:r>
      <w:r w:rsidR="001C37E8" w:rsidRPr="009B70F9">
        <w:rPr>
          <w:rFonts w:ascii="Calibri" w:hAnsi="Calibri" w:cs="Tahoma"/>
          <w:color w:val="000000"/>
        </w:rPr>
        <w:t>conditions</w:t>
      </w:r>
      <w:r w:rsidRPr="009B70F9">
        <w:rPr>
          <w:rFonts w:ascii="Calibri" w:hAnsi="Calibri" w:cs="Tahoma"/>
          <w:color w:val="000000"/>
        </w:rPr>
        <w:t xml:space="preserve"> is a critical step in advancing the electronic implementation of case reporting between EHRs and Public Health Agencies. There are </w:t>
      </w:r>
      <w:r w:rsidR="001C37E8" w:rsidRPr="009B70F9">
        <w:rPr>
          <w:rFonts w:ascii="Calibri" w:hAnsi="Calibri" w:cs="Tahoma"/>
          <w:color w:val="000000"/>
        </w:rPr>
        <w:t xml:space="preserve">also </w:t>
      </w:r>
      <w:r w:rsidRPr="009B70F9">
        <w:rPr>
          <w:rFonts w:ascii="Calibri" w:hAnsi="Calibri" w:cs="Tahoma"/>
          <w:color w:val="000000"/>
        </w:rPr>
        <w:t xml:space="preserve">other parts of the clinical care – public health workflow that need consideration when this has been accomplished. </w:t>
      </w:r>
    </w:p>
    <w:p w14:paraId="6D800AA3" w14:textId="77777777" w:rsidR="0012108F" w:rsidRPr="009B70F9" w:rsidRDefault="0012108F" w:rsidP="00AE3357">
      <w:pPr>
        <w:pStyle w:val="NormalWeb"/>
        <w:rPr>
          <w:rFonts w:ascii="Calibri" w:hAnsi="Calibri" w:cs="Tahoma"/>
          <w:color w:val="000000"/>
        </w:rPr>
      </w:pPr>
    </w:p>
    <w:p w14:paraId="6FF1B397" w14:textId="77777777" w:rsidR="006D36F1" w:rsidRDefault="00EE168D" w:rsidP="006D36F1">
      <w:pPr>
        <w:pStyle w:val="NormalWeb"/>
        <w:numPr>
          <w:ilvl w:val="0"/>
          <w:numId w:val="27"/>
        </w:numPr>
        <w:rPr>
          <w:rFonts w:ascii="Calibri" w:hAnsi="Calibri" w:cs="Tahoma"/>
          <w:color w:val="000000"/>
        </w:rPr>
      </w:pPr>
      <w:r w:rsidRPr="009B70F9">
        <w:rPr>
          <w:rFonts w:ascii="Calibri" w:hAnsi="Calibri" w:cs="Tahoma"/>
          <w:color w:val="000000"/>
        </w:rPr>
        <w:t>Usage guidance and a specification for the communication of trigger codes, e.g. from public health to a provider's EHR system. The specification will include the metadata for all the data values and other guidance needed for sending initial public health report.</w:t>
      </w:r>
    </w:p>
    <w:p w14:paraId="20F8FA0C" w14:textId="77777777" w:rsidR="006D36F1" w:rsidRDefault="006D36F1" w:rsidP="006D36F1">
      <w:pPr>
        <w:pStyle w:val="NormalWeb"/>
        <w:ind w:left="1080"/>
        <w:rPr>
          <w:rFonts w:ascii="Calibri" w:hAnsi="Calibri" w:cs="Tahoma"/>
          <w:color w:val="000000"/>
        </w:rPr>
      </w:pPr>
    </w:p>
    <w:p w14:paraId="32AC5706" w14:textId="26839507" w:rsidR="00C671D1" w:rsidRPr="006D36F1" w:rsidRDefault="00D773F7" w:rsidP="006D36F1">
      <w:pPr>
        <w:pStyle w:val="NormalWeb"/>
        <w:numPr>
          <w:ilvl w:val="0"/>
          <w:numId w:val="27"/>
        </w:numPr>
        <w:rPr>
          <w:rFonts w:ascii="Calibri" w:hAnsi="Calibri" w:cs="Tahoma"/>
          <w:color w:val="000000"/>
        </w:rPr>
      </w:pPr>
      <w:r w:rsidRPr="006D36F1">
        <w:rPr>
          <w:rFonts w:ascii="Calibri" w:hAnsi="Calibri" w:cs="Tahoma"/>
          <w:color w:val="000000"/>
        </w:rPr>
        <w:t>The Association of Public Health Laboratories (APHL) working with the Association of State and Territorial Health Officials (ASTHO) and the Council of State and Territorial Epidemiologists (CSTE) have developed a draft list of reportable condition trigger codes that EHR vendors can implement to identify relevant clinical diagnoses, laboratory results and some orders. This trigger code list will continue to be developed and maintained in an ongoing way outside of HL7.</w:t>
      </w:r>
      <w:r w:rsidRPr="006D36F1" w:rsidDel="00D773F7">
        <w:rPr>
          <w:rFonts w:ascii="Calibri" w:hAnsi="Calibri" w:cs="Tahoma"/>
          <w:color w:val="000000"/>
        </w:rPr>
        <w:t xml:space="preserve"> </w:t>
      </w:r>
    </w:p>
    <w:p w14:paraId="0A9D634C" w14:textId="77777777" w:rsidR="006D36F1" w:rsidRDefault="006D36F1" w:rsidP="006D36F1">
      <w:pPr>
        <w:pStyle w:val="NormalWeb"/>
        <w:ind w:left="1080"/>
        <w:rPr>
          <w:rFonts w:ascii="Calibri" w:hAnsi="Calibri" w:cs="Tahoma"/>
          <w:color w:val="000000"/>
        </w:rPr>
      </w:pPr>
    </w:p>
    <w:p w14:paraId="2CA03805" w14:textId="4C90C66E" w:rsidR="000E017D" w:rsidRPr="009B70F9" w:rsidRDefault="006B5964" w:rsidP="00BC6A3F">
      <w:pPr>
        <w:pStyle w:val="NormalWeb"/>
        <w:numPr>
          <w:ilvl w:val="0"/>
          <w:numId w:val="27"/>
        </w:numPr>
        <w:rPr>
          <w:rFonts w:ascii="Calibri" w:hAnsi="Calibri" w:cs="Tahoma"/>
          <w:color w:val="000000"/>
        </w:rPr>
      </w:pPr>
      <w:r w:rsidRPr="009B70F9">
        <w:rPr>
          <w:rFonts w:ascii="Calibri" w:hAnsi="Calibri" w:cs="Tahoma"/>
          <w:color w:val="000000"/>
        </w:rPr>
        <w:t>A</w:t>
      </w:r>
      <w:r w:rsidR="00DF4DFD" w:rsidRPr="009B70F9">
        <w:rPr>
          <w:rFonts w:ascii="Calibri" w:hAnsi="Calibri" w:cs="Tahoma"/>
          <w:color w:val="000000"/>
        </w:rPr>
        <w:t xml:space="preserve"> </w:t>
      </w:r>
      <w:r w:rsidR="0012108F" w:rsidRPr="009B70F9">
        <w:rPr>
          <w:rFonts w:ascii="Calibri" w:hAnsi="Calibri" w:cs="Tahoma"/>
          <w:color w:val="000000"/>
        </w:rPr>
        <w:t xml:space="preserve">specification for return communication from the PHA to clinical care, </w:t>
      </w:r>
      <w:r w:rsidRPr="009B70F9">
        <w:rPr>
          <w:rFonts w:ascii="Calibri" w:hAnsi="Calibri" w:cs="Tahoma"/>
          <w:color w:val="000000"/>
        </w:rPr>
        <w:t xml:space="preserve">specific to </w:t>
      </w:r>
      <w:r w:rsidR="0012108F" w:rsidRPr="009B70F9">
        <w:rPr>
          <w:rFonts w:ascii="Calibri" w:hAnsi="Calibri" w:cs="Tahoma"/>
          <w:color w:val="000000"/>
        </w:rPr>
        <w:t>the patient in question</w:t>
      </w:r>
      <w:r w:rsidR="001C37E8" w:rsidRPr="009B70F9">
        <w:rPr>
          <w:rFonts w:ascii="Calibri" w:hAnsi="Calibri" w:cs="Tahoma"/>
          <w:color w:val="000000"/>
        </w:rPr>
        <w:t>,</w:t>
      </w:r>
      <w:r w:rsidR="0012108F" w:rsidRPr="009B70F9">
        <w:rPr>
          <w:rFonts w:ascii="Calibri" w:hAnsi="Calibri" w:cs="Tahoma"/>
          <w:color w:val="000000"/>
        </w:rPr>
        <w:t xml:space="preserve"> and potentially including </w:t>
      </w:r>
      <w:r w:rsidR="001C37E8" w:rsidRPr="009B70F9">
        <w:rPr>
          <w:rFonts w:ascii="Calibri" w:hAnsi="Calibri" w:cs="Tahoma"/>
          <w:color w:val="000000"/>
        </w:rPr>
        <w:t xml:space="preserve">information about </w:t>
      </w:r>
      <w:r w:rsidR="0012108F" w:rsidRPr="009B70F9">
        <w:rPr>
          <w:rFonts w:ascii="Calibri" w:hAnsi="Calibri" w:cs="Tahoma"/>
          <w:color w:val="000000"/>
        </w:rPr>
        <w:t>that condition in that community</w:t>
      </w:r>
      <w:r w:rsidRPr="009B70F9">
        <w:rPr>
          <w:rFonts w:ascii="Calibri" w:hAnsi="Calibri" w:cs="Tahoma"/>
          <w:color w:val="000000"/>
        </w:rPr>
        <w:t xml:space="preserve">. </w:t>
      </w:r>
      <w:r w:rsidR="0012108F" w:rsidRPr="009B70F9">
        <w:rPr>
          <w:rFonts w:ascii="Calibri" w:hAnsi="Calibri" w:cs="Tahoma"/>
          <w:color w:val="000000"/>
        </w:rPr>
        <w:t xml:space="preserve">In addition to the specifics of the initial </w:t>
      </w:r>
      <w:r w:rsidR="000E017D" w:rsidRPr="009B70F9">
        <w:rPr>
          <w:rFonts w:ascii="Calibri" w:hAnsi="Calibri" w:cs="Tahoma"/>
          <w:color w:val="000000"/>
        </w:rPr>
        <w:t>case report</w:t>
      </w:r>
      <w:r w:rsidR="0012108F" w:rsidRPr="009B70F9">
        <w:rPr>
          <w:rFonts w:ascii="Calibri" w:hAnsi="Calibri" w:cs="Tahoma"/>
          <w:color w:val="000000"/>
        </w:rPr>
        <w:t xml:space="preserve">, such a “notice of </w:t>
      </w:r>
      <w:r w:rsidR="001C3B6C" w:rsidRPr="009B70F9">
        <w:rPr>
          <w:rFonts w:ascii="Calibri" w:hAnsi="Calibri" w:cs="Tahoma"/>
          <w:color w:val="000000"/>
        </w:rPr>
        <w:t>reportability</w:t>
      </w:r>
      <w:r w:rsidR="0012108F" w:rsidRPr="009B70F9">
        <w:rPr>
          <w:rFonts w:ascii="Calibri" w:hAnsi="Calibri" w:cs="Tahoma"/>
          <w:color w:val="000000"/>
        </w:rPr>
        <w:t xml:space="preserve">” </w:t>
      </w:r>
      <w:r w:rsidR="000E017D" w:rsidRPr="009B70F9">
        <w:rPr>
          <w:rFonts w:ascii="Calibri" w:hAnsi="Calibri" w:cs="Tahoma"/>
          <w:color w:val="000000"/>
        </w:rPr>
        <w:t xml:space="preserve">could contain </w:t>
      </w:r>
      <w:r w:rsidRPr="009B70F9">
        <w:rPr>
          <w:rFonts w:ascii="Calibri" w:hAnsi="Calibri" w:cs="Tahoma"/>
          <w:color w:val="000000"/>
        </w:rPr>
        <w:t xml:space="preserve">information such as </w:t>
      </w:r>
      <w:r w:rsidR="000E017D" w:rsidRPr="009B70F9">
        <w:rPr>
          <w:rFonts w:ascii="Calibri" w:hAnsi="Calibri" w:cs="Tahoma"/>
          <w:color w:val="000000"/>
        </w:rPr>
        <w:t xml:space="preserve">whether the condition is </w:t>
      </w:r>
      <w:r w:rsidR="000E017D" w:rsidRPr="009B70F9">
        <w:rPr>
          <w:rFonts w:ascii="Calibri" w:hAnsi="Calibri" w:cs="Tahoma"/>
          <w:color w:val="000000"/>
        </w:rPr>
        <w:lastRenderedPageBreak/>
        <w:t xml:space="preserve">definitively reportable in that jurisdiction, if there are additional data needed to definitively determine </w:t>
      </w:r>
      <w:r w:rsidR="001C3B6C" w:rsidRPr="009B70F9">
        <w:rPr>
          <w:rFonts w:ascii="Calibri" w:hAnsi="Calibri" w:cs="Tahoma"/>
          <w:color w:val="000000"/>
        </w:rPr>
        <w:t>reportability</w:t>
      </w:r>
      <w:r w:rsidR="000E017D" w:rsidRPr="009B70F9">
        <w:rPr>
          <w:rFonts w:ascii="Calibri" w:hAnsi="Calibri" w:cs="Tahoma"/>
          <w:color w:val="000000"/>
        </w:rPr>
        <w:t>, links to the full reporting requirements in that jurisdiction, links to forms for the input of supplemental data desired for that condition, information about who to contact in the PHA if there are issues to work th</w:t>
      </w:r>
      <w:r w:rsidR="00DF4DFD" w:rsidRPr="009B70F9">
        <w:rPr>
          <w:rFonts w:ascii="Calibri" w:hAnsi="Calibri" w:cs="Tahoma"/>
          <w:color w:val="000000"/>
        </w:rPr>
        <w:t>r</w:t>
      </w:r>
      <w:r w:rsidR="000E017D" w:rsidRPr="009B70F9">
        <w:rPr>
          <w:rFonts w:ascii="Calibri" w:hAnsi="Calibri" w:cs="Tahoma"/>
          <w:color w:val="000000"/>
        </w:rPr>
        <w:t>ough via other means, and potentially other information</w:t>
      </w:r>
      <w:r w:rsidR="00DF4DFD" w:rsidRPr="009B70F9">
        <w:rPr>
          <w:rFonts w:ascii="Calibri" w:hAnsi="Calibri" w:cs="Tahoma"/>
          <w:color w:val="000000"/>
        </w:rPr>
        <w:t>, as needed for public health activities</w:t>
      </w:r>
      <w:r w:rsidR="000E017D" w:rsidRPr="009B70F9">
        <w:rPr>
          <w:rFonts w:ascii="Calibri" w:hAnsi="Calibri" w:cs="Tahoma"/>
          <w:color w:val="000000"/>
        </w:rPr>
        <w:t>.</w:t>
      </w:r>
    </w:p>
    <w:p w14:paraId="59E354EA" w14:textId="77777777" w:rsidR="00A800BE" w:rsidRPr="009B70F9" w:rsidRDefault="00A800BE" w:rsidP="00A800BE">
      <w:pPr>
        <w:pStyle w:val="NormalWeb"/>
        <w:ind w:left="720"/>
        <w:rPr>
          <w:rFonts w:ascii="Calibri" w:hAnsi="Calibri" w:cs="Tahoma"/>
          <w:color w:val="000000"/>
        </w:rPr>
      </w:pPr>
    </w:p>
    <w:p w14:paraId="14A35AE9" w14:textId="6347BF19" w:rsidR="00A800BE" w:rsidRPr="009B70F9" w:rsidRDefault="00DF4DFD" w:rsidP="00BC6A3F">
      <w:pPr>
        <w:pStyle w:val="NormalWeb"/>
        <w:numPr>
          <w:ilvl w:val="0"/>
          <w:numId w:val="27"/>
        </w:numPr>
        <w:rPr>
          <w:rFonts w:ascii="Calibri" w:hAnsi="Calibri" w:cs="Tahoma"/>
          <w:color w:val="000000"/>
        </w:rPr>
      </w:pPr>
      <w:r w:rsidRPr="009B70F9">
        <w:rPr>
          <w:rFonts w:ascii="Calibri" w:hAnsi="Calibri" w:cs="Tahoma"/>
          <w:color w:val="000000"/>
        </w:rPr>
        <w:t>S</w:t>
      </w:r>
      <w:r w:rsidR="00C32F8D" w:rsidRPr="009B70F9">
        <w:rPr>
          <w:rFonts w:ascii="Calibri" w:hAnsi="Calibri" w:cs="Tahoma"/>
          <w:color w:val="000000"/>
        </w:rPr>
        <w:t>pecifications</w:t>
      </w:r>
      <w:r w:rsidRPr="009B70F9">
        <w:rPr>
          <w:rFonts w:ascii="Calibri" w:hAnsi="Calibri" w:cs="Tahoma"/>
          <w:color w:val="000000"/>
        </w:rPr>
        <w:t xml:space="preserve"> need to be developed</w:t>
      </w:r>
      <w:r w:rsidR="00C32F8D" w:rsidRPr="009B70F9">
        <w:rPr>
          <w:rFonts w:ascii="Calibri" w:hAnsi="Calibri" w:cs="Tahoma"/>
          <w:color w:val="000000"/>
        </w:rPr>
        <w:t xml:space="preserve"> for </w:t>
      </w:r>
      <w:r w:rsidR="00A800BE" w:rsidRPr="009B70F9">
        <w:rPr>
          <w:rFonts w:ascii="Calibri" w:hAnsi="Calibri" w:cs="Tahoma"/>
          <w:color w:val="000000"/>
        </w:rPr>
        <w:t>PHAs to</w:t>
      </w:r>
      <w:r w:rsidR="00C32F8D" w:rsidRPr="009B70F9">
        <w:rPr>
          <w:rFonts w:ascii="Calibri" w:hAnsi="Calibri" w:cs="Tahoma"/>
          <w:color w:val="000000"/>
        </w:rPr>
        <w:t xml:space="preserve"> </w:t>
      </w:r>
      <w:r w:rsidR="00FE6F82" w:rsidRPr="009B70F9">
        <w:rPr>
          <w:rFonts w:ascii="Calibri" w:hAnsi="Calibri" w:cs="Tahoma"/>
          <w:color w:val="000000"/>
        </w:rPr>
        <w:t xml:space="preserve">create and communicate computable and interoperable alerts for consumption by EHRs to render to their clinical users. PHA alerting today is typically generalized and may relate to multiple suspicious cases, environmental events, or other important public health information important for clinical care providers. Providing an interoperability standard for communicating these alerts could enable PH alerts viewable by clinical staff from within an EHR, as well as be computable and queryable. </w:t>
      </w:r>
      <w:r w:rsidR="00A2020D" w:rsidRPr="009B70F9">
        <w:rPr>
          <w:rFonts w:ascii="Calibri" w:hAnsi="Calibri" w:cs="Tahoma"/>
          <w:color w:val="000000"/>
        </w:rPr>
        <w:t>This alerting area may be in scope for other public health projects.</w:t>
      </w:r>
    </w:p>
    <w:p w14:paraId="6D2B958F" w14:textId="77777777" w:rsidR="000E017D" w:rsidRPr="009B70F9" w:rsidRDefault="000E017D" w:rsidP="00AE3357">
      <w:pPr>
        <w:pStyle w:val="NormalWeb"/>
        <w:rPr>
          <w:rFonts w:ascii="Calibri" w:hAnsi="Calibri" w:cs="Tahoma"/>
          <w:color w:val="000000"/>
        </w:rPr>
      </w:pPr>
    </w:p>
    <w:p w14:paraId="20D70BB7" w14:textId="6B852C6B" w:rsidR="000E017D" w:rsidRPr="009B70F9" w:rsidRDefault="000E017D" w:rsidP="00BC6A3F">
      <w:pPr>
        <w:pStyle w:val="NormalWeb"/>
        <w:numPr>
          <w:ilvl w:val="0"/>
          <w:numId w:val="27"/>
        </w:numPr>
        <w:rPr>
          <w:rFonts w:ascii="Calibri" w:hAnsi="Calibri" w:cs="Tahoma"/>
          <w:color w:val="000000"/>
        </w:rPr>
      </w:pPr>
      <w:r w:rsidRPr="009B70F9">
        <w:rPr>
          <w:rFonts w:ascii="Calibri" w:hAnsi="Calibri" w:cs="Tahoma"/>
          <w:color w:val="000000"/>
        </w:rPr>
        <w:t xml:space="preserve">On receiving an </w:t>
      </w:r>
      <w:r w:rsidR="00A21181" w:rsidRPr="009B70F9">
        <w:rPr>
          <w:rFonts w:ascii="Calibri" w:hAnsi="Calibri" w:cs="Tahoma"/>
          <w:color w:val="000000"/>
        </w:rPr>
        <w:t>e</w:t>
      </w:r>
      <w:r w:rsidR="00C712BC" w:rsidRPr="009B70F9">
        <w:rPr>
          <w:rFonts w:ascii="Calibri" w:hAnsi="Calibri" w:cs="Tahoma"/>
          <w:color w:val="000000"/>
        </w:rPr>
        <w:t>ICR</w:t>
      </w:r>
      <w:r w:rsidRPr="009B70F9">
        <w:rPr>
          <w:rFonts w:ascii="Calibri" w:hAnsi="Calibri" w:cs="Tahoma"/>
          <w:color w:val="000000"/>
        </w:rPr>
        <w:t xml:space="preserve">, PHA personnel </w:t>
      </w:r>
      <w:r w:rsidR="00800519" w:rsidRPr="009B70F9">
        <w:rPr>
          <w:rFonts w:ascii="Calibri" w:hAnsi="Calibri" w:cs="Tahoma"/>
          <w:color w:val="000000"/>
        </w:rPr>
        <w:t xml:space="preserve">may use </w:t>
      </w:r>
      <w:r w:rsidRPr="009B70F9">
        <w:rPr>
          <w:rFonts w:ascii="Calibri" w:hAnsi="Calibri" w:cs="Tahoma"/>
          <w:color w:val="000000"/>
        </w:rPr>
        <w:t xml:space="preserve">the information </w:t>
      </w:r>
      <w:r w:rsidR="00800519" w:rsidRPr="009B70F9">
        <w:rPr>
          <w:rFonts w:ascii="Calibri" w:hAnsi="Calibri" w:cs="Tahoma"/>
          <w:color w:val="000000"/>
        </w:rPr>
        <w:t xml:space="preserve">contained therein as a basis for </w:t>
      </w:r>
      <w:r w:rsidRPr="009B70F9">
        <w:rPr>
          <w:rFonts w:ascii="Calibri" w:hAnsi="Calibri" w:cs="Tahoma"/>
          <w:color w:val="000000"/>
        </w:rPr>
        <w:t>further investigat</w:t>
      </w:r>
      <w:r w:rsidR="00800519" w:rsidRPr="009B70F9">
        <w:rPr>
          <w:rFonts w:ascii="Calibri" w:hAnsi="Calibri" w:cs="Tahoma"/>
          <w:color w:val="000000"/>
        </w:rPr>
        <w:t>ion</w:t>
      </w:r>
      <w:r w:rsidRPr="009B70F9">
        <w:rPr>
          <w:rFonts w:ascii="Calibri" w:hAnsi="Calibri" w:cs="Tahoma"/>
          <w:color w:val="000000"/>
        </w:rPr>
        <w:t xml:space="preserve">, </w:t>
      </w:r>
      <w:r w:rsidR="00800519" w:rsidRPr="009B70F9">
        <w:rPr>
          <w:rFonts w:ascii="Calibri" w:hAnsi="Calibri" w:cs="Tahoma"/>
          <w:color w:val="000000"/>
        </w:rPr>
        <w:t xml:space="preserve">to </w:t>
      </w:r>
      <w:r w:rsidRPr="009B70F9">
        <w:rPr>
          <w:rFonts w:ascii="Calibri" w:hAnsi="Calibri" w:cs="Tahoma"/>
          <w:color w:val="000000"/>
        </w:rPr>
        <w:t xml:space="preserve">seek more information from clinical care or </w:t>
      </w:r>
      <w:r w:rsidR="006A6939" w:rsidRPr="009B70F9">
        <w:rPr>
          <w:rFonts w:ascii="Calibri" w:hAnsi="Calibri" w:cs="Tahoma"/>
          <w:color w:val="000000"/>
        </w:rPr>
        <w:t xml:space="preserve">from </w:t>
      </w:r>
      <w:r w:rsidRPr="009B70F9">
        <w:rPr>
          <w:rFonts w:ascii="Calibri" w:hAnsi="Calibri" w:cs="Tahoma"/>
          <w:color w:val="000000"/>
        </w:rPr>
        <w:t xml:space="preserve">a health information exchange, </w:t>
      </w:r>
      <w:r w:rsidR="006A6939" w:rsidRPr="009B70F9">
        <w:rPr>
          <w:rFonts w:ascii="Calibri" w:hAnsi="Calibri" w:cs="Tahoma"/>
          <w:color w:val="000000"/>
        </w:rPr>
        <w:t xml:space="preserve">and </w:t>
      </w:r>
      <w:r w:rsidR="00800519" w:rsidRPr="009B70F9">
        <w:rPr>
          <w:rFonts w:ascii="Calibri" w:hAnsi="Calibri" w:cs="Tahoma"/>
          <w:color w:val="000000"/>
        </w:rPr>
        <w:t xml:space="preserve">to </w:t>
      </w:r>
      <w:r w:rsidRPr="009B70F9">
        <w:rPr>
          <w:rFonts w:ascii="Calibri" w:hAnsi="Calibri" w:cs="Tahoma"/>
          <w:color w:val="000000"/>
        </w:rPr>
        <w:t xml:space="preserve">close the case or otherwise manage the case and the case status. </w:t>
      </w:r>
      <w:r w:rsidR="001907F5" w:rsidRPr="009B70F9">
        <w:rPr>
          <w:rFonts w:ascii="Calibri" w:hAnsi="Calibri" w:cs="Tahoma"/>
          <w:color w:val="000000"/>
        </w:rPr>
        <w:t xml:space="preserve">The </w:t>
      </w:r>
      <w:r w:rsidR="0012370B" w:rsidRPr="009B70F9">
        <w:rPr>
          <w:rFonts w:ascii="Calibri" w:hAnsi="Calibri" w:cs="Tahoma"/>
          <w:color w:val="000000"/>
        </w:rPr>
        <w:t>ONC</w:t>
      </w:r>
      <w:r w:rsidR="001907F5" w:rsidRPr="009B70F9">
        <w:rPr>
          <w:rFonts w:ascii="Calibri" w:hAnsi="Calibri" w:cs="Tahoma"/>
          <w:color w:val="000000"/>
        </w:rPr>
        <w:t xml:space="preserve"> Structured Data Capture (SDC) </w:t>
      </w:r>
      <w:r w:rsidR="0012370B" w:rsidRPr="009B70F9">
        <w:rPr>
          <w:rFonts w:ascii="Calibri" w:hAnsi="Calibri" w:cs="Tahoma"/>
          <w:color w:val="000000"/>
        </w:rPr>
        <w:t xml:space="preserve">initiative </w:t>
      </w:r>
      <w:r w:rsidR="001907F5" w:rsidRPr="009B70F9">
        <w:rPr>
          <w:rFonts w:ascii="Calibri" w:hAnsi="Calibri" w:cs="Tahoma"/>
          <w:color w:val="000000"/>
        </w:rPr>
        <w:t xml:space="preserve">standard may be helpful with providing forms for inputting </w:t>
      </w:r>
      <w:r w:rsidR="00A21181" w:rsidRPr="009B70F9">
        <w:rPr>
          <w:rFonts w:ascii="Calibri" w:hAnsi="Calibri" w:cs="Tahoma"/>
          <w:color w:val="000000"/>
        </w:rPr>
        <w:t>supplemental</w:t>
      </w:r>
      <w:r w:rsidR="00BD4FB0" w:rsidRPr="009B70F9">
        <w:rPr>
          <w:rFonts w:ascii="Calibri" w:hAnsi="Calibri" w:cs="Tahoma"/>
          <w:color w:val="000000"/>
        </w:rPr>
        <w:t xml:space="preserve"> information, but f</w:t>
      </w:r>
      <w:r w:rsidR="006A6939" w:rsidRPr="009B70F9">
        <w:rPr>
          <w:rFonts w:ascii="Calibri" w:hAnsi="Calibri" w:cs="Tahoma"/>
          <w:color w:val="000000"/>
        </w:rPr>
        <w:t>urther domain analysis and implementation guide work may be needed</w:t>
      </w:r>
      <w:r w:rsidR="00BD4FB0" w:rsidRPr="009B70F9">
        <w:rPr>
          <w:rFonts w:ascii="Calibri" w:hAnsi="Calibri" w:cs="Tahoma"/>
          <w:color w:val="000000"/>
        </w:rPr>
        <w:t xml:space="preserve"> in these areas as well.</w:t>
      </w:r>
    </w:p>
    <w:p w14:paraId="31FE213E" w14:textId="77777777" w:rsidR="006A6939" w:rsidRPr="009B70F9" w:rsidRDefault="006A6939" w:rsidP="001907F5">
      <w:pPr>
        <w:rPr>
          <w:rFonts w:ascii="Calibri" w:hAnsi="Calibri" w:cs="Tahoma"/>
          <w:color w:val="000000"/>
          <w:sz w:val="24"/>
          <w:szCs w:val="24"/>
        </w:rPr>
      </w:pPr>
    </w:p>
    <w:p w14:paraId="799A5D67" w14:textId="43916493" w:rsidR="006A6939" w:rsidRPr="009B70F9" w:rsidRDefault="006A6939" w:rsidP="00BC6A3F">
      <w:pPr>
        <w:pStyle w:val="NormalWeb"/>
        <w:numPr>
          <w:ilvl w:val="0"/>
          <w:numId w:val="27"/>
        </w:numPr>
        <w:rPr>
          <w:rFonts w:ascii="Calibri" w:hAnsi="Calibri" w:cs="Tahoma"/>
          <w:color w:val="000000"/>
        </w:rPr>
      </w:pPr>
      <w:r w:rsidRPr="009B70F9">
        <w:rPr>
          <w:rFonts w:ascii="Calibri" w:hAnsi="Calibri" w:cs="Tahoma"/>
          <w:color w:val="000000"/>
        </w:rPr>
        <w:t>With the advent of HL7 FHIR, there will be need</w:t>
      </w:r>
      <w:r w:rsidR="00633723" w:rsidRPr="009B70F9">
        <w:rPr>
          <w:rFonts w:ascii="Calibri" w:hAnsi="Calibri" w:cs="Tahoma"/>
          <w:color w:val="000000"/>
        </w:rPr>
        <w:t>s</w:t>
      </w:r>
      <w:r w:rsidRPr="009B70F9">
        <w:rPr>
          <w:rFonts w:ascii="Calibri" w:hAnsi="Calibri" w:cs="Tahoma"/>
          <w:color w:val="000000"/>
        </w:rPr>
        <w:t xml:space="preserve"> to </w:t>
      </w:r>
      <w:r w:rsidR="00633723" w:rsidRPr="009B70F9">
        <w:rPr>
          <w:rFonts w:ascii="Calibri" w:hAnsi="Calibri" w:cs="Tahoma"/>
          <w:color w:val="000000"/>
        </w:rPr>
        <w:t xml:space="preserve">also map data elements to FHIR, to </w:t>
      </w:r>
      <w:r w:rsidR="00AC536A" w:rsidRPr="009B70F9">
        <w:rPr>
          <w:rFonts w:ascii="Calibri" w:hAnsi="Calibri" w:cs="Tahoma"/>
          <w:color w:val="000000"/>
        </w:rPr>
        <w:t xml:space="preserve">possible </w:t>
      </w:r>
      <w:r w:rsidRPr="009B70F9">
        <w:rPr>
          <w:rFonts w:ascii="Calibri" w:hAnsi="Calibri" w:cs="Tahoma"/>
          <w:color w:val="000000"/>
        </w:rPr>
        <w:t xml:space="preserve">develop </w:t>
      </w:r>
      <w:r w:rsidR="00AC536A" w:rsidRPr="009B70F9">
        <w:rPr>
          <w:rFonts w:ascii="Calibri" w:hAnsi="Calibri" w:cs="Tahoma"/>
          <w:color w:val="000000"/>
        </w:rPr>
        <w:t xml:space="preserve">new </w:t>
      </w:r>
      <w:r w:rsidRPr="009B70F9">
        <w:rPr>
          <w:rFonts w:ascii="Calibri" w:hAnsi="Calibri" w:cs="Tahoma"/>
          <w:color w:val="000000"/>
        </w:rPr>
        <w:t>FHIR resource</w:t>
      </w:r>
      <w:r w:rsidR="00633723" w:rsidRPr="009B70F9">
        <w:rPr>
          <w:rFonts w:ascii="Calibri" w:hAnsi="Calibri" w:cs="Tahoma"/>
          <w:color w:val="000000"/>
        </w:rPr>
        <w:t>s,</w:t>
      </w:r>
      <w:r w:rsidRPr="009B70F9">
        <w:rPr>
          <w:rFonts w:ascii="Calibri" w:hAnsi="Calibri" w:cs="Tahoma"/>
          <w:color w:val="000000"/>
        </w:rPr>
        <w:t xml:space="preserve"> and</w:t>
      </w:r>
      <w:r w:rsidR="0012370B" w:rsidRPr="009B70F9">
        <w:rPr>
          <w:rFonts w:ascii="Calibri" w:hAnsi="Calibri" w:cs="Tahoma"/>
          <w:color w:val="000000"/>
        </w:rPr>
        <w:t>/or FHIR</w:t>
      </w:r>
      <w:r w:rsidR="00633723" w:rsidRPr="009B70F9">
        <w:rPr>
          <w:rFonts w:ascii="Calibri" w:hAnsi="Calibri" w:cs="Tahoma"/>
          <w:color w:val="000000"/>
        </w:rPr>
        <w:t xml:space="preserve"> </w:t>
      </w:r>
      <w:r w:rsidRPr="009B70F9">
        <w:rPr>
          <w:rFonts w:ascii="Calibri" w:hAnsi="Calibri" w:cs="Tahoma"/>
          <w:color w:val="000000"/>
        </w:rPr>
        <w:t>profile</w:t>
      </w:r>
      <w:r w:rsidR="0012370B" w:rsidRPr="009B70F9">
        <w:rPr>
          <w:rFonts w:ascii="Calibri" w:hAnsi="Calibri" w:cs="Tahoma"/>
          <w:color w:val="000000"/>
        </w:rPr>
        <w:t>s</w:t>
      </w:r>
      <w:r w:rsidRPr="009B70F9">
        <w:rPr>
          <w:rFonts w:ascii="Calibri" w:hAnsi="Calibri" w:cs="Tahoma"/>
          <w:color w:val="000000"/>
        </w:rPr>
        <w:t xml:space="preserve"> for the eICR. This work will proceed as part of this project by </w:t>
      </w:r>
      <w:r w:rsidR="00AC536A" w:rsidRPr="009B70F9">
        <w:rPr>
          <w:rFonts w:ascii="Calibri" w:hAnsi="Calibri" w:cs="Tahoma"/>
          <w:color w:val="000000"/>
        </w:rPr>
        <w:t xml:space="preserve">working from relevant </w:t>
      </w:r>
      <w:r w:rsidRPr="009B70F9">
        <w:rPr>
          <w:rFonts w:ascii="Calibri" w:hAnsi="Calibri" w:cs="Tahoma"/>
          <w:color w:val="000000"/>
        </w:rPr>
        <w:t>data elements</w:t>
      </w:r>
      <w:r w:rsidR="00AC536A" w:rsidRPr="009B70F9">
        <w:rPr>
          <w:rFonts w:ascii="Calibri" w:hAnsi="Calibri" w:cs="Tahoma"/>
          <w:color w:val="000000"/>
        </w:rPr>
        <w:t xml:space="preserve"> in the CSTE Task Force report and the eICR C-</w:t>
      </w:r>
      <w:r w:rsidRPr="009B70F9">
        <w:rPr>
          <w:rFonts w:ascii="Calibri" w:hAnsi="Calibri" w:cs="Tahoma"/>
          <w:color w:val="000000"/>
        </w:rPr>
        <w:t>CDA IG.</w:t>
      </w:r>
    </w:p>
    <w:p w14:paraId="0FDC3B98" w14:textId="77777777" w:rsidR="006A6939" w:rsidRPr="009B70F9" w:rsidRDefault="006A6939" w:rsidP="006A6939">
      <w:pPr>
        <w:pStyle w:val="ListParagraph"/>
        <w:rPr>
          <w:rFonts w:ascii="Calibri" w:hAnsi="Calibri" w:cs="Tahoma"/>
          <w:color w:val="000000"/>
          <w:sz w:val="24"/>
          <w:szCs w:val="24"/>
        </w:rPr>
      </w:pPr>
    </w:p>
    <w:p w14:paraId="6A214C35" w14:textId="4C82DEC0" w:rsidR="008A1353" w:rsidRPr="009B70F9" w:rsidRDefault="008A1353" w:rsidP="00BC6A3F">
      <w:pPr>
        <w:pStyle w:val="ListParagraph"/>
        <w:numPr>
          <w:ilvl w:val="0"/>
          <w:numId w:val="27"/>
        </w:numPr>
        <w:rPr>
          <w:rFonts w:ascii="Calibri" w:hAnsi="Calibri" w:cs="Tahoma"/>
          <w:color w:val="000000"/>
          <w:sz w:val="24"/>
          <w:szCs w:val="24"/>
        </w:rPr>
      </w:pPr>
      <w:r w:rsidRPr="009B70F9">
        <w:rPr>
          <w:rFonts w:ascii="Calibri" w:hAnsi="Calibri" w:cs="Tahoma"/>
          <w:color w:val="000000"/>
          <w:sz w:val="24"/>
          <w:szCs w:val="24"/>
        </w:rPr>
        <w:t xml:space="preserve">For the complete public health reporting continuum, two additional reporting mechanisms are important for consideration in future related work; reporting between public health jurisdictions or Public Health to Public Health reporting, and Public Health Case Notification. </w:t>
      </w:r>
    </w:p>
    <w:p w14:paraId="25E10B4E" w14:textId="77777777" w:rsidR="008A1353" w:rsidRPr="009B70F9" w:rsidRDefault="008A1353" w:rsidP="008A1353">
      <w:pPr>
        <w:ind w:left="720"/>
        <w:rPr>
          <w:rFonts w:ascii="Calibri" w:hAnsi="Calibri" w:cs="Tahoma"/>
          <w:color w:val="000000"/>
          <w:sz w:val="24"/>
          <w:szCs w:val="24"/>
        </w:rPr>
      </w:pPr>
      <w:r w:rsidRPr="009B70F9">
        <w:rPr>
          <w:rFonts w:ascii="Calibri" w:hAnsi="Calibri" w:cs="Tahoma"/>
          <w:color w:val="000000"/>
          <w:sz w:val="24"/>
          <w:szCs w:val="24"/>
        </w:rPr>
        <w:t xml:space="preserve">In some instances, investigations may be started in one jurisdiction and then transferred to another jurisdiction. This is often due to a report being made based on a provider location or hospital location because the patient's residence was unknown at the time of report or because of the reporting rules within a specific jurisdiction. This is regular process that jurisdictions routinely complete often times in a manual manner. Being able to transfer cases and associated investigation information to the appropriate jurisdiction electronically would help make the reporting process more efficient may </w:t>
      </w:r>
      <w:r w:rsidRPr="009B70F9">
        <w:rPr>
          <w:rFonts w:ascii="Calibri" w:hAnsi="Calibri" w:cs="Tahoma"/>
          <w:color w:val="000000"/>
          <w:sz w:val="24"/>
          <w:szCs w:val="24"/>
        </w:rPr>
        <w:lastRenderedPageBreak/>
        <w:t xml:space="preserve">provide the necessary information for public health intervention more timely and accurately. </w:t>
      </w:r>
    </w:p>
    <w:p w14:paraId="23273F05" w14:textId="36EC5998" w:rsidR="00FA4D4C" w:rsidRPr="009B70F9" w:rsidRDefault="008A1353" w:rsidP="008A1353">
      <w:pPr>
        <w:ind w:left="720"/>
        <w:rPr>
          <w:rFonts w:ascii="Calibri" w:hAnsi="Calibri" w:cs="Tahoma"/>
          <w:color w:val="000000"/>
          <w:sz w:val="24"/>
          <w:szCs w:val="24"/>
        </w:rPr>
      </w:pPr>
      <w:r w:rsidRPr="009B70F9">
        <w:rPr>
          <w:rFonts w:ascii="Calibri" w:hAnsi="Calibri" w:cs="Tahoma"/>
          <w:color w:val="000000"/>
          <w:sz w:val="24"/>
          <w:szCs w:val="24"/>
        </w:rPr>
        <w:t>Additionally, for some reportable conditions identified by the CSTE and CDC, there is also the need for Public Health jurisdictions send notifications to the CDC. Characteristically, there have been times where individual disease and other public health programs have used different data elements for seemingly similar content. There have also been times when different jurisdictions have used varying data elements without a clear basis. Having standardized a</w:t>
      </w:r>
      <w:r w:rsidR="004A6725" w:rsidRPr="009B70F9">
        <w:rPr>
          <w:rFonts w:ascii="Calibri" w:hAnsi="Calibri" w:cs="Tahoma"/>
          <w:color w:val="000000"/>
          <w:sz w:val="24"/>
          <w:szCs w:val="24"/>
        </w:rPr>
        <w:t>n</w:t>
      </w:r>
      <w:r w:rsidRPr="009B70F9">
        <w:rPr>
          <w:rFonts w:ascii="Calibri" w:hAnsi="Calibri" w:cs="Tahoma"/>
          <w:color w:val="000000"/>
          <w:sz w:val="24"/>
          <w:szCs w:val="24"/>
        </w:rPr>
        <w:t xml:space="preserve"> e</w:t>
      </w:r>
      <w:r w:rsidR="00C712BC" w:rsidRPr="009B70F9">
        <w:rPr>
          <w:rFonts w:ascii="Calibri" w:hAnsi="Calibri" w:cs="Tahoma"/>
          <w:color w:val="000000"/>
          <w:sz w:val="24"/>
          <w:szCs w:val="24"/>
        </w:rPr>
        <w:t>ICR</w:t>
      </w:r>
      <w:r w:rsidRPr="009B70F9">
        <w:rPr>
          <w:rFonts w:ascii="Calibri" w:hAnsi="Calibri" w:cs="Tahoma"/>
          <w:color w:val="000000"/>
          <w:sz w:val="24"/>
          <w:szCs w:val="24"/>
        </w:rPr>
        <w:t>, and with appropriate support, it would be valuable for HL7 to convene all of the involved parties in a neutral setting to establish common standards for the FHIR resources and profiles for condition-specific data as well.</w:t>
      </w:r>
    </w:p>
    <w:p w14:paraId="4E3174A9" w14:textId="77777777" w:rsidR="0012370B" w:rsidRPr="009B70F9" w:rsidRDefault="0012370B" w:rsidP="00064246">
      <w:pPr>
        <w:pStyle w:val="Heading1"/>
        <w:rPr>
          <w:b/>
          <w:color w:val="auto"/>
          <w:sz w:val="24"/>
          <w:szCs w:val="24"/>
        </w:rPr>
      </w:pPr>
      <w:bookmarkStart w:id="9" w:name="_Toc436033854"/>
    </w:p>
    <w:p w14:paraId="621D0471" w14:textId="13FDA5D4" w:rsidR="0012370B" w:rsidRPr="009B70F9" w:rsidRDefault="0012370B" w:rsidP="00064246">
      <w:pPr>
        <w:pStyle w:val="Heading1"/>
        <w:rPr>
          <w:color w:val="auto"/>
          <w:sz w:val="24"/>
          <w:szCs w:val="24"/>
        </w:rPr>
      </w:pPr>
      <w:r w:rsidRPr="009B70F9">
        <w:rPr>
          <w:color w:val="auto"/>
          <w:sz w:val="24"/>
          <w:szCs w:val="24"/>
        </w:rPr>
        <w:t xml:space="preserve">NOTE:  The examples and comments in Chapters 2 and 3, are not normative and any </w:t>
      </w:r>
      <w:r w:rsidR="00F3757D" w:rsidRPr="009B70F9">
        <w:rPr>
          <w:color w:val="auto"/>
          <w:sz w:val="24"/>
          <w:szCs w:val="24"/>
        </w:rPr>
        <w:t>conflict</w:t>
      </w:r>
      <w:r w:rsidRPr="009B70F9">
        <w:rPr>
          <w:color w:val="auto"/>
          <w:sz w:val="24"/>
          <w:szCs w:val="24"/>
        </w:rPr>
        <w:t xml:space="preserve"> between content therein and Chapters 1 or 4 should be favor the specifications in Chapters 1 and 4.</w:t>
      </w:r>
    </w:p>
    <w:p w14:paraId="0ACBD168" w14:textId="77777777" w:rsidR="0012370B" w:rsidRPr="0012370B" w:rsidRDefault="0012370B" w:rsidP="0012370B"/>
    <w:p w14:paraId="6A68DE66" w14:textId="3A6B4368" w:rsidR="00E81E0E" w:rsidRDefault="00064246" w:rsidP="00064246">
      <w:pPr>
        <w:pStyle w:val="Heading1"/>
        <w:rPr>
          <w:b/>
          <w:color w:val="auto"/>
        </w:rPr>
      </w:pPr>
      <w:r>
        <w:rPr>
          <w:b/>
          <w:color w:val="auto"/>
        </w:rPr>
        <w:t xml:space="preserve">2. </w:t>
      </w:r>
      <w:r w:rsidR="00D50D36" w:rsidRPr="00064246">
        <w:rPr>
          <w:b/>
          <w:color w:val="auto"/>
        </w:rPr>
        <w:t>U</w:t>
      </w:r>
      <w:r w:rsidR="00D7556C" w:rsidRPr="00064246">
        <w:rPr>
          <w:b/>
          <w:color w:val="auto"/>
        </w:rPr>
        <w:t>se Case</w:t>
      </w:r>
      <w:r w:rsidR="0012651A" w:rsidRPr="00064246">
        <w:rPr>
          <w:b/>
          <w:color w:val="auto"/>
        </w:rPr>
        <w:t xml:space="preserve"> for eICR</w:t>
      </w:r>
      <w:bookmarkEnd w:id="9"/>
    </w:p>
    <w:p w14:paraId="1B2A6FC7" w14:textId="77777777" w:rsidR="00290FE7" w:rsidRDefault="00290FE7" w:rsidP="00290FE7">
      <w:pPr>
        <w:pStyle w:val="ListParagraph"/>
        <w:ind w:left="10"/>
      </w:pPr>
    </w:p>
    <w:p w14:paraId="36A60C16" w14:textId="5886D684" w:rsidR="00290FE7" w:rsidRPr="009B70F9" w:rsidRDefault="00290FE7" w:rsidP="00290FE7">
      <w:pPr>
        <w:pStyle w:val="ListParagraph"/>
        <w:ind w:left="10"/>
        <w:rPr>
          <w:sz w:val="24"/>
          <w:szCs w:val="24"/>
        </w:rPr>
      </w:pPr>
      <w:r w:rsidRPr="009B70F9">
        <w:rPr>
          <w:sz w:val="24"/>
          <w:szCs w:val="24"/>
        </w:rPr>
        <w:t xml:space="preserve">The scope of this implementation guide is limited to the generation of an eICR from clinical care.  However, eICR generation is only one part of the overall electronic case reporting flow.  The broader electronic case reporting flow is depicted in the context use case diagram in section2.1, and also referenced in the assumptions, pre-conditions and post-conditions of this section. The broader electronic case reporting picture is included both to show where eICR fits (the focus for this IG), and to highlight integral components that should be addressed in subsequent IGs or companion </w:t>
      </w:r>
      <w:r w:rsidR="005A1C90" w:rsidRPr="009B70F9">
        <w:rPr>
          <w:sz w:val="24"/>
          <w:szCs w:val="24"/>
        </w:rPr>
        <w:t>guidance</w:t>
      </w:r>
      <w:r w:rsidRPr="009B70F9">
        <w:rPr>
          <w:sz w:val="24"/>
          <w:szCs w:val="24"/>
        </w:rPr>
        <w:t xml:space="preserve"> to provide adequate support for full eCR implementation.</w:t>
      </w:r>
    </w:p>
    <w:p w14:paraId="1EBC3E12" w14:textId="6CC89831" w:rsidR="00290FE7" w:rsidRPr="00290FE7" w:rsidRDefault="00290FE7" w:rsidP="00290FE7">
      <w:pPr>
        <w:pStyle w:val="Heading2nospace"/>
        <w:rPr>
          <w:rFonts w:asciiTheme="minorHAnsi" w:hAnsiTheme="minorHAnsi"/>
          <w:i w:val="0"/>
        </w:rPr>
      </w:pPr>
      <w:r w:rsidRPr="00B049B3">
        <w:rPr>
          <w:rFonts w:asciiTheme="minorHAnsi" w:hAnsiTheme="minorHAnsi"/>
          <w:i w:val="0"/>
        </w:rPr>
        <w:t>2.</w:t>
      </w:r>
      <w:r>
        <w:rPr>
          <w:rFonts w:asciiTheme="minorHAnsi" w:hAnsiTheme="minorHAnsi"/>
          <w:i w:val="0"/>
        </w:rPr>
        <w:t>1</w:t>
      </w:r>
      <w:r w:rsidRPr="00B049B3">
        <w:rPr>
          <w:rFonts w:asciiTheme="minorHAnsi" w:hAnsiTheme="minorHAnsi"/>
          <w:i w:val="0"/>
        </w:rPr>
        <w:t xml:space="preserve"> </w:t>
      </w:r>
      <w:r>
        <w:rPr>
          <w:rFonts w:asciiTheme="minorHAnsi" w:hAnsiTheme="minorHAnsi"/>
          <w:i w:val="0"/>
        </w:rPr>
        <w:t xml:space="preserve">Context </w:t>
      </w:r>
      <w:r w:rsidRPr="00B049B3">
        <w:rPr>
          <w:rFonts w:asciiTheme="minorHAnsi" w:hAnsiTheme="minorHAnsi"/>
          <w:i w:val="0"/>
        </w:rPr>
        <w:t>Use Case Flow Diagram</w:t>
      </w:r>
    </w:p>
    <w:p w14:paraId="4AD815E1" w14:textId="77777777" w:rsidR="00D24674" w:rsidRDefault="00D24674" w:rsidP="00D24674">
      <w:pPr>
        <w:pStyle w:val="ListParagraph"/>
        <w:ind w:left="10"/>
      </w:pPr>
      <w:bookmarkStart w:id="10" w:name="_Toc436033855"/>
    </w:p>
    <w:p w14:paraId="412E1D72" w14:textId="77777777" w:rsidR="00D24674" w:rsidRPr="009B70F9" w:rsidRDefault="00D24674" w:rsidP="00D24674">
      <w:pPr>
        <w:pStyle w:val="ListParagraph"/>
        <w:ind w:left="10"/>
        <w:rPr>
          <w:sz w:val="24"/>
          <w:szCs w:val="24"/>
        </w:rPr>
      </w:pPr>
      <w:r w:rsidRPr="009B70F9">
        <w:rPr>
          <w:sz w:val="24"/>
          <w:szCs w:val="24"/>
        </w:rPr>
        <w:t>The diagram below is intended to set the context for the overall flow of eCR, while showing where initiation and creation of the eICR fits within the flow.  The context use case flow diagram is intentionally general as it recognizes that:</w:t>
      </w:r>
    </w:p>
    <w:p w14:paraId="212C7DE0" w14:textId="77777777" w:rsidR="00D24674" w:rsidRPr="009B70F9" w:rsidRDefault="00D24674" w:rsidP="00D24674">
      <w:pPr>
        <w:pStyle w:val="ListParagraph"/>
        <w:numPr>
          <w:ilvl w:val="0"/>
          <w:numId w:val="22"/>
        </w:numPr>
        <w:rPr>
          <w:sz w:val="24"/>
          <w:szCs w:val="24"/>
        </w:rPr>
      </w:pPr>
      <w:r w:rsidRPr="009B70F9">
        <w:rPr>
          <w:sz w:val="24"/>
          <w:szCs w:val="24"/>
        </w:rPr>
        <w:t xml:space="preserve">the eICR could be manually initiated by a clinician or automatically initiated based on a match of patient data to a code in a set of codes provided by public health; </w:t>
      </w:r>
    </w:p>
    <w:p w14:paraId="42E5BD96" w14:textId="77777777" w:rsidR="00D24674" w:rsidRPr="009B70F9" w:rsidRDefault="00D24674" w:rsidP="00D24674">
      <w:pPr>
        <w:pStyle w:val="ListParagraph"/>
        <w:numPr>
          <w:ilvl w:val="0"/>
          <w:numId w:val="22"/>
        </w:numPr>
        <w:rPr>
          <w:sz w:val="24"/>
          <w:szCs w:val="24"/>
        </w:rPr>
      </w:pPr>
      <w:r w:rsidRPr="009B70F9">
        <w:rPr>
          <w:sz w:val="24"/>
          <w:szCs w:val="24"/>
        </w:rPr>
        <w:t xml:space="preserve">could be created and sent from an EHR system; or be  </w:t>
      </w:r>
    </w:p>
    <w:p w14:paraId="02A6FAB6" w14:textId="77777777" w:rsidR="00D24674" w:rsidRPr="009B70F9" w:rsidRDefault="00D24674" w:rsidP="00D24674">
      <w:pPr>
        <w:pStyle w:val="ListParagraph"/>
        <w:numPr>
          <w:ilvl w:val="0"/>
          <w:numId w:val="22"/>
        </w:numPr>
        <w:spacing w:after="0"/>
        <w:rPr>
          <w:sz w:val="24"/>
          <w:szCs w:val="24"/>
        </w:rPr>
      </w:pPr>
      <w:r w:rsidRPr="009B70F9">
        <w:rPr>
          <w:sz w:val="24"/>
          <w:szCs w:val="24"/>
        </w:rPr>
        <w:t xml:space="preserve">created in an EHR and sent through a designee of clinical care, such as an HIE, </w:t>
      </w:r>
    </w:p>
    <w:p w14:paraId="5AECDC13" w14:textId="77777777" w:rsidR="00D24674" w:rsidRPr="009B70F9" w:rsidRDefault="00D24674" w:rsidP="00D24674">
      <w:pPr>
        <w:rPr>
          <w:sz w:val="24"/>
          <w:szCs w:val="24"/>
        </w:rPr>
      </w:pPr>
      <w:r w:rsidRPr="009B70F9">
        <w:rPr>
          <w:sz w:val="24"/>
          <w:szCs w:val="24"/>
        </w:rPr>
        <w:t>as shown in swim lane [1] of the context use case flow diagram.</w:t>
      </w:r>
    </w:p>
    <w:p w14:paraId="4BC3BB71" w14:textId="77777777" w:rsidR="00D24674" w:rsidRPr="009B70F9" w:rsidRDefault="00D24674" w:rsidP="00D24674">
      <w:pPr>
        <w:spacing w:after="0"/>
        <w:rPr>
          <w:sz w:val="24"/>
          <w:szCs w:val="24"/>
        </w:rPr>
      </w:pPr>
      <w:r w:rsidRPr="009B70F9">
        <w:rPr>
          <w:sz w:val="24"/>
          <w:szCs w:val="24"/>
        </w:rPr>
        <w:lastRenderedPageBreak/>
        <w:t>Likewise, the eICR could be:</w:t>
      </w:r>
    </w:p>
    <w:p w14:paraId="2EFAB62B" w14:textId="227117B7" w:rsidR="00D24674" w:rsidRPr="009B70F9" w:rsidRDefault="00D24674" w:rsidP="00D24674">
      <w:pPr>
        <w:pStyle w:val="ListParagraph"/>
        <w:numPr>
          <w:ilvl w:val="0"/>
          <w:numId w:val="23"/>
        </w:numPr>
        <w:rPr>
          <w:sz w:val="24"/>
          <w:szCs w:val="24"/>
        </w:rPr>
      </w:pPr>
      <w:r w:rsidRPr="009B70F9">
        <w:rPr>
          <w:sz w:val="24"/>
          <w:szCs w:val="24"/>
        </w:rPr>
        <w:t xml:space="preserve">received directly by the </w:t>
      </w:r>
      <w:r w:rsidR="00665700" w:rsidRPr="009B70F9">
        <w:rPr>
          <w:sz w:val="24"/>
          <w:szCs w:val="24"/>
        </w:rPr>
        <w:t>PHA</w:t>
      </w:r>
      <w:r w:rsidRPr="009B70F9">
        <w:rPr>
          <w:sz w:val="24"/>
          <w:szCs w:val="24"/>
        </w:rPr>
        <w:t xml:space="preserve">; or by an </w:t>
      </w:r>
    </w:p>
    <w:p w14:paraId="632B5A79" w14:textId="67A77A21" w:rsidR="00D24674" w:rsidRPr="009B70F9" w:rsidRDefault="00D24674" w:rsidP="00D24674">
      <w:pPr>
        <w:pStyle w:val="ListParagraph"/>
        <w:numPr>
          <w:ilvl w:val="0"/>
          <w:numId w:val="23"/>
        </w:numPr>
        <w:spacing w:after="0"/>
        <w:rPr>
          <w:sz w:val="24"/>
          <w:szCs w:val="24"/>
        </w:rPr>
      </w:pPr>
      <w:r w:rsidRPr="009B70F9">
        <w:rPr>
          <w:sz w:val="24"/>
          <w:szCs w:val="24"/>
        </w:rPr>
        <w:t xml:space="preserve">intermediary for the </w:t>
      </w:r>
      <w:r w:rsidR="00665700" w:rsidRPr="009B70F9">
        <w:rPr>
          <w:sz w:val="24"/>
          <w:szCs w:val="24"/>
        </w:rPr>
        <w:t>PHA</w:t>
      </w:r>
      <w:r w:rsidRPr="009B70F9">
        <w:rPr>
          <w:sz w:val="24"/>
          <w:szCs w:val="24"/>
        </w:rPr>
        <w:t>, such as the Public Health Community Platform (PHCP) or an HIE,</w:t>
      </w:r>
    </w:p>
    <w:p w14:paraId="113ABF68" w14:textId="77777777" w:rsidR="00D24674" w:rsidRPr="009B70F9" w:rsidRDefault="00D24674" w:rsidP="00D24674">
      <w:pPr>
        <w:rPr>
          <w:sz w:val="24"/>
          <w:szCs w:val="24"/>
        </w:rPr>
      </w:pPr>
      <w:r w:rsidRPr="009B70F9">
        <w:rPr>
          <w:sz w:val="24"/>
          <w:szCs w:val="24"/>
        </w:rPr>
        <w:t>as shown in swim lane [2] of the context use case flow diagram.</w:t>
      </w:r>
    </w:p>
    <w:p w14:paraId="15CDBE64" w14:textId="1F053C1A" w:rsidR="00D24674" w:rsidRPr="009B70F9" w:rsidRDefault="00D24674" w:rsidP="00D24674">
      <w:pPr>
        <w:rPr>
          <w:sz w:val="24"/>
          <w:szCs w:val="24"/>
        </w:rPr>
      </w:pPr>
      <w:r w:rsidRPr="009B70F9">
        <w:rPr>
          <w:sz w:val="24"/>
          <w:szCs w:val="24"/>
        </w:rPr>
        <w:t xml:space="preserve">Confirm Reportability (context use case flow diagram [4]) is a function that operates against the eICR once received by the </w:t>
      </w:r>
      <w:r w:rsidR="00665700" w:rsidRPr="009B70F9">
        <w:rPr>
          <w:sz w:val="24"/>
          <w:szCs w:val="24"/>
        </w:rPr>
        <w:t>PHA</w:t>
      </w:r>
      <w:r w:rsidRPr="009B70F9">
        <w:rPr>
          <w:sz w:val="24"/>
          <w:szCs w:val="24"/>
        </w:rPr>
        <w:t xml:space="preserve"> (or its intermediary).  Its role is to determine if the report meets jurisdictional reporting requirements and to which jurisdiction(s) the report should be sent.  Again, in keeping with the general depiction of the eCR flow, the confirmation of reportability could be met by:</w:t>
      </w:r>
    </w:p>
    <w:p w14:paraId="110DD25B" w14:textId="77777777" w:rsidR="00D24674" w:rsidRPr="009B70F9" w:rsidRDefault="00D24674" w:rsidP="00D24674">
      <w:pPr>
        <w:pStyle w:val="ListParagraph"/>
        <w:numPr>
          <w:ilvl w:val="0"/>
          <w:numId w:val="24"/>
        </w:numPr>
        <w:rPr>
          <w:sz w:val="24"/>
          <w:szCs w:val="24"/>
        </w:rPr>
      </w:pPr>
      <w:r w:rsidRPr="009B70F9">
        <w:rPr>
          <w:sz w:val="24"/>
          <w:szCs w:val="24"/>
        </w:rPr>
        <w:t>a centralized but jurisdiction specific decision support service such as RCKMS;</w:t>
      </w:r>
    </w:p>
    <w:p w14:paraId="5A4BA03C" w14:textId="77777777" w:rsidR="00D24674" w:rsidRPr="009B70F9" w:rsidRDefault="00D24674" w:rsidP="00D24674">
      <w:pPr>
        <w:pStyle w:val="ListParagraph"/>
        <w:numPr>
          <w:ilvl w:val="0"/>
          <w:numId w:val="24"/>
        </w:numPr>
        <w:rPr>
          <w:sz w:val="24"/>
          <w:szCs w:val="24"/>
        </w:rPr>
      </w:pPr>
      <w:r w:rsidRPr="009B70F9">
        <w:rPr>
          <w:sz w:val="24"/>
          <w:szCs w:val="24"/>
        </w:rPr>
        <w:t xml:space="preserve">a localized decision support service such as ESP; or </w:t>
      </w:r>
    </w:p>
    <w:p w14:paraId="224EF9F6" w14:textId="61C8713E" w:rsidR="00D24674" w:rsidRPr="009B70F9" w:rsidRDefault="00D24674" w:rsidP="00D24674">
      <w:pPr>
        <w:pStyle w:val="ListParagraph"/>
        <w:numPr>
          <w:ilvl w:val="0"/>
          <w:numId w:val="24"/>
        </w:numPr>
        <w:rPr>
          <w:sz w:val="24"/>
          <w:szCs w:val="24"/>
        </w:rPr>
      </w:pPr>
      <w:r w:rsidRPr="009B70F9">
        <w:rPr>
          <w:sz w:val="24"/>
          <w:szCs w:val="24"/>
        </w:rPr>
        <w:t>using manual inspection at a jurisdiction in the absence of an automated approach.</w:t>
      </w:r>
    </w:p>
    <w:p w14:paraId="61AD3F5F" w14:textId="4E651646" w:rsidR="00D24674" w:rsidRDefault="00D24674">
      <w:r>
        <w:rPr>
          <w:noProof/>
        </w:rPr>
        <w:lastRenderedPageBreak/>
        <w:drawing>
          <wp:inline distT="0" distB="0" distL="0" distR="0" wp14:anchorId="17145173" wp14:editId="1751D2D4">
            <wp:extent cx="5943600" cy="79794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R_UseCases_PHAgencySimple_0303201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979410"/>
                    </a:xfrm>
                    <a:prstGeom prst="rect">
                      <a:avLst/>
                    </a:prstGeom>
                    <a:ln w="12700">
                      <a:solidFill>
                        <a:schemeClr val="accent1"/>
                      </a:solidFill>
                    </a:ln>
                  </pic:spPr>
                </pic:pic>
              </a:graphicData>
            </a:graphic>
          </wp:inline>
        </w:drawing>
      </w:r>
      <w:r>
        <w:br w:type="page"/>
      </w:r>
    </w:p>
    <w:p w14:paraId="5428EAAF" w14:textId="1C0A64B5" w:rsidR="00E81E0E" w:rsidRPr="00B049B3" w:rsidRDefault="0028488C" w:rsidP="00B049B3">
      <w:pPr>
        <w:pStyle w:val="Heading2nospace"/>
        <w:rPr>
          <w:rFonts w:asciiTheme="minorHAnsi" w:hAnsiTheme="minorHAnsi"/>
          <w:i w:val="0"/>
        </w:rPr>
      </w:pPr>
      <w:r w:rsidRPr="00B049B3">
        <w:rPr>
          <w:rFonts w:asciiTheme="minorHAnsi" w:hAnsiTheme="minorHAnsi"/>
          <w:i w:val="0"/>
        </w:rPr>
        <w:lastRenderedPageBreak/>
        <w:t>2</w:t>
      </w:r>
      <w:r w:rsidR="00D50D36" w:rsidRPr="00B049B3">
        <w:rPr>
          <w:rFonts w:asciiTheme="minorHAnsi" w:hAnsiTheme="minorHAnsi"/>
          <w:i w:val="0"/>
        </w:rPr>
        <w:t>.</w:t>
      </w:r>
      <w:r w:rsidR="00290FE7">
        <w:rPr>
          <w:rFonts w:asciiTheme="minorHAnsi" w:hAnsiTheme="minorHAnsi"/>
          <w:i w:val="0"/>
        </w:rPr>
        <w:t>2</w:t>
      </w:r>
      <w:r w:rsidR="00D50D36" w:rsidRPr="00B049B3">
        <w:rPr>
          <w:rFonts w:asciiTheme="minorHAnsi" w:hAnsiTheme="minorHAnsi"/>
          <w:i w:val="0"/>
        </w:rPr>
        <w:t xml:space="preserve"> </w:t>
      </w:r>
      <w:r w:rsidR="00E81E0E" w:rsidRPr="00B049B3">
        <w:rPr>
          <w:rFonts w:asciiTheme="minorHAnsi" w:hAnsiTheme="minorHAnsi"/>
          <w:i w:val="0"/>
        </w:rPr>
        <w:t>Use Case</w:t>
      </w:r>
      <w:r w:rsidR="005D79B1" w:rsidRPr="00B049B3">
        <w:rPr>
          <w:rFonts w:asciiTheme="minorHAnsi" w:hAnsiTheme="minorHAnsi"/>
          <w:i w:val="0"/>
        </w:rPr>
        <w:t xml:space="preserve"> Assumptions</w:t>
      </w:r>
      <w:bookmarkEnd w:id="10"/>
    </w:p>
    <w:p w14:paraId="17CD47AA" w14:textId="15C407ED" w:rsidR="005D79B1" w:rsidRDefault="005D79B1" w:rsidP="005D79B1">
      <w:pPr>
        <w:spacing w:after="50" w:line="259" w:lineRule="auto"/>
        <w:ind w:left="720"/>
      </w:pPr>
    </w:p>
    <w:p w14:paraId="3942F95C" w14:textId="52128657" w:rsidR="005D79B1" w:rsidRPr="009B70F9" w:rsidRDefault="005D79B1" w:rsidP="00BC6A3F">
      <w:pPr>
        <w:numPr>
          <w:ilvl w:val="0"/>
          <w:numId w:val="17"/>
        </w:numPr>
        <w:spacing w:line="271" w:lineRule="auto"/>
        <w:ind w:right="43" w:hanging="360"/>
        <w:rPr>
          <w:sz w:val="24"/>
          <w:szCs w:val="24"/>
        </w:rPr>
      </w:pPr>
      <w:r w:rsidRPr="009B70F9">
        <w:rPr>
          <w:sz w:val="24"/>
          <w:szCs w:val="24"/>
        </w:rPr>
        <w:t xml:space="preserve">Patient-level clinical information is entered, imported, or accessed by a healthcare provider using an EHR </w:t>
      </w:r>
      <w:r w:rsidR="005A1C90" w:rsidRPr="009B70F9">
        <w:rPr>
          <w:sz w:val="24"/>
          <w:szCs w:val="24"/>
        </w:rPr>
        <w:t>s</w:t>
      </w:r>
      <w:r w:rsidRPr="009B70F9">
        <w:rPr>
          <w:sz w:val="24"/>
          <w:szCs w:val="24"/>
        </w:rPr>
        <w:t>ystem</w:t>
      </w:r>
      <w:r w:rsidR="005A1C90" w:rsidRPr="009B70F9">
        <w:rPr>
          <w:sz w:val="24"/>
          <w:szCs w:val="24"/>
        </w:rPr>
        <w:t xml:space="preserve">. </w:t>
      </w:r>
      <w:r w:rsidRPr="009B70F9">
        <w:rPr>
          <w:sz w:val="24"/>
          <w:szCs w:val="24"/>
        </w:rPr>
        <w:t xml:space="preserve"> </w:t>
      </w:r>
    </w:p>
    <w:p w14:paraId="59650587" w14:textId="2BB89797" w:rsidR="005D79B1" w:rsidRPr="009B70F9" w:rsidRDefault="005D79B1" w:rsidP="00BC6A3F">
      <w:pPr>
        <w:numPr>
          <w:ilvl w:val="0"/>
          <w:numId w:val="17"/>
        </w:numPr>
        <w:spacing w:line="271" w:lineRule="auto"/>
        <w:ind w:right="43" w:hanging="360"/>
        <w:rPr>
          <w:sz w:val="24"/>
          <w:szCs w:val="24"/>
        </w:rPr>
      </w:pPr>
      <w:r w:rsidRPr="009B70F9">
        <w:rPr>
          <w:sz w:val="24"/>
          <w:szCs w:val="24"/>
        </w:rPr>
        <w:t xml:space="preserve">Broadly-acceptable security and transport protocols, patient identification methodology, privacy and security procedures, coding, vocabulary, and normalization standards exist and are in use by the EHR system and </w:t>
      </w:r>
      <w:r w:rsidR="00665700" w:rsidRPr="009B70F9">
        <w:rPr>
          <w:sz w:val="24"/>
          <w:szCs w:val="24"/>
        </w:rPr>
        <w:t>PHA</w:t>
      </w:r>
      <w:r w:rsidRPr="009B70F9">
        <w:rPr>
          <w:sz w:val="24"/>
          <w:szCs w:val="24"/>
        </w:rPr>
        <w:t xml:space="preserve"> system. </w:t>
      </w:r>
    </w:p>
    <w:p w14:paraId="1391F459" w14:textId="5BB50B47" w:rsidR="005D79B1" w:rsidRPr="009B70F9" w:rsidRDefault="00665700" w:rsidP="00BC6A3F">
      <w:pPr>
        <w:numPr>
          <w:ilvl w:val="0"/>
          <w:numId w:val="17"/>
        </w:numPr>
        <w:spacing w:line="271" w:lineRule="auto"/>
        <w:ind w:right="43" w:hanging="360"/>
        <w:rPr>
          <w:sz w:val="24"/>
          <w:szCs w:val="24"/>
        </w:rPr>
      </w:pPr>
      <w:r w:rsidRPr="009B70F9">
        <w:rPr>
          <w:sz w:val="24"/>
          <w:szCs w:val="24"/>
        </w:rPr>
        <w:t>The EHR system contains or has access</w:t>
      </w:r>
      <w:r w:rsidR="0002492E" w:rsidRPr="009B70F9">
        <w:rPr>
          <w:sz w:val="24"/>
          <w:szCs w:val="24"/>
        </w:rPr>
        <w:t xml:space="preserve"> to</w:t>
      </w:r>
      <w:r w:rsidRPr="009B70F9">
        <w:rPr>
          <w:sz w:val="24"/>
          <w:szCs w:val="24"/>
        </w:rPr>
        <w:t xml:space="preserve"> all relevant information and data (e.g., demographic, clinical, laboratory, pharmacy) to generate a complete and accurate </w:t>
      </w:r>
      <w:r w:rsidR="00C712BC" w:rsidRPr="009B70F9">
        <w:rPr>
          <w:sz w:val="24"/>
          <w:szCs w:val="24"/>
        </w:rPr>
        <w:t>eICR</w:t>
      </w:r>
      <w:r w:rsidRPr="009B70F9">
        <w:rPr>
          <w:sz w:val="24"/>
          <w:szCs w:val="24"/>
        </w:rPr>
        <w:t xml:space="preserve"> in accordance with requirements described in this implementation guide.</w:t>
      </w:r>
    </w:p>
    <w:p w14:paraId="58930743" w14:textId="77777777" w:rsidR="00D24674" w:rsidRPr="009B70F9" w:rsidRDefault="005D79B1" w:rsidP="00BC6A3F">
      <w:pPr>
        <w:numPr>
          <w:ilvl w:val="0"/>
          <w:numId w:val="17"/>
        </w:numPr>
        <w:spacing w:line="271" w:lineRule="auto"/>
        <w:ind w:right="43" w:hanging="360"/>
        <w:rPr>
          <w:sz w:val="24"/>
          <w:szCs w:val="24"/>
        </w:rPr>
      </w:pPr>
      <w:r w:rsidRPr="009B70F9">
        <w:rPr>
          <w:sz w:val="24"/>
          <w:szCs w:val="24"/>
        </w:rPr>
        <w:t xml:space="preserve">Appropriate data and information stewardship practices are adopted by exchange partners.  </w:t>
      </w:r>
    </w:p>
    <w:p w14:paraId="6157A7D0" w14:textId="582CC33A" w:rsidR="005D79B1" w:rsidRPr="009B70F9" w:rsidRDefault="00D24674" w:rsidP="00BC6A3F">
      <w:pPr>
        <w:numPr>
          <w:ilvl w:val="0"/>
          <w:numId w:val="17"/>
        </w:numPr>
        <w:spacing w:line="271" w:lineRule="auto"/>
        <w:ind w:right="43" w:hanging="360"/>
        <w:rPr>
          <w:sz w:val="24"/>
          <w:szCs w:val="24"/>
        </w:rPr>
      </w:pPr>
      <w:r w:rsidRPr="009B70F9">
        <w:rPr>
          <w:sz w:val="24"/>
          <w:szCs w:val="24"/>
        </w:rPr>
        <w:t>N</w:t>
      </w:r>
      <w:r w:rsidR="005D79B1" w:rsidRPr="009B70F9">
        <w:rPr>
          <w:sz w:val="24"/>
          <w:szCs w:val="24"/>
        </w:rPr>
        <w:t xml:space="preserve">etwork and policy infrastructure exist to enable consistent, appropriate, and accurate information exchange across </w:t>
      </w:r>
      <w:r w:rsidRPr="009B70F9">
        <w:rPr>
          <w:sz w:val="24"/>
          <w:szCs w:val="24"/>
        </w:rPr>
        <w:t xml:space="preserve">exchange partners. </w:t>
      </w:r>
      <w:r w:rsidR="005D79B1" w:rsidRPr="009B70F9">
        <w:rPr>
          <w:sz w:val="24"/>
          <w:szCs w:val="24"/>
        </w:rPr>
        <w:t xml:space="preserve">  </w:t>
      </w:r>
    </w:p>
    <w:p w14:paraId="7ACDBA37" w14:textId="765DF4B1" w:rsidR="005D79B1" w:rsidRPr="009B70F9" w:rsidRDefault="005A1C90" w:rsidP="00BC6A3F">
      <w:pPr>
        <w:numPr>
          <w:ilvl w:val="0"/>
          <w:numId w:val="17"/>
        </w:numPr>
        <w:spacing w:line="271" w:lineRule="auto"/>
        <w:ind w:right="43" w:hanging="360"/>
        <w:rPr>
          <w:sz w:val="24"/>
          <w:szCs w:val="24"/>
        </w:rPr>
      </w:pPr>
      <w:r w:rsidRPr="009B70F9">
        <w:rPr>
          <w:sz w:val="24"/>
          <w:szCs w:val="24"/>
        </w:rPr>
        <w:t>The EHR s</w:t>
      </w:r>
      <w:r w:rsidR="005D79B1" w:rsidRPr="009B70F9">
        <w:rPr>
          <w:sz w:val="24"/>
          <w:szCs w:val="24"/>
        </w:rPr>
        <w:t>ystem may be a single stand-alone system or based upon a component-based architecture</w:t>
      </w:r>
      <w:r w:rsidR="00D773F7" w:rsidRPr="009B70F9">
        <w:rPr>
          <w:sz w:val="24"/>
          <w:szCs w:val="24"/>
        </w:rPr>
        <w:t>.  The EHR may</w:t>
      </w:r>
      <w:r w:rsidR="00F3757D">
        <w:rPr>
          <w:sz w:val="24"/>
          <w:szCs w:val="24"/>
        </w:rPr>
        <w:t xml:space="preserve"> </w:t>
      </w:r>
      <w:r w:rsidR="005D79B1" w:rsidRPr="009B70F9">
        <w:rPr>
          <w:sz w:val="24"/>
          <w:szCs w:val="24"/>
        </w:rPr>
        <w:t xml:space="preserve">interface with other systems that are used to help </w:t>
      </w:r>
      <w:r w:rsidR="00D24674" w:rsidRPr="009B70F9">
        <w:rPr>
          <w:sz w:val="24"/>
          <w:szCs w:val="24"/>
        </w:rPr>
        <w:t xml:space="preserve">create, </w:t>
      </w:r>
      <w:r w:rsidR="005D79B1" w:rsidRPr="009B70F9">
        <w:rPr>
          <w:sz w:val="24"/>
          <w:szCs w:val="24"/>
        </w:rPr>
        <w:t>populate or transmit the report to public health</w:t>
      </w:r>
      <w:r w:rsidR="00D773F7" w:rsidRPr="009B70F9">
        <w:rPr>
          <w:sz w:val="24"/>
          <w:szCs w:val="24"/>
        </w:rPr>
        <w:t xml:space="preserve"> or its intermediary</w:t>
      </w:r>
      <w:r w:rsidR="005D79B1" w:rsidRPr="009B70F9">
        <w:rPr>
          <w:sz w:val="24"/>
          <w:szCs w:val="24"/>
        </w:rPr>
        <w:t xml:space="preserve">. </w:t>
      </w:r>
    </w:p>
    <w:p w14:paraId="6205DBA6" w14:textId="54D53D75" w:rsidR="00A3451B" w:rsidRPr="009B70F9" w:rsidRDefault="005D79B1" w:rsidP="00BC6A3F">
      <w:pPr>
        <w:numPr>
          <w:ilvl w:val="0"/>
          <w:numId w:val="17"/>
        </w:numPr>
        <w:spacing w:line="271" w:lineRule="auto"/>
        <w:ind w:right="43" w:hanging="360"/>
        <w:rPr>
          <w:sz w:val="24"/>
          <w:szCs w:val="24"/>
        </w:rPr>
      </w:pPr>
      <w:r w:rsidRPr="009B70F9">
        <w:rPr>
          <w:sz w:val="24"/>
          <w:szCs w:val="24"/>
        </w:rPr>
        <w:t xml:space="preserve">The </w:t>
      </w:r>
      <w:r w:rsidR="00665700" w:rsidRPr="009B70F9">
        <w:rPr>
          <w:sz w:val="24"/>
          <w:szCs w:val="24"/>
        </w:rPr>
        <w:t>PHA</w:t>
      </w:r>
      <w:r w:rsidR="00F3757D">
        <w:rPr>
          <w:sz w:val="24"/>
          <w:szCs w:val="24"/>
        </w:rPr>
        <w:t xml:space="preserve"> </w:t>
      </w:r>
      <w:r w:rsidR="005A1C90" w:rsidRPr="009B70F9">
        <w:rPr>
          <w:sz w:val="24"/>
          <w:szCs w:val="24"/>
        </w:rPr>
        <w:t>s</w:t>
      </w:r>
      <w:r w:rsidRPr="009B70F9">
        <w:rPr>
          <w:sz w:val="24"/>
          <w:szCs w:val="24"/>
        </w:rPr>
        <w:t>ystem and/or its intermediary system is in place</w:t>
      </w:r>
      <w:r w:rsidR="00800519" w:rsidRPr="009B70F9">
        <w:rPr>
          <w:sz w:val="24"/>
          <w:szCs w:val="24"/>
        </w:rPr>
        <w:t xml:space="preserve">, </w:t>
      </w:r>
      <w:r w:rsidR="00A3451B" w:rsidRPr="009B70F9">
        <w:rPr>
          <w:sz w:val="24"/>
          <w:szCs w:val="24"/>
        </w:rPr>
        <w:t xml:space="preserve">is </w:t>
      </w:r>
      <w:r w:rsidRPr="009B70F9">
        <w:rPr>
          <w:sz w:val="24"/>
          <w:szCs w:val="24"/>
        </w:rPr>
        <w:t xml:space="preserve">capable of receiving </w:t>
      </w:r>
      <w:r w:rsidR="00A3451B" w:rsidRPr="009B70F9">
        <w:rPr>
          <w:sz w:val="24"/>
          <w:szCs w:val="24"/>
        </w:rPr>
        <w:t>and consuming</w:t>
      </w:r>
      <w:r w:rsidR="00800519" w:rsidRPr="009B70F9">
        <w:rPr>
          <w:sz w:val="24"/>
          <w:szCs w:val="24"/>
        </w:rPr>
        <w:t xml:space="preserve"> the report, and receives</w:t>
      </w:r>
      <w:r w:rsidR="00A3451B" w:rsidRPr="009B70F9">
        <w:rPr>
          <w:sz w:val="24"/>
          <w:szCs w:val="24"/>
        </w:rPr>
        <w:t xml:space="preserve"> </w:t>
      </w:r>
      <w:r w:rsidRPr="009B70F9">
        <w:rPr>
          <w:sz w:val="24"/>
          <w:szCs w:val="24"/>
        </w:rPr>
        <w:t xml:space="preserve">the report in a standardized structured format.  </w:t>
      </w:r>
    </w:p>
    <w:p w14:paraId="416DC026" w14:textId="13A3A545" w:rsidR="005D79B1" w:rsidRPr="009B70F9" w:rsidRDefault="005D79B1" w:rsidP="00A3451B">
      <w:pPr>
        <w:numPr>
          <w:ilvl w:val="1"/>
          <w:numId w:val="17"/>
        </w:numPr>
        <w:spacing w:line="271" w:lineRule="auto"/>
        <w:ind w:right="43"/>
        <w:rPr>
          <w:sz w:val="24"/>
          <w:szCs w:val="24"/>
        </w:rPr>
      </w:pPr>
      <w:r w:rsidRPr="009B70F9">
        <w:rPr>
          <w:sz w:val="24"/>
          <w:szCs w:val="24"/>
        </w:rPr>
        <w:t xml:space="preserve">These information systems may be a single stand-alone system or </w:t>
      </w:r>
      <w:r w:rsidR="00A3451B" w:rsidRPr="009B70F9">
        <w:rPr>
          <w:sz w:val="24"/>
          <w:szCs w:val="24"/>
        </w:rPr>
        <w:t xml:space="preserve">be </w:t>
      </w:r>
      <w:r w:rsidRPr="009B70F9">
        <w:rPr>
          <w:sz w:val="24"/>
          <w:szCs w:val="24"/>
        </w:rPr>
        <w:t xml:space="preserve">component based </w:t>
      </w:r>
      <w:r w:rsidR="00A3451B" w:rsidRPr="009B70F9">
        <w:rPr>
          <w:sz w:val="24"/>
          <w:szCs w:val="24"/>
        </w:rPr>
        <w:t xml:space="preserve">systems </w:t>
      </w:r>
      <w:r w:rsidRPr="009B70F9">
        <w:rPr>
          <w:sz w:val="24"/>
          <w:szCs w:val="24"/>
        </w:rPr>
        <w:t xml:space="preserve">used to </w:t>
      </w:r>
      <w:r w:rsidR="00FE6F82" w:rsidRPr="009B70F9">
        <w:rPr>
          <w:sz w:val="24"/>
          <w:szCs w:val="24"/>
        </w:rPr>
        <w:t xml:space="preserve">receive, process, store or archive, as appropriate, </w:t>
      </w:r>
      <w:r w:rsidRPr="009B70F9">
        <w:rPr>
          <w:sz w:val="24"/>
          <w:szCs w:val="24"/>
        </w:rPr>
        <w:t xml:space="preserve">the report for review and/or analysis. </w:t>
      </w:r>
    </w:p>
    <w:p w14:paraId="2A714880" w14:textId="080813E6" w:rsidR="005D79B1" w:rsidRPr="009B70F9" w:rsidRDefault="00FE6F82" w:rsidP="00A3451B">
      <w:pPr>
        <w:numPr>
          <w:ilvl w:val="0"/>
          <w:numId w:val="17"/>
        </w:numPr>
        <w:spacing w:line="271" w:lineRule="auto"/>
        <w:ind w:right="43" w:hanging="360"/>
        <w:rPr>
          <w:sz w:val="24"/>
          <w:szCs w:val="24"/>
        </w:rPr>
      </w:pPr>
      <w:r w:rsidRPr="009B70F9">
        <w:rPr>
          <w:rFonts w:eastAsia="Times New Roman" w:cs="Times New Roman"/>
          <w:sz w:val="24"/>
          <w:szCs w:val="24"/>
        </w:rPr>
        <w:t>For automated reporting, t</w:t>
      </w:r>
      <w:r w:rsidR="005D79B1" w:rsidRPr="009B70F9">
        <w:rPr>
          <w:rFonts w:eastAsia="Times New Roman" w:cs="Times New Roman"/>
          <w:sz w:val="24"/>
          <w:szCs w:val="24"/>
        </w:rPr>
        <w:t xml:space="preserve">here </w:t>
      </w:r>
      <w:r w:rsidR="00800519" w:rsidRPr="009B70F9">
        <w:rPr>
          <w:rFonts w:eastAsia="Times New Roman" w:cs="Times New Roman"/>
          <w:sz w:val="24"/>
          <w:szCs w:val="24"/>
        </w:rPr>
        <w:t>is</w:t>
      </w:r>
      <w:r w:rsidR="00F3757D">
        <w:rPr>
          <w:rFonts w:eastAsia="Times New Roman" w:cs="Times New Roman"/>
          <w:sz w:val="24"/>
          <w:szCs w:val="24"/>
        </w:rPr>
        <w:t xml:space="preserve"> </w:t>
      </w:r>
      <w:r w:rsidR="005D79B1" w:rsidRPr="009B70F9">
        <w:rPr>
          <w:rFonts w:eastAsia="Times New Roman" w:cs="Times New Roman"/>
          <w:sz w:val="24"/>
          <w:szCs w:val="24"/>
        </w:rPr>
        <w:t xml:space="preserve">a common standard set </w:t>
      </w:r>
      <w:r w:rsidR="00800519" w:rsidRPr="009B70F9">
        <w:rPr>
          <w:rFonts w:eastAsia="Times New Roman" w:cs="Times New Roman"/>
          <w:sz w:val="24"/>
          <w:szCs w:val="24"/>
        </w:rPr>
        <w:t xml:space="preserve">of </w:t>
      </w:r>
      <w:r w:rsidR="005D79B1" w:rsidRPr="009B70F9">
        <w:rPr>
          <w:rFonts w:eastAsia="Times New Roman" w:cs="Times New Roman"/>
          <w:sz w:val="24"/>
          <w:szCs w:val="24"/>
        </w:rPr>
        <w:t xml:space="preserve">codes used to </w:t>
      </w:r>
      <w:r w:rsidR="00A3451B" w:rsidRPr="009B70F9">
        <w:rPr>
          <w:rFonts w:eastAsia="Times New Roman" w:cs="Times New Roman"/>
          <w:sz w:val="24"/>
          <w:szCs w:val="24"/>
        </w:rPr>
        <w:t xml:space="preserve">automatically match against (i.e., </w:t>
      </w:r>
      <w:r w:rsidR="005D79B1" w:rsidRPr="009B70F9">
        <w:rPr>
          <w:rFonts w:eastAsia="Times New Roman" w:cs="Times New Roman"/>
          <w:sz w:val="24"/>
          <w:szCs w:val="24"/>
        </w:rPr>
        <w:t>trigger</w:t>
      </w:r>
      <w:r w:rsidR="00A3451B" w:rsidRPr="009B70F9">
        <w:rPr>
          <w:rFonts w:eastAsia="Times New Roman" w:cs="Times New Roman"/>
          <w:sz w:val="24"/>
          <w:szCs w:val="24"/>
        </w:rPr>
        <w:t xml:space="preserve"> codes) information in a patient encounter to initiate the creation and</w:t>
      </w:r>
      <w:r w:rsidR="005D79B1" w:rsidRPr="009B70F9">
        <w:rPr>
          <w:rFonts w:eastAsia="Times New Roman" w:cs="Times New Roman"/>
          <w:sz w:val="24"/>
          <w:szCs w:val="24"/>
        </w:rPr>
        <w:t xml:space="preserve"> sending of an </w:t>
      </w:r>
      <w:r w:rsidR="00C712BC" w:rsidRPr="009B70F9">
        <w:rPr>
          <w:rFonts w:eastAsia="Times New Roman" w:cs="Times New Roman"/>
          <w:sz w:val="24"/>
          <w:szCs w:val="24"/>
        </w:rPr>
        <w:t xml:space="preserve">eICR </w:t>
      </w:r>
      <w:r w:rsidR="005D79B1" w:rsidRPr="009B70F9">
        <w:rPr>
          <w:rFonts w:eastAsia="Times New Roman" w:cs="Times New Roman"/>
          <w:sz w:val="24"/>
          <w:szCs w:val="24"/>
        </w:rPr>
        <w:t>from all EHR</w:t>
      </w:r>
      <w:r w:rsidR="005A1C90" w:rsidRPr="009B70F9">
        <w:rPr>
          <w:rFonts w:eastAsia="Times New Roman" w:cs="Times New Roman"/>
          <w:sz w:val="24"/>
          <w:szCs w:val="24"/>
        </w:rPr>
        <w:t xml:space="preserve"> </w:t>
      </w:r>
      <w:r w:rsidR="005D79B1" w:rsidRPr="009B70F9">
        <w:rPr>
          <w:rFonts w:eastAsia="Times New Roman" w:cs="Times New Roman"/>
          <w:sz w:val="24"/>
          <w:szCs w:val="24"/>
        </w:rPr>
        <w:t>s</w:t>
      </w:r>
      <w:r w:rsidR="005A1C90" w:rsidRPr="009B70F9">
        <w:rPr>
          <w:rFonts w:eastAsia="Times New Roman" w:cs="Times New Roman"/>
          <w:sz w:val="24"/>
          <w:szCs w:val="24"/>
        </w:rPr>
        <w:t>ystems</w:t>
      </w:r>
      <w:r w:rsidR="005D79B1" w:rsidRPr="009B70F9">
        <w:rPr>
          <w:rFonts w:eastAsia="Times New Roman" w:cs="Times New Roman"/>
          <w:sz w:val="24"/>
          <w:szCs w:val="24"/>
        </w:rPr>
        <w:t>.</w:t>
      </w:r>
      <w:r w:rsidRPr="009B70F9">
        <w:rPr>
          <w:rFonts w:eastAsia="Times New Roman" w:cs="Times New Roman"/>
          <w:sz w:val="24"/>
          <w:szCs w:val="24"/>
        </w:rPr>
        <w:t xml:space="preserve"> Initial electronic case report documents can also be manually initiated. </w:t>
      </w:r>
    </w:p>
    <w:p w14:paraId="374B454F" w14:textId="027C63C7" w:rsidR="00A3451B" w:rsidRPr="009B70F9" w:rsidRDefault="005D79B1" w:rsidP="00A3451B">
      <w:pPr>
        <w:numPr>
          <w:ilvl w:val="0"/>
          <w:numId w:val="17"/>
        </w:numPr>
        <w:spacing w:line="271" w:lineRule="auto"/>
        <w:ind w:right="43" w:hanging="360"/>
        <w:rPr>
          <w:sz w:val="24"/>
          <w:szCs w:val="24"/>
        </w:rPr>
      </w:pPr>
      <w:r w:rsidRPr="009B70F9">
        <w:rPr>
          <w:rFonts w:eastAsia="Times New Roman" w:cs="Times New Roman"/>
          <w:sz w:val="24"/>
          <w:szCs w:val="24"/>
        </w:rPr>
        <w:t xml:space="preserve">There </w:t>
      </w:r>
      <w:r w:rsidR="00800519" w:rsidRPr="009B70F9">
        <w:rPr>
          <w:rFonts w:eastAsia="Times New Roman" w:cs="Times New Roman"/>
          <w:sz w:val="24"/>
          <w:szCs w:val="24"/>
        </w:rPr>
        <w:t>is</w:t>
      </w:r>
      <w:r w:rsidRPr="009B70F9">
        <w:rPr>
          <w:rFonts w:eastAsia="Times New Roman" w:cs="Times New Roman"/>
          <w:sz w:val="24"/>
          <w:szCs w:val="24"/>
        </w:rPr>
        <w:t xml:space="preserve"> a standard structure and set of data elements for the </w:t>
      </w:r>
      <w:r w:rsidR="00C712BC" w:rsidRPr="009B70F9">
        <w:rPr>
          <w:rFonts w:eastAsia="Times New Roman" w:cs="Times New Roman"/>
          <w:sz w:val="24"/>
          <w:szCs w:val="24"/>
        </w:rPr>
        <w:t>eICR</w:t>
      </w:r>
      <w:r w:rsidRPr="009B70F9">
        <w:rPr>
          <w:rFonts w:eastAsia="Times New Roman" w:cs="Times New Roman"/>
          <w:sz w:val="24"/>
          <w:szCs w:val="24"/>
        </w:rPr>
        <w:t>, defined by this IG, t</w:t>
      </w:r>
      <w:r w:rsidR="00800519" w:rsidRPr="009B70F9">
        <w:rPr>
          <w:rFonts w:eastAsia="Times New Roman" w:cs="Times New Roman"/>
          <w:sz w:val="24"/>
          <w:szCs w:val="24"/>
        </w:rPr>
        <w:t xml:space="preserve">hat is </w:t>
      </w:r>
      <w:r w:rsidR="00F3757D">
        <w:rPr>
          <w:rFonts w:eastAsia="Times New Roman" w:cs="Times New Roman"/>
          <w:sz w:val="24"/>
          <w:szCs w:val="24"/>
        </w:rPr>
        <w:t xml:space="preserve">accepted </w:t>
      </w:r>
      <w:r w:rsidRPr="009B70F9">
        <w:rPr>
          <w:rFonts w:eastAsia="Times New Roman" w:cs="Times New Roman"/>
          <w:sz w:val="24"/>
          <w:szCs w:val="24"/>
        </w:rPr>
        <w:t xml:space="preserve">by all jurisdictions, for all conditions. </w:t>
      </w:r>
    </w:p>
    <w:p w14:paraId="56F7100B" w14:textId="6CDF5CF9" w:rsidR="005D79B1" w:rsidRPr="009B70F9" w:rsidRDefault="005D79B1" w:rsidP="00A3451B">
      <w:pPr>
        <w:numPr>
          <w:ilvl w:val="0"/>
          <w:numId w:val="17"/>
        </w:numPr>
        <w:spacing w:line="271" w:lineRule="auto"/>
        <w:ind w:right="43" w:hanging="360"/>
        <w:rPr>
          <w:sz w:val="24"/>
          <w:szCs w:val="24"/>
        </w:rPr>
      </w:pPr>
      <w:r w:rsidRPr="009B70F9">
        <w:rPr>
          <w:rFonts w:eastAsia="Times New Roman" w:cs="Times New Roman"/>
          <w:sz w:val="24"/>
          <w:szCs w:val="24"/>
        </w:rPr>
        <w:t xml:space="preserve">The EHR system is capable of sending the </w:t>
      </w:r>
      <w:r w:rsidR="00C712BC" w:rsidRPr="009B70F9">
        <w:rPr>
          <w:rFonts w:eastAsia="Times New Roman" w:cs="Times New Roman"/>
          <w:sz w:val="24"/>
          <w:szCs w:val="24"/>
        </w:rPr>
        <w:t>eICR</w:t>
      </w:r>
      <w:r w:rsidRPr="009B70F9">
        <w:rPr>
          <w:rFonts w:eastAsia="Times New Roman" w:cs="Times New Roman"/>
          <w:sz w:val="24"/>
          <w:szCs w:val="24"/>
        </w:rPr>
        <w:t xml:space="preserve"> to a </w:t>
      </w:r>
      <w:r w:rsidR="005A1C90" w:rsidRPr="009B70F9">
        <w:rPr>
          <w:rFonts w:eastAsia="Times New Roman" w:cs="Times New Roman"/>
          <w:sz w:val="24"/>
          <w:szCs w:val="24"/>
        </w:rPr>
        <w:t>PHA system</w:t>
      </w:r>
      <w:r w:rsidRPr="009B70F9">
        <w:rPr>
          <w:rFonts w:eastAsia="Times New Roman" w:cs="Times New Roman"/>
          <w:sz w:val="24"/>
          <w:szCs w:val="24"/>
        </w:rPr>
        <w:t xml:space="preserve"> or its intermediary system.</w:t>
      </w:r>
    </w:p>
    <w:p w14:paraId="030888C1" w14:textId="4FFEBB4F" w:rsidR="00A3451B" w:rsidRPr="009B70F9" w:rsidRDefault="00A3451B" w:rsidP="00A3451B">
      <w:pPr>
        <w:numPr>
          <w:ilvl w:val="0"/>
          <w:numId w:val="17"/>
        </w:numPr>
        <w:spacing w:line="271" w:lineRule="auto"/>
        <w:ind w:right="43" w:hanging="360"/>
        <w:rPr>
          <w:sz w:val="24"/>
          <w:szCs w:val="24"/>
        </w:rPr>
      </w:pPr>
      <w:r w:rsidRPr="009B70F9">
        <w:rPr>
          <w:rFonts w:eastAsia="Times New Roman" w:cs="Times New Roman"/>
          <w:sz w:val="24"/>
          <w:szCs w:val="24"/>
        </w:rPr>
        <w:t>Confirmation of Reportability will be done by p</w:t>
      </w:r>
      <w:r w:rsidR="005D79B1" w:rsidRPr="009B70F9">
        <w:rPr>
          <w:rFonts w:eastAsia="Times New Roman" w:cs="Times New Roman"/>
          <w:sz w:val="24"/>
          <w:szCs w:val="24"/>
        </w:rPr>
        <w:t xml:space="preserve">ublic health decision support </w:t>
      </w:r>
      <w:r w:rsidRPr="009B70F9">
        <w:rPr>
          <w:rFonts w:eastAsia="Times New Roman" w:cs="Times New Roman"/>
          <w:sz w:val="24"/>
          <w:szCs w:val="24"/>
        </w:rPr>
        <w:t>outside of the EHR/clinical care system.</w:t>
      </w:r>
    </w:p>
    <w:p w14:paraId="5F2F6304" w14:textId="0445E068" w:rsidR="005D79B1" w:rsidRPr="009B70F9" w:rsidRDefault="00A3451B" w:rsidP="00A3451B">
      <w:pPr>
        <w:numPr>
          <w:ilvl w:val="1"/>
          <w:numId w:val="17"/>
        </w:numPr>
        <w:spacing w:line="271" w:lineRule="auto"/>
        <w:ind w:right="43" w:hanging="360"/>
        <w:rPr>
          <w:sz w:val="24"/>
          <w:szCs w:val="24"/>
        </w:rPr>
      </w:pPr>
      <w:r w:rsidRPr="009B70F9">
        <w:rPr>
          <w:rFonts w:eastAsia="Times New Roman" w:cs="Times New Roman"/>
          <w:sz w:val="24"/>
          <w:szCs w:val="24"/>
        </w:rPr>
        <w:lastRenderedPageBreak/>
        <w:t>P</w:t>
      </w:r>
      <w:r w:rsidR="005A1C90" w:rsidRPr="009B70F9">
        <w:rPr>
          <w:rFonts w:eastAsia="Times New Roman" w:cs="Times New Roman"/>
          <w:sz w:val="24"/>
          <w:szCs w:val="24"/>
        </w:rPr>
        <w:t>ublic Health (P</w:t>
      </w:r>
      <w:r w:rsidRPr="009B70F9">
        <w:rPr>
          <w:rFonts w:eastAsia="Times New Roman" w:cs="Times New Roman"/>
          <w:sz w:val="24"/>
          <w:szCs w:val="24"/>
        </w:rPr>
        <w:t>H</w:t>
      </w:r>
      <w:r w:rsidR="005A1C90" w:rsidRPr="009B70F9">
        <w:rPr>
          <w:rFonts w:eastAsia="Times New Roman" w:cs="Times New Roman"/>
          <w:sz w:val="24"/>
          <w:szCs w:val="24"/>
        </w:rPr>
        <w:t>)</w:t>
      </w:r>
      <w:r w:rsidRPr="009B70F9">
        <w:rPr>
          <w:rFonts w:eastAsia="Times New Roman" w:cs="Times New Roman"/>
          <w:sz w:val="24"/>
          <w:szCs w:val="24"/>
        </w:rPr>
        <w:t xml:space="preserve"> decision support can, at times, handle</w:t>
      </w:r>
      <w:r w:rsidR="005D79B1" w:rsidRPr="009B70F9">
        <w:rPr>
          <w:rFonts w:eastAsia="Times New Roman" w:cs="Times New Roman"/>
          <w:sz w:val="24"/>
          <w:szCs w:val="24"/>
        </w:rPr>
        <w:t xml:space="preserve"> the variation in requirements for reporting that exist across local, state, tribal, and territorial boundaries</w:t>
      </w:r>
      <w:r w:rsidR="00BB211E" w:rsidRPr="009B70F9">
        <w:rPr>
          <w:rFonts w:eastAsia="Times New Roman" w:cs="Times New Roman"/>
          <w:sz w:val="24"/>
          <w:szCs w:val="24"/>
        </w:rPr>
        <w:t xml:space="preserve">. </w:t>
      </w:r>
      <w:r w:rsidR="005D79B1" w:rsidRPr="009B70F9">
        <w:rPr>
          <w:rFonts w:eastAsia="Times New Roman" w:cs="Times New Roman"/>
          <w:sz w:val="24"/>
          <w:szCs w:val="24"/>
        </w:rPr>
        <w:t xml:space="preserve"> </w:t>
      </w:r>
    </w:p>
    <w:p w14:paraId="75AAF4DE" w14:textId="38CB1F44" w:rsidR="005D79B1" w:rsidRPr="009B70F9" w:rsidRDefault="005D79B1" w:rsidP="00A3451B">
      <w:pPr>
        <w:numPr>
          <w:ilvl w:val="0"/>
          <w:numId w:val="17"/>
        </w:numPr>
        <w:spacing w:line="271" w:lineRule="auto"/>
        <w:ind w:right="43" w:hanging="360"/>
        <w:rPr>
          <w:sz w:val="24"/>
          <w:szCs w:val="24"/>
        </w:rPr>
      </w:pPr>
      <w:r w:rsidRPr="009B70F9">
        <w:rPr>
          <w:sz w:val="24"/>
          <w:szCs w:val="24"/>
        </w:rPr>
        <w:t>The intermediary system</w:t>
      </w:r>
      <w:r w:rsidR="001A082A" w:rsidRPr="009B70F9">
        <w:rPr>
          <w:sz w:val="24"/>
          <w:szCs w:val="24"/>
        </w:rPr>
        <w:t xml:space="preserve"> </w:t>
      </w:r>
      <w:r w:rsidRPr="009B70F9">
        <w:rPr>
          <w:sz w:val="24"/>
          <w:szCs w:val="24"/>
        </w:rPr>
        <w:t xml:space="preserve">HIE, if used, is responsible for passing the acknowledgement from the Public Health Agency Information system to the EHR system; the intermediary system may send separate acknowledgements, but these are not considered the authoritative acknowledgement. </w:t>
      </w:r>
    </w:p>
    <w:p w14:paraId="3A80EE2C" w14:textId="07BEB925" w:rsidR="005D79B1" w:rsidRPr="00B049B3" w:rsidRDefault="005D79B1" w:rsidP="00B049B3">
      <w:pPr>
        <w:pStyle w:val="Heading2nospace"/>
        <w:rPr>
          <w:rFonts w:asciiTheme="minorHAnsi" w:hAnsiTheme="minorHAnsi"/>
          <w:i w:val="0"/>
        </w:rPr>
      </w:pPr>
      <w:bookmarkStart w:id="11" w:name="_Toc436033856"/>
      <w:bookmarkStart w:id="12" w:name="_Toc40066"/>
      <w:r w:rsidRPr="00B049B3">
        <w:rPr>
          <w:rFonts w:asciiTheme="minorHAnsi" w:hAnsiTheme="minorHAnsi"/>
          <w:i w:val="0"/>
        </w:rPr>
        <w:t>2.</w:t>
      </w:r>
      <w:r w:rsidR="00D773F7">
        <w:rPr>
          <w:rFonts w:asciiTheme="minorHAnsi" w:hAnsiTheme="minorHAnsi"/>
          <w:i w:val="0"/>
        </w:rPr>
        <w:t>3</w:t>
      </w:r>
      <w:r w:rsidRPr="00B049B3">
        <w:rPr>
          <w:rFonts w:asciiTheme="minorHAnsi" w:hAnsiTheme="minorHAnsi"/>
          <w:i w:val="0"/>
        </w:rPr>
        <w:t xml:space="preserve"> Pre-Conditions</w:t>
      </w:r>
      <w:bookmarkEnd w:id="11"/>
      <w:r w:rsidRPr="00B049B3">
        <w:rPr>
          <w:rFonts w:asciiTheme="minorHAnsi" w:hAnsiTheme="minorHAnsi"/>
          <w:i w:val="0"/>
        </w:rPr>
        <w:t xml:space="preserve"> </w:t>
      </w:r>
      <w:bookmarkEnd w:id="12"/>
    </w:p>
    <w:p w14:paraId="5FF33D8D" w14:textId="77777777" w:rsidR="0028488C" w:rsidRDefault="0028488C" w:rsidP="005D79B1">
      <w:pPr>
        <w:spacing w:after="239"/>
        <w:ind w:left="-5" w:right="36"/>
        <w:contextualSpacing/>
        <w:rPr>
          <w:sz w:val="24"/>
          <w:szCs w:val="24"/>
        </w:rPr>
      </w:pPr>
    </w:p>
    <w:p w14:paraId="7F3DDBD5" w14:textId="0AC0FA50" w:rsidR="005D79B1" w:rsidRPr="009B70F9" w:rsidRDefault="00A3451B" w:rsidP="005D79B1">
      <w:pPr>
        <w:spacing w:after="239"/>
        <w:ind w:left="-5" w:right="36"/>
        <w:contextualSpacing/>
        <w:rPr>
          <w:sz w:val="24"/>
          <w:szCs w:val="24"/>
        </w:rPr>
      </w:pPr>
      <w:r w:rsidRPr="009B70F9">
        <w:rPr>
          <w:sz w:val="24"/>
          <w:szCs w:val="24"/>
        </w:rPr>
        <w:t>T</w:t>
      </w:r>
      <w:r w:rsidR="005D79B1" w:rsidRPr="009B70F9">
        <w:rPr>
          <w:sz w:val="24"/>
          <w:szCs w:val="24"/>
        </w:rPr>
        <w:t>he following ha</w:t>
      </w:r>
      <w:r w:rsidRPr="009B70F9">
        <w:rPr>
          <w:sz w:val="24"/>
          <w:szCs w:val="24"/>
        </w:rPr>
        <w:t>ve</w:t>
      </w:r>
      <w:r w:rsidR="005D79B1" w:rsidRPr="009B70F9">
        <w:rPr>
          <w:sz w:val="24"/>
          <w:szCs w:val="24"/>
        </w:rPr>
        <w:t xml:space="preserve"> occurred: </w:t>
      </w:r>
    </w:p>
    <w:p w14:paraId="15D9CC4E" w14:textId="77777777" w:rsidR="00203DFB" w:rsidRPr="009B70F9" w:rsidRDefault="00203DFB" w:rsidP="005D79B1">
      <w:pPr>
        <w:spacing w:after="239"/>
        <w:ind w:left="-5" w:right="36"/>
        <w:contextualSpacing/>
        <w:rPr>
          <w:sz w:val="24"/>
          <w:szCs w:val="24"/>
        </w:rPr>
      </w:pPr>
    </w:p>
    <w:p w14:paraId="1B012A30" w14:textId="284F944C" w:rsidR="005D79B1" w:rsidRPr="009B70F9" w:rsidRDefault="005D79B1" w:rsidP="00BC6A3F">
      <w:pPr>
        <w:numPr>
          <w:ilvl w:val="0"/>
          <w:numId w:val="18"/>
        </w:numPr>
        <w:spacing w:line="271" w:lineRule="auto"/>
        <w:ind w:right="43" w:hanging="360"/>
        <w:rPr>
          <w:sz w:val="24"/>
          <w:szCs w:val="24"/>
        </w:rPr>
      </w:pPr>
      <w:r w:rsidRPr="009B70F9">
        <w:rPr>
          <w:sz w:val="24"/>
          <w:szCs w:val="24"/>
        </w:rPr>
        <w:t>A</w:t>
      </w:r>
      <w:r w:rsidR="0002492E" w:rsidRPr="009B70F9">
        <w:rPr>
          <w:sz w:val="24"/>
          <w:szCs w:val="24"/>
        </w:rPr>
        <w:t>n authoritative</w:t>
      </w:r>
      <w:r w:rsidRPr="009B70F9">
        <w:rPr>
          <w:sz w:val="24"/>
          <w:szCs w:val="24"/>
        </w:rPr>
        <w:t xml:space="preserve"> set of trigger codes, as provided and defined by PH, </w:t>
      </w:r>
      <w:r w:rsidR="009057EF" w:rsidRPr="009B70F9">
        <w:rPr>
          <w:sz w:val="24"/>
          <w:szCs w:val="24"/>
        </w:rPr>
        <w:t>is</w:t>
      </w:r>
      <w:r w:rsidR="00F3757D">
        <w:rPr>
          <w:sz w:val="24"/>
          <w:szCs w:val="24"/>
        </w:rPr>
        <w:t xml:space="preserve"> </w:t>
      </w:r>
      <w:r w:rsidRPr="009B70F9">
        <w:rPr>
          <w:sz w:val="24"/>
          <w:szCs w:val="24"/>
        </w:rPr>
        <w:t>maintained and used within the EHR system</w:t>
      </w:r>
      <w:r w:rsidR="007811AB" w:rsidRPr="009B70F9">
        <w:rPr>
          <w:sz w:val="24"/>
          <w:szCs w:val="24"/>
        </w:rPr>
        <w:t>.</w:t>
      </w:r>
    </w:p>
    <w:p w14:paraId="0A16DFDF" w14:textId="77777777" w:rsidR="00A3451B" w:rsidRPr="009B70F9" w:rsidRDefault="00A3451B" w:rsidP="00BC6A3F">
      <w:pPr>
        <w:numPr>
          <w:ilvl w:val="0"/>
          <w:numId w:val="18"/>
        </w:numPr>
        <w:spacing w:line="271" w:lineRule="auto"/>
        <w:ind w:right="43" w:hanging="360"/>
        <w:rPr>
          <w:sz w:val="24"/>
          <w:szCs w:val="24"/>
        </w:rPr>
      </w:pPr>
      <w:r w:rsidRPr="009B70F9">
        <w:rPr>
          <w:sz w:val="24"/>
          <w:szCs w:val="24"/>
        </w:rPr>
        <w:t>The creation of an eICR is initiated by one of two methods:</w:t>
      </w:r>
    </w:p>
    <w:p w14:paraId="4F447B6E" w14:textId="5B1AD85A" w:rsidR="00C46DA0" w:rsidRPr="009B70F9" w:rsidRDefault="00A3451B" w:rsidP="00BC6A3F">
      <w:pPr>
        <w:numPr>
          <w:ilvl w:val="1"/>
          <w:numId w:val="18"/>
        </w:numPr>
        <w:spacing w:line="271" w:lineRule="auto"/>
        <w:ind w:right="43" w:hanging="360"/>
        <w:rPr>
          <w:sz w:val="24"/>
          <w:szCs w:val="24"/>
        </w:rPr>
      </w:pPr>
      <w:r w:rsidRPr="009B70F9">
        <w:rPr>
          <w:sz w:val="24"/>
          <w:szCs w:val="24"/>
        </w:rPr>
        <w:t xml:space="preserve">An automated </w:t>
      </w:r>
      <w:r w:rsidR="005D79B1" w:rsidRPr="009B70F9">
        <w:rPr>
          <w:sz w:val="24"/>
          <w:szCs w:val="24"/>
        </w:rPr>
        <w:t xml:space="preserve">match of </w:t>
      </w:r>
      <w:r w:rsidRPr="009B70F9">
        <w:rPr>
          <w:sz w:val="24"/>
          <w:szCs w:val="24"/>
        </w:rPr>
        <w:t xml:space="preserve">information </w:t>
      </w:r>
      <w:r w:rsidR="005D79B1" w:rsidRPr="009B70F9">
        <w:rPr>
          <w:sz w:val="24"/>
          <w:szCs w:val="24"/>
        </w:rPr>
        <w:t xml:space="preserve"> in a patient </w:t>
      </w:r>
      <w:r w:rsidR="00EF4D33" w:rsidRPr="009B70F9">
        <w:rPr>
          <w:sz w:val="24"/>
          <w:szCs w:val="24"/>
        </w:rPr>
        <w:t xml:space="preserve">record for an </w:t>
      </w:r>
      <w:r w:rsidR="005D79B1" w:rsidRPr="009B70F9">
        <w:rPr>
          <w:sz w:val="24"/>
          <w:szCs w:val="24"/>
        </w:rPr>
        <w:t xml:space="preserve">encounter </w:t>
      </w:r>
      <w:r w:rsidRPr="009B70F9">
        <w:rPr>
          <w:sz w:val="24"/>
          <w:szCs w:val="24"/>
        </w:rPr>
        <w:t xml:space="preserve">to a set of trigger codes </w:t>
      </w:r>
      <w:r w:rsidR="005D79B1" w:rsidRPr="009B70F9">
        <w:rPr>
          <w:sz w:val="24"/>
          <w:szCs w:val="24"/>
        </w:rPr>
        <w:t>within the EHR</w:t>
      </w:r>
      <w:r w:rsidRPr="009B70F9">
        <w:rPr>
          <w:sz w:val="24"/>
          <w:szCs w:val="24"/>
        </w:rPr>
        <w:t>; or</w:t>
      </w:r>
    </w:p>
    <w:p w14:paraId="5754BDC8" w14:textId="2DBAAF1D" w:rsidR="00A3451B" w:rsidRPr="009B70F9" w:rsidRDefault="00A3451B" w:rsidP="00BC6A3F">
      <w:pPr>
        <w:numPr>
          <w:ilvl w:val="1"/>
          <w:numId w:val="18"/>
        </w:numPr>
        <w:spacing w:line="271" w:lineRule="auto"/>
        <w:ind w:right="43" w:hanging="360"/>
        <w:rPr>
          <w:sz w:val="24"/>
          <w:szCs w:val="24"/>
        </w:rPr>
      </w:pPr>
      <w:r w:rsidRPr="009B70F9">
        <w:rPr>
          <w:sz w:val="24"/>
          <w:szCs w:val="24"/>
        </w:rPr>
        <w:t xml:space="preserve">Manual initiation of the creation of an </w:t>
      </w:r>
      <w:r w:rsidR="00EF4D33" w:rsidRPr="009B70F9">
        <w:rPr>
          <w:sz w:val="24"/>
          <w:szCs w:val="24"/>
        </w:rPr>
        <w:t>electronic</w:t>
      </w:r>
      <w:r w:rsidRPr="009B70F9">
        <w:rPr>
          <w:sz w:val="24"/>
          <w:szCs w:val="24"/>
        </w:rPr>
        <w:t xml:space="preserve"> report to public health by a provider.</w:t>
      </w:r>
    </w:p>
    <w:p w14:paraId="3C0321BC" w14:textId="1B5FA1B2" w:rsidR="005A1C90" w:rsidRPr="009B70F9" w:rsidRDefault="00A3451B" w:rsidP="00BC6A3F">
      <w:pPr>
        <w:numPr>
          <w:ilvl w:val="0"/>
          <w:numId w:val="18"/>
        </w:numPr>
        <w:spacing w:line="271" w:lineRule="auto"/>
        <w:ind w:right="43" w:hanging="360"/>
        <w:rPr>
          <w:sz w:val="24"/>
          <w:szCs w:val="24"/>
        </w:rPr>
      </w:pPr>
      <w:r w:rsidRPr="009B70F9">
        <w:rPr>
          <w:sz w:val="24"/>
          <w:szCs w:val="24"/>
        </w:rPr>
        <w:t>The receiving system receive</w:t>
      </w:r>
      <w:r w:rsidR="009057EF" w:rsidRPr="009B70F9">
        <w:rPr>
          <w:sz w:val="24"/>
          <w:szCs w:val="24"/>
        </w:rPr>
        <w:t>s</w:t>
      </w:r>
      <w:r w:rsidRPr="009B70F9">
        <w:rPr>
          <w:sz w:val="24"/>
          <w:szCs w:val="24"/>
        </w:rPr>
        <w:t xml:space="preserve"> and process</w:t>
      </w:r>
      <w:r w:rsidR="009057EF" w:rsidRPr="009B70F9">
        <w:rPr>
          <w:sz w:val="24"/>
          <w:szCs w:val="24"/>
        </w:rPr>
        <w:t>es</w:t>
      </w:r>
      <w:r w:rsidRPr="009B70F9">
        <w:rPr>
          <w:sz w:val="24"/>
          <w:szCs w:val="24"/>
        </w:rPr>
        <w:t xml:space="preserve"> the eICR electronically </w:t>
      </w:r>
      <w:r w:rsidR="005A1C90" w:rsidRPr="009B70F9">
        <w:rPr>
          <w:sz w:val="24"/>
          <w:szCs w:val="24"/>
        </w:rPr>
        <w:t>(</w:t>
      </w:r>
      <w:r w:rsidR="009057EF" w:rsidRPr="009B70F9">
        <w:rPr>
          <w:sz w:val="24"/>
          <w:szCs w:val="24"/>
        </w:rPr>
        <w:t xml:space="preserve">transmission by </w:t>
      </w:r>
      <w:r w:rsidR="00C46DA0" w:rsidRPr="009B70F9">
        <w:rPr>
          <w:sz w:val="24"/>
          <w:szCs w:val="24"/>
        </w:rPr>
        <w:t>fax</w:t>
      </w:r>
      <w:r w:rsidR="009057EF" w:rsidRPr="009B70F9">
        <w:rPr>
          <w:sz w:val="24"/>
          <w:szCs w:val="24"/>
        </w:rPr>
        <w:t xml:space="preserve"> does not qualify</w:t>
      </w:r>
      <w:r w:rsidR="005A1C90" w:rsidRPr="009B70F9">
        <w:rPr>
          <w:sz w:val="24"/>
          <w:szCs w:val="24"/>
        </w:rPr>
        <w:t>)</w:t>
      </w:r>
      <w:r w:rsidR="00C46DA0" w:rsidRPr="009B70F9">
        <w:rPr>
          <w:sz w:val="24"/>
          <w:szCs w:val="24"/>
        </w:rPr>
        <w:t xml:space="preserve">. </w:t>
      </w:r>
    </w:p>
    <w:p w14:paraId="3205D2CC" w14:textId="2AAE2C6E" w:rsidR="00E21617" w:rsidRPr="009B70F9" w:rsidRDefault="00C46DA0" w:rsidP="00BC6A3F">
      <w:pPr>
        <w:numPr>
          <w:ilvl w:val="1"/>
          <w:numId w:val="18"/>
        </w:numPr>
        <w:spacing w:line="271" w:lineRule="auto"/>
        <w:ind w:right="43"/>
        <w:rPr>
          <w:sz w:val="24"/>
          <w:szCs w:val="24"/>
        </w:rPr>
      </w:pPr>
      <w:r w:rsidRPr="009B70F9">
        <w:rPr>
          <w:sz w:val="24"/>
          <w:szCs w:val="24"/>
        </w:rPr>
        <w:t>Th</w:t>
      </w:r>
      <w:r w:rsidR="005A1C90" w:rsidRPr="009B70F9">
        <w:rPr>
          <w:sz w:val="24"/>
          <w:szCs w:val="24"/>
        </w:rPr>
        <w:t xml:space="preserve">e </w:t>
      </w:r>
      <w:r w:rsidR="00F3757D" w:rsidRPr="009B70F9">
        <w:rPr>
          <w:sz w:val="24"/>
          <w:szCs w:val="24"/>
        </w:rPr>
        <w:t>receiving</w:t>
      </w:r>
      <w:r w:rsidR="005A1C90" w:rsidRPr="009B70F9">
        <w:rPr>
          <w:sz w:val="24"/>
          <w:szCs w:val="24"/>
        </w:rPr>
        <w:t xml:space="preserve"> system </w:t>
      </w:r>
      <w:r w:rsidR="002E0450" w:rsidRPr="009B70F9">
        <w:rPr>
          <w:sz w:val="24"/>
          <w:szCs w:val="24"/>
        </w:rPr>
        <w:t>electronically</w:t>
      </w:r>
      <w:r w:rsidRPr="009B70F9">
        <w:rPr>
          <w:sz w:val="24"/>
          <w:szCs w:val="24"/>
        </w:rPr>
        <w:t xml:space="preserve"> </w:t>
      </w:r>
      <w:r w:rsidR="005A1C90" w:rsidRPr="009B70F9">
        <w:rPr>
          <w:sz w:val="24"/>
          <w:szCs w:val="24"/>
        </w:rPr>
        <w:t>group</w:t>
      </w:r>
      <w:r w:rsidR="009057EF" w:rsidRPr="009B70F9">
        <w:rPr>
          <w:sz w:val="24"/>
          <w:szCs w:val="24"/>
        </w:rPr>
        <w:t>s</w:t>
      </w:r>
      <w:r w:rsidR="005A1C90" w:rsidRPr="009B70F9">
        <w:rPr>
          <w:sz w:val="24"/>
          <w:szCs w:val="24"/>
        </w:rPr>
        <w:t xml:space="preserve"> </w:t>
      </w:r>
      <w:r w:rsidRPr="009B70F9">
        <w:rPr>
          <w:sz w:val="24"/>
          <w:szCs w:val="24"/>
        </w:rPr>
        <w:t>multiple eICRs sent fr</w:t>
      </w:r>
      <w:r w:rsidR="002E0450" w:rsidRPr="009B70F9">
        <w:rPr>
          <w:sz w:val="24"/>
          <w:szCs w:val="24"/>
        </w:rPr>
        <w:t>om</w:t>
      </w:r>
      <w:r w:rsidRPr="009B70F9">
        <w:rPr>
          <w:sz w:val="24"/>
          <w:szCs w:val="24"/>
        </w:rPr>
        <w:t xml:space="preserve"> one encounter </w:t>
      </w:r>
      <w:r w:rsidR="00882ABE" w:rsidRPr="009B70F9">
        <w:rPr>
          <w:sz w:val="24"/>
          <w:szCs w:val="24"/>
        </w:rPr>
        <w:t>whe</w:t>
      </w:r>
      <w:r w:rsidR="00092037" w:rsidRPr="009B70F9">
        <w:rPr>
          <w:sz w:val="24"/>
          <w:szCs w:val="24"/>
        </w:rPr>
        <w:t>n</w:t>
      </w:r>
      <w:r w:rsidR="00882ABE" w:rsidRPr="009B70F9">
        <w:rPr>
          <w:sz w:val="24"/>
          <w:szCs w:val="24"/>
        </w:rPr>
        <w:t xml:space="preserve"> </w:t>
      </w:r>
      <w:r w:rsidRPr="009B70F9">
        <w:rPr>
          <w:sz w:val="24"/>
          <w:szCs w:val="24"/>
        </w:rPr>
        <w:t>multiple trigger code events</w:t>
      </w:r>
      <w:r w:rsidR="00882ABE" w:rsidRPr="009B70F9">
        <w:rPr>
          <w:sz w:val="24"/>
          <w:szCs w:val="24"/>
        </w:rPr>
        <w:t xml:space="preserve"> are matched</w:t>
      </w:r>
      <w:r w:rsidRPr="009B70F9">
        <w:rPr>
          <w:sz w:val="24"/>
          <w:szCs w:val="24"/>
        </w:rPr>
        <w:t xml:space="preserve"> (e.g. </w:t>
      </w:r>
      <w:r w:rsidR="00092037" w:rsidRPr="009B70F9">
        <w:rPr>
          <w:sz w:val="24"/>
          <w:szCs w:val="24"/>
        </w:rPr>
        <w:t xml:space="preserve">a </w:t>
      </w:r>
      <w:r w:rsidRPr="009B70F9">
        <w:rPr>
          <w:sz w:val="24"/>
          <w:szCs w:val="24"/>
        </w:rPr>
        <w:t>lab</w:t>
      </w:r>
      <w:r w:rsidR="00B6282D" w:rsidRPr="009B70F9">
        <w:rPr>
          <w:sz w:val="24"/>
          <w:szCs w:val="24"/>
        </w:rPr>
        <w:t>oratory</w:t>
      </w:r>
      <w:r w:rsidRPr="009B70F9">
        <w:rPr>
          <w:sz w:val="24"/>
          <w:szCs w:val="24"/>
        </w:rPr>
        <w:t xml:space="preserve"> result of </w:t>
      </w:r>
      <w:r w:rsidR="00092037" w:rsidRPr="009B70F9">
        <w:rPr>
          <w:sz w:val="24"/>
          <w:szCs w:val="24"/>
        </w:rPr>
        <w:t xml:space="preserve">a </w:t>
      </w:r>
      <w:r w:rsidRPr="009B70F9">
        <w:rPr>
          <w:sz w:val="24"/>
          <w:szCs w:val="24"/>
        </w:rPr>
        <w:t xml:space="preserve">reportable condition saved in EHR and clinical diagnosis of reportable condition saved in </w:t>
      </w:r>
      <w:r w:rsidR="00092037" w:rsidRPr="009B70F9">
        <w:rPr>
          <w:sz w:val="24"/>
          <w:szCs w:val="24"/>
        </w:rPr>
        <w:t xml:space="preserve">an EHR </w:t>
      </w:r>
      <w:r w:rsidRPr="009B70F9">
        <w:rPr>
          <w:sz w:val="24"/>
          <w:szCs w:val="24"/>
        </w:rPr>
        <w:t>problem list).</w:t>
      </w:r>
    </w:p>
    <w:p w14:paraId="4E0AC6B4" w14:textId="38F00B23" w:rsidR="005D79B1" w:rsidRPr="009B70F9" w:rsidRDefault="005D79B1" w:rsidP="00BC6A3F">
      <w:pPr>
        <w:numPr>
          <w:ilvl w:val="0"/>
          <w:numId w:val="18"/>
        </w:numPr>
        <w:spacing w:line="271" w:lineRule="auto"/>
        <w:ind w:right="43" w:hanging="360"/>
        <w:rPr>
          <w:sz w:val="24"/>
          <w:szCs w:val="24"/>
        </w:rPr>
      </w:pPr>
      <w:r w:rsidRPr="009B70F9">
        <w:rPr>
          <w:sz w:val="24"/>
          <w:szCs w:val="24"/>
        </w:rPr>
        <w:t xml:space="preserve">The EHR system populates/generates a report using </w:t>
      </w:r>
      <w:r w:rsidR="00B6282D" w:rsidRPr="009B70F9">
        <w:rPr>
          <w:sz w:val="24"/>
          <w:szCs w:val="24"/>
        </w:rPr>
        <w:t xml:space="preserve">all </w:t>
      </w:r>
      <w:r w:rsidRPr="009B70F9">
        <w:rPr>
          <w:sz w:val="24"/>
          <w:szCs w:val="24"/>
        </w:rPr>
        <w:t xml:space="preserve">appropriate information (e.g., data elements and terminology) for the </w:t>
      </w:r>
      <w:r w:rsidR="005A1C90" w:rsidRPr="009B70F9">
        <w:rPr>
          <w:sz w:val="24"/>
          <w:szCs w:val="24"/>
        </w:rPr>
        <w:t>eICR</w:t>
      </w:r>
      <w:r w:rsidR="007811AB" w:rsidRPr="009B70F9">
        <w:rPr>
          <w:sz w:val="24"/>
          <w:szCs w:val="24"/>
        </w:rPr>
        <w:t>.</w:t>
      </w:r>
    </w:p>
    <w:p w14:paraId="5893AE4F" w14:textId="22BE0CAA" w:rsidR="005D79B1" w:rsidRPr="00B049B3" w:rsidRDefault="001A082A" w:rsidP="00B049B3">
      <w:pPr>
        <w:pStyle w:val="Heading2nospace"/>
        <w:rPr>
          <w:rFonts w:asciiTheme="minorHAnsi" w:hAnsiTheme="minorHAnsi"/>
          <w:i w:val="0"/>
        </w:rPr>
      </w:pPr>
      <w:bookmarkStart w:id="13" w:name="_Toc436033857"/>
      <w:bookmarkStart w:id="14" w:name="_Toc40067"/>
      <w:r w:rsidRPr="00B049B3">
        <w:rPr>
          <w:rFonts w:asciiTheme="minorHAnsi" w:hAnsiTheme="minorHAnsi"/>
          <w:i w:val="0"/>
        </w:rPr>
        <w:t>2.</w:t>
      </w:r>
      <w:r w:rsidR="00D773F7">
        <w:rPr>
          <w:rFonts w:asciiTheme="minorHAnsi" w:hAnsiTheme="minorHAnsi"/>
          <w:i w:val="0"/>
        </w:rPr>
        <w:t>4</w:t>
      </w:r>
      <w:r w:rsidRPr="00B049B3">
        <w:rPr>
          <w:rFonts w:asciiTheme="minorHAnsi" w:hAnsiTheme="minorHAnsi"/>
          <w:i w:val="0"/>
        </w:rPr>
        <w:t xml:space="preserve"> </w:t>
      </w:r>
      <w:r w:rsidR="005D79B1" w:rsidRPr="00B049B3">
        <w:rPr>
          <w:rFonts w:asciiTheme="minorHAnsi" w:hAnsiTheme="minorHAnsi"/>
          <w:i w:val="0"/>
        </w:rPr>
        <w:t>Post Conditions</w:t>
      </w:r>
      <w:bookmarkEnd w:id="13"/>
      <w:r w:rsidR="005D79B1" w:rsidRPr="00B049B3">
        <w:rPr>
          <w:rFonts w:asciiTheme="minorHAnsi" w:hAnsiTheme="minorHAnsi"/>
          <w:i w:val="0"/>
        </w:rPr>
        <w:t xml:space="preserve"> </w:t>
      </w:r>
      <w:bookmarkEnd w:id="14"/>
    </w:p>
    <w:p w14:paraId="3492EF15" w14:textId="77777777" w:rsidR="005D79B1" w:rsidRDefault="005D79B1" w:rsidP="005D79B1">
      <w:pPr>
        <w:spacing w:after="53" w:line="259" w:lineRule="auto"/>
        <w:ind w:left="720"/>
      </w:pPr>
      <w:r>
        <w:t xml:space="preserve"> </w:t>
      </w:r>
    </w:p>
    <w:p w14:paraId="03EABF11" w14:textId="46F702FB" w:rsidR="005D79B1" w:rsidRPr="009B70F9" w:rsidRDefault="005D79B1" w:rsidP="00BC6A3F">
      <w:pPr>
        <w:numPr>
          <w:ilvl w:val="0"/>
          <w:numId w:val="19"/>
        </w:numPr>
        <w:spacing w:line="271" w:lineRule="auto"/>
        <w:ind w:right="43" w:hanging="360"/>
        <w:rPr>
          <w:sz w:val="24"/>
          <w:szCs w:val="24"/>
        </w:rPr>
      </w:pPr>
      <w:r w:rsidRPr="009B70F9">
        <w:rPr>
          <w:sz w:val="24"/>
          <w:szCs w:val="24"/>
        </w:rPr>
        <w:t xml:space="preserve">The </w:t>
      </w:r>
      <w:r w:rsidR="00665700" w:rsidRPr="009B70F9">
        <w:rPr>
          <w:sz w:val="24"/>
          <w:szCs w:val="24"/>
        </w:rPr>
        <w:t>PHA</w:t>
      </w:r>
      <w:r w:rsidR="00F3757D">
        <w:rPr>
          <w:sz w:val="24"/>
          <w:szCs w:val="24"/>
        </w:rPr>
        <w:t xml:space="preserve"> </w:t>
      </w:r>
      <w:r w:rsidRPr="009B70F9">
        <w:rPr>
          <w:sz w:val="24"/>
          <w:szCs w:val="24"/>
        </w:rPr>
        <w:t xml:space="preserve">system and/or its intermediary system has received the </w:t>
      </w:r>
      <w:r w:rsidR="00C46DA0" w:rsidRPr="009B70F9">
        <w:rPr>
          <w:sz w:val="24"/>
          <w:szCs w:val="24"/>
        </w:rPr>
        <w:t>eICR</w:t>
      </w:r>
      <w:r w:rsidR="005A1C90" w:rsidRPr="009B70F9">
        <w:rPr>
          <w:sz w:val="24"/>
          <w:szCs w:val="24"/>
        </w:rPr>
        <w:t>.</w:t>
      </w:r>
    </w:p>
    <w:p w14:paraId="5FB098C2" w14:textId="03060469" w:rsidR="005D79B1" w:rsidRPr="009B70F9" w:rsidRDefault="00C46DA0" w:rsidP="00BC6A3F">
      <w:pPr>
        <w:numPr>
          <w:ilvl w:val="0"/>
          <w:numId w:val="19"/>
        </w:numPr>
        <w:spacing w:line="271" w:lineRule="auto"/>
        <w:ind w:right="43" w:hanging="360"/>
        <w:rPr>
          <w:sz w:val="24"/>
          <w:szCs w:val="24"/>
        </w:rPr>
      </w:pPr>
      <w:r w:rsidRPr="009B70F9">
        <w:rPr>
          <w:sz w:val="24"/>
          <w:szCs w:val="24"/>
        </w:rPr>
        <w:t xml:space="preserve">eICRs are </w:t>
      </w:r>
      <w:r w:rsidR="005A1C90" w:rsidRPr="009B70F9">
        <w:rPr>
          <w:sz w:val="24"/>
          <w:szCs w:val="24"/>
        </w:rPr>
        <w:t xml:space="preserve">grouped and </w:t>
      </w:r>
      <w:r w:rsidRPr="009B70F9">
        <w:rPr>
          <w:sz w:val="24"/>
          <w:szCs w:val="24"/>
        </w:rPr>
        <w:t>de-duplicated by receiving system</w:t>
      </w:r>
      <w:r w:rsidR="005A1C90" w:rsidRPr="009B70F9">
        <w:rPr>
          <w:sz w:val="24"/>
          <w:szCs w:val="24"/>
        </w:rPr>
        <w:t>(</w:t>
      </w:r>
      <w:r w:rsidRPr="009B70F9">
        <w:rPr>
          <w:sz w:val="24"/>
          <w:szCs w:val="24"/>
        </w:rPr>
        <w:t>s</w:t>
      </w:r>
      <w:r w:rsidR="005A1C90" w:rsidRPr="009B70F9">
        <w:rPr>
          <w:sz w:val="24"/>
          <w:szCs w:val="24"/>
        </w:rPr>
        <w:t>)</w:t>
      </w:r>
      <w:r w:rsidR="007811AB" w:rsidRPr="009B70F9">
        <w:rPr>
          <w:sz w:val="24"/>
          <w:szCs w:val="24"/>
        </w:rPr>
        <w:t>.</w:t>
      </w:r>
    </w:p>
    <w:p w14:paraId="14E1436A" w14:textId="18E3CF8B" w:rsidR="005D79B1" w:rsidRPr="009B70F9" w:rsidRDefault="005D79B1" w:rsidP="00BC6A3F">
      <w:pPr>
        <w:numPr>
          <w:ilvl w:val="0"/>
          <w:numId w:val="19"/>
        </w:numPr>
        <w:spacing w:line="271" w:lineRule="auto"/>
        <w:ind w:right="43" w:hanging="360"/>
        <w:rPr>
          <w:sz w:val="24"/>
          <w:szCs w:val="24"/>
        </w:rPr>
      </w:pPr>
      <w:r w:rsidRPr="009B70F9">
        <w:rPr>
          <w:sz w:val="24"/>
          <w:szCs w:val="24"/>
        </w:rPr>
        <w:lastRenderedPageBreak/>
        <w:t>A record of a</w:t>
      </w:r>
      <w:r w:rsidR="005A1C90" w:rsidRPr="009B70F9">
        <w:rPr>
          <w:sz w:val="24"/>
          <w:szCs w:val="24"/>
        </w:rPr>
        <w:t>n eCIR</w:t>
      </w:r>
      <w:r w:rsidRPr="009B70F9">
        <w:rPr>
          <w:sz w:val="24"/>
          <w:szCs w:val="24"/>
        </w:rPr>
        <w:t xml:space="preserve"> sent from the EHR to the public health agency is stored in a log </w:t>
      </w:r>
      <w:r w:rsidR="00084D98" w:rsidRPr="009B70F9">
        <w:rPr>
          <w:sz w:val="24"/>
          <w:szCs w:val="24"/>
        </w:rPr>
        <w:t>within the authoring system</w:t>
      </w:r>
      <w:r w:rsidR="005A1C90" w:rsidRPr="009B70F9">
        <w:rPr>
          <w:sz w:val="24"/>
          <w:szCs w:val="24"/>
        </w:rPr>
        <w:t xml:space="preserve"> at the EHR</w:t>
      </w:r>
      <w:r w:rsidR="00084D98" w:rsidRPr="009B70F9">
        <w:rPr>
          <w:sz w:val="24"/>
          <w:szCs w:val="24"/>
        </w:rPr>
        <w:t>.</w:t>
      </w:r>
    </w:p>
    <w:p w14:paraId="20E3F36E" w14:textId="020696AE" w:rsidR="0003701E" w:rsidRPr="009B70F9" w:rsidRDefault="005D79B1" w:rsidP="00BC6A3F">
      <w:pPr>
        <w:numPr>
          <w:ilvl w:val="0"/>
          <w:numId w:val="19"/>
        </w:numPr>
        <w:spacing w:line="271" w:lineRule="auto"/>
        <w:ind w:right="43" w:hanging="360"/>
        <w:rPr>
          <w:rFonts w:eastAsia="Times New Roman" w:cs="Times New Roman"/>
          <w:sz w:val="24"/>
          <w:szCs w:val="24"/>
        </w:rPr>
      </w:pPr>
      <w:r w:rsidRPr="009B70F9">
        <w:rPr>
          <w:rFonts w:eastAsia="Times New Roman" w:cs="Times New Roman"/>
          <w:sz w:val="24"/>
          <w:szCs w:val="24"/>
        </w:rPr>
        <w:t xml:space="preserve">A record of </w:t>
      </w:r>
      <w:r w:rsidR="005A1C90" w:rsidRPr="009B70F9">
        <w:rPr>
          <w:rFonts w:eastAsia="Times New Roman" w:cs="Times New Roman"/>
          <w:sz w:val="24"/>
          <w:szCs w:val="24"/>
        </w:rPr>
        <w:t xml:space="preserve">receipt of </w:t>
      </w:r>
      <w:r w:rsidRPr="009B70F9">
        <w:rPr>
          <w:rFonts w:eastAsia="Times New Roman" w:cs="Times New Roman"/>
          <w:sz w:val="24"/>
          <w:szCs w:val="24"/>
        </w:rPr>
        <w:t xml:space="preserve">the </w:t>
      </w:r>
      <w:r w:rsidR="00C712BC" w:rsidRPr="009B70F9">
        <w:rPr>
          <w:rFonts w:eastAsia="Times New Roman" w:cs="Times New Roman"/>
          <w:sz w:val="24"/>
          <w:szCs w:val="24"/>
        </w:rPr>
        <w:t xml:space="preserve">eICR </w:t>
      </w:r>
      <w:r w:rsidRPr="009B70F9">
        <w:rPr>
          <w:rFonts w:eastAsia="Times New Roman" w:cs="Times New Roman"/>
          <w:sz w:val="24"/>
          <w:szCs w:val="24"/>
        </w:rPr>
        <w:t xml:space="preserve">is recorded in a log, in the </w:t>
      </w:r>
      <w:r w:rsidR="00665700" w:rsidRPr="009B70F9">
        <w:rPr>
          <w:rFonts w:eastAsia="Times New Roman" w:cs="Times New Roman"/>
          <w:sz w:val="24"/>
          <w:szCs w:val="24"/>
        </w:rPr>
        <w:t>PHA</w:t>
      </w:r>
      <w:r w:rsidR="00F3757D">
        <w:rPr>
          <w:rFonts w:eastAsia="Times New Roman" w:cs="Times New Roman"/>
          <w:sz w:val="24"/>
          <w:szCs w:val="24"/>
        </w:rPr>
        <w:t xml:space="preserve"> </w:t>
      </w:r>
      <w:r w:rsidR="00665700" w:rsidRPr="009B70F9">
        <w:rPr>
          <w:rFonts w:eastAsia="Times New Roman" w:cs="Times New Roman"/>
          <w:sz w:val="24"/>
          <w:szCs w:val="24"/>
        </w:rPr>
        <w:t>s</w:t>
      </w:r>
      <w:r w:rsidRPr="009B70F9">
        <w:rPr>
          <w:rFonts w:eastAsia="Times New Roman" w:cs="Times New Roman"/>
          <w:sz w:val="24"/>
          <w:szCs w:val="24"/>
        </w:rPr>
        <w:t>ystem and/or its intermediary system.</w:t>
      </w:r>
    </w:p>
    <w:p w14:paraId="63FE8618" w14:textId="798E7789" w:rsidR="005D79B1" w:rsidRPr="009B70F9" w:rsidRDefault="005D79B1" w:rsidP="0003701E">
      <w:pPr>
        <w:spacing w:after="0" w:line="271" w:lineRule="auto"/>
        <w:ind w:right="36"/>
        <w:rPr>
          <w:rFonts w:eastAsia="Times New Roman" w:cs="Times New Roman"/>
          <w:sz w:val="24"/>
          <w:szCs w:val="24"/>
        </w:rPr>
      </w:pPr>
    </w:p>
    <w:p w14:paraId="2A37C98C" w14:textId="51CF4F67" w:rsidR="0028488C" w:rsidRDefault="0003701E" w:rsidP="00D773F7">
      <w:pPr>
        <w:pStyle w:val="Heading2nospace"/>
        <w:rPr>
          <w:rFonts w:asciiTheme="minorHAnsi" w:hAnsiTheme="minorHAnsi"/>
          <w:i w:val="0"/>
        </w:rPr>
      </w:pPr>
      <w:bookmarkStart w:id="15" w:name="_Toc436033858"/>
      <w:bookmarkStart w:id="16" w:name="_Toc40068"/>
      <w:r w:rsidRPr="00B049B3">
        <w:rPr>
          <w:rFonts w:asciiTheme="minorHAnsi" w:hAnsiTheme="minorHAnsi"/>
          <w:i w:val="0"/>
        </w:rPr>
        <w:t>2.</w:t>
      </w:r>
      <w:r w:rsidR="00D773F7">
        <w:rPr>
          <w:rFonts w:asciiTheme="minorHAnsi" w:hAnsiTheme="minorHAnsi"/>
          <w:i w:val="0"/>
        </w:rPr>
        <w:t>5</w:t>
      </w:r>
      <w:r w:rsidRPr="00B049B3">
        <w:rPr>
          <w:rFonts w:asciiTheme="minorHAnsi" w:hAnsiTheme="minorHAnsi"/>
          <w:i w:val="0"/>
        </w:rPr>
        <w:t xml:space="preserve">  Actors and Roles</w:t>
      </w:r>
      <w:bookmarkEnd w:id="15"/>
      <w:r w:rsidRPr="00B049B3">
        <w:rPr>
          <w:rFonts w:asciiTheme="minorHAnsi" w:hAnsiTheme="minorHAnsi"/>
          <w:i w:val="0"/>
        </w:rPr>
        <w:t xml:space="preserve"> </w:t>
      </w:r>
      <w:r w:rsidR="005D79B1" w:rsidRPr="00B049B3">
        <w:rPr>
          <w:rFonts w:asciiTheme="minorHAnsi" w:hAnsiTheme="minorHAnsi"/>
          <w:i w:val="0"/>
        </w:rPr>
        <w:t xml:space="preserve"> </w:t>
      </w:r>
      <w:bookmarkEnd w:id="16"/>
    </w:p>
    <w:p w14:paraId="5F463101" w14:textId="77777777" w:rsidR="009B70F9" w:rsidRDefault="009B70F9" w:rsidP="009B70F9">
      <w:pPr>
        <w:pStyle w:val="BodyText"/>
        <w:ind w:left="0"/>
        <w:rPr>
          <w:rFonts w:ascii="Courier New" w:eastAsia="SimSun" w:hAnsi="Courier New" w:cs="Courier New"/>
          <w:noProof w:val="0"/>
          <w:szCs w:val="20"/>
        </w:rPr>
      </w:pPr>
    </w:p>
    <w:p w14:paraId="22D2D97E" w14:textId="3E87BAAB" w:rsidR="009B70F9" w:rsidRPr="009B70F9" w:rsidRDefault="009B70F9" w:rsidP="009B70F9">
      <w:pPr>
        <w:pStyle w:val="BodyText"/>
        <w:ind w:left="0"/>
        <w:rPr>
          <w:rFonts w:asciiTheme="minorHAnsi" w:hAnsiTheme="minorHAnsi"/>
          <w:sz w:val="24"/>
        </w:rPr>
      </w:pPr>
      <w:r w:rsidRPr="009B70F9">
        <w:rPr>
          <w:rFonts w:asciiTheme="minorHAnsi" w:eastAsia="SimSun" w:hAnsiTheme="minorHAnsi" w:cs="Courier New"/>
          <w:noProof w:val="0"/>
          <w:sz w:val="24"/>
        </w:rPr>
        <w:t>Table 2. The actors and a description of their roles are included in the table below.</w:t>
      </w:r>
    </w:p>
    <w:p w14:paraId="75C9B703" w14:textId="77777777" w:rsidR="00D270F0" w:rsidRPr="001E7512" w:rsidRDefault="00D270F0" w:rsidP="001E7512">
      <w:pPr>
        <w:pStyle w:val="BracketData"/>
        <w:rPr>
          <w:lang w:eastAsia="en-US"/>
        </w:rPr>
      </w:pPr>
    </w:p>
    <w:tbl>
      <w:tblPr>
        <w:tblStyle w:val="TableGrid"/>
        <w:tblW w:w="9016" w:type="dxa"/>
        <w:tblInd w:w="-107" w:type="dxa"/>
        <w:tblCellMar>
          <w:top w:w="50" w:type="dxa"/>
          <w:left w:w="107" w:type="dxa"/>
          <w:right w:w="91" w:type="dxa"/>
        </w:tblCellMar>
        <w:tblLook w:val="04A0" w:firstRow="1" w:lastRow="0" w:firstColumn="1" w:lastColumn="0" w:noHBand="0" w:noVBand="1"/>
      </w:tblPr>
      <w:tblGrid>
        <w:gridCol w:w="4067"/>
        <w:gridCol w:w="4949"/>
      </w:tblGrid>
      <w:tr w:rsidR="005D79B1" w14:paraId="01215411" w14:textId="77777777" w:rsidTr="005D79B1">
        <w:trPr>
          <w:trHeight w:val="276"/>
        </w:trPr>
        <w:tc>
          <w:tcPr>
            <w:tcW w:w="4067" w:type="dxa"/>
            <w:tcBorders>
              <w:top w:val="single" w:sz="4" w:space="0" w:color="000000"/>
              <w:left w:val="single" w:sz="4" w:space="0" w:color="000000"/>
              <w:bottom w:val="single" w:sz="4" w:space="0" w:color="000000"/>
              <w:right w:val="single" w:sz="4" w:space="0" w:color="000000"/>
            </w:tcBorders>
            <w:shd w:val="clear" w:color="auto" w:fill="4F81BD"/>
          </w:tcPr>
          <w:p w14:paraId="6CE79C0C" w14:textId="77777777" w:rsidR="005D79B1" w:rsidRDefault="005D79B1" w:rsidP="005D79B1">
            <w:pPr>
              <w:spacing w:line="259" w:lineRule="auto"/>
            </w:pPr>
            <w:r>
              <w:rPr>
                <w:color w:val="FFFFFF"/>
              </w:rPr>
              <w:t xml:space="preserve">Actor </w:t>
            </w:r>
          </w:p>
        </w:tc>
        <w:tc>
          <w:tcPr>
            <w:tcW w:w="4949" w:type="dxa"/>
            <w:tcBorders>
              <w:top w:val="single" w:sz="4" w:space="0" w:color="000000"/>
              <w:left w:val="single" w:sz="4" w:space="0" w:color="000000"/>
              <w:bottom w:val="single" w:sz="4" w:space="0" w:color="000000"/>
              <w:right w:val="single" w:sz="4" w:space="0" w:color="000000"/>
            </w:tcBorders>
            <w:shd w:val="clear" w:color="auto" w:fill="4F81BD"/>
          </w:tcPr>
          <w:p w14:paraId="0C5A5952" w14:textId="77777777" w:rsidR="005D79B1" w:rsidRDefault="005D79B1" w:rsidP="005D79B1">
            <w:pPr>
              <w:spacing w:line="259" w:lineRule="auto"/>
              <w:ind w:left="1"/>
            </w:pPr>
            <w:r>
              <w:rPr>
                <w:color w:val="FFFFFF"/>
              </w:rPr>
              <w:t xml:space="preserve">Role </w:t>
            </w:r>
          </w:p>
        </w:tc>
      </w:tr>
      <w:tr w:rsidR="005A1C90" w14:paraId="3EB4541A" w14:textId="77777777" w:rsidTr="005656A1">
        <w:trPr>
          <w:trHeight w:val="777"/>
        </w:trPr>
        <w:tc>
          <w:tcPr>
            <w:tcW w:w="4067" w:type="dxa"/>
            <w:tcBorders>
              <w:top w:val="single" w:sz="4" w:space="0" w:color="000000"/>
              <w:left w:val="single" w:sz="4" w:space="0" w:color="000000"/>
              <w:bottom w:val="single" w:sz="4" w:space="0" w:color="000000"/>
              <w:right w:val="single" w:sz="4" w:space="0" w:color="000000"/>
            </w:tcBorders>
          </w:tcPr>
          <w:p w14:paraId="43D1CE46" w14:textId="270B4C94" w:rsidR="005A1C90" w:rsidRDefault="005A1C90" w:rsidP="005D79B1">
            <w:pPr>
              <w:spacing w:line="259" w:lineRule="auto"/>
            </w:pPr>
            <w:r>
              <w:t>Provider</w:t>
            </w:r>
          </w:p>
        </w:tc>
        <w:tc>
          <w:tcPr>
            <w:tcW w:w="4949" w:type="dxa"/>
            <w:tcBorders>
              <w:top w:val="single" w:sz="4" w:space="0" w:color="000000"/>
              <w:left w:val="single" w:sz="4" w:space="0" w:color="000000"/>
              <w:bottom w:val="single" w:sz="4" w:space="0" w:color="000000"/>
              <w:right w:val="single" w:sz="4" w:space="0" w:color="000000"/>
            </w:tcBorders>
          </w:tcPr>
          <w:p w14:paraId="62E322A1" w14:textId="60186D3E" w:rsidR="005A1C90" w:rsidRDefault="005A1C90" w:rsidP="009C77AB">
            <w:pPr>
              <w:numPr>
                <w:ilvl w:val="0"/>
                <w:numId w:val="5"/>
              </w:numPr>
              <w:spacing w:after="2" w:line="259" w:lineRule="auto"/>
              <w:ind w:hanging="360"/>
            </w:pPr>
            <w:r>
              <w:t>A person in clinical care organization that updates information in the EHR System</w:t>
            </w:r>
          </w:p>
        </w:tc>
      </w:tr>
      <w:tr w:rsidR="005D79B1" w14:paraId="35ACEED6" w14:textId="77777777" w:rsidTr="005D79B1">
        <w:trPr>
          <w:trHeight w:val="2488"/>
        </w:trPr>
        <w:tc>
          <w:tcPr>
            <w:tcW w:w="4067" w:type="dxa"/>
            <w:tcBorders>
              <w:top w:val="single" w:sz="4" w:space="0" w:color="000000"/>
              <w:left w:val="single" w:sz="4" w:space="0" w:color="000000"/>
              <w:bottom w:val="single" w:sz="4" w:space="0" w:color="000000"/>
              <w:right w:val="single" w:sz="4" w:space="0" w:color="000000"/>
            </w:tcBorders>
          </w:tcPr>
          <w:p w14:paraId="76A2C945" w14:textId="77777777" w:rsidR="005D79B1" w:rsidRDefault="005D79B1" w:rsidP="005D79B1">
            <w:pPr>
              <w:spacing w:line="259" w:lineRule="auto"/>
            </w:pPr>
            <w:r>
              <w:t xml:space="preserve">EHR System (healthcare provider system) </w:t>
            </w:r>
          </w:p>
        </w:tc>
        <w:tc>
          <w:tcPr>
            <w:tcW w:w="4949" w:type="dxa"/>
            <w:tcBorders>
              <w:top w:val="single" w:sz="4" w:space="0" w:color="000000"/>
              <w:left w:val="single" w:sz="4" w:space="0" w:color="000000"/>
              <w:bottom w:val="single" w:sz="4" w:space="0" w:color="000000"/>
              <w:right w:val="single" w:sz="4" w:space="0" w:color="000000"/>
            </w:tcBorders>
          </w:tcPr>
          <w:p w14:paraId="5E1045A4" w14:textId="72292D25" w:rsidR="005D79B1" w:rsidRDefault="005D79B1" w:rsidP="009C77AB">
            <w:pPr>
              <w:numPr>
                <w:ilvl w:val="0"/>
                <w:numId w:val="5"/>
              </w:numPr>
              <w:spacing w:after="2" w:line="259" w:lineRule="auto"/>
              <w:ind w:hanging="360"/>
            </w:pPr>
            <w:r>
              <w:t xml:space="preserve">Collect, receive, and/or store </w:t>
            </w:r>
            <w:r w:rsidR="00EF4D33">
              <w:t xml:space="preserve">data on a </w:t>
            </w:r>
            <w:r>
              <w:t>patient</w:t>
            </w:r>
            <w:r w:rsidR="00EF4D33">
              <w:t xml:space="preserve"> record</w:t>
            </w:r>
            <w:r>
              <w:t xml:space="preserve"> </w:t>
            </w:r>
          </w:p>
          <w:p w14:paraId="314C8769" w14:textId="77777777" w:rsidR="005D79B1" w:rsidRDefault="005D79B1" w:rsidP="009C77AB">
            <w:pPr>
              <w:numPr>
                <w:ilvl w:val="0"/>
                <w:numId w:val="5"/>
              </w:numPr>
              <w:spacing w:after="2" w:line="259" w:lineRule="auto"/>
              <w:ind w:hanging="360"/>
            </w:pPr>
            <w:r>
              <w:t>Consume and maintain trigger codes</w:t>
            </w:r>
          </w:p>
          <w:p w14:paraId="1E0F70C4" w14:textId="30B5DD4D" w:rsidR="005D79B1" w:rsidRDefault="005D79B1" w:rsidP="009C77AB">
            <w:pPr>
              <w:numPr>
                <w:ilvl w:val="0"/>
                <w:numId w:val="5"/>
              </w:numPr>
              <w:spacing w:after="22" w:line="251" w:lineRule="auto"/>
              <w:ind w:hanging="360"/>
            </w:pPr>
            <w:r>
              <w:t>Match trigger code and generate e</w:t>
            </w:r>
            <w:r w:rsidR="00C712BC">
              <w:t xml:space="preserve">ICR </w:t>
            </w:r>
          </w:p>
          <w:p w14:paraId="5165E405" w14:textId="3F6A50D8" w:rsidR="005D79B1" w:rsidRDefault="0041413B" w:rsidP="0041413B">
            <w:pPr>
              <w:numPr>
                <w:ilvl w:val="0"/>
                <w:numId w:val="5"/>
              </w:numPr>
              <w:spacing w:after="19" w:line="253" w:lineRule="auto"/>
              <w:ind w:hanging="360"/>
            </w:pPr>
            <w:r w:rsidRPr="0041413B">
              <w:t xml:space="preserve">Create report and transport to intermediary system or appropriate </w:t>
            </w:r>
            <w:r>
              <w:t>PHA</w:t>
            </w:r>
          </w:p>
          <w:p w14:paraId="4CE98555" w14:textId="6CAC3A85" w:rsidR="005D79B1" w:rsidRDefault="005D79B1" w:rsidP="006D36F1">
            <w:pPr>
              <w:spacing w:line="259" w:lineRule="auto"/>
              <w:ind w:left="361"/>
            </w:pPr>
          </w:p>
        </w:tc>
      </w:tr>
      <w:tr w:rsidR="005A1C90" w14:paraId="46D6C5E5" w14:textId="77777777" w:rsidTr="005656A1">
        <w:trPr>
          <w:trHeight w:val="813"/>
        </w:trPr>
        <w:tc>
          <w:tcPr>
            <w:tcW w:w="4067" w:type="dxa"/>
            <w:tcBorders>
              <w:top w:val="single" w:sz="4" w:space="0" w:color="000000"/>
              <w:left w:val="single" w:sz="4" w:space="0" w:color="000000"/>
              <w:bottom w:val="single" w:sz="4" w:space="0" w:color="000000"/>
              <w:right w:val="single" w:sz="4" w:space="0" w:color="000000"/>
            </w:tcBorders>
          </w:tcPr>
          <w:p w14:paraId="4390F9B6" w14:textId="3872B98F" w:rsidR="005A1C90" w:rsidRDefault="005A1C90" w:rsidP="005A1C90">
            <w:pPr>
              <w:spacing w:line="259" w:lineRule="auto"/>
            </w:pPr>
            <w:r>
              <w:t>Reporter</w:t>
            </w:r>
          </w:p>
        </w:tc>
        <w:tc>
          <w:tcPr>
            <w:tcW w:w="4949" w:type="dxa"/>
            <w:tcBorders>
              <w:top w:val="single" w:sz="4" w:space="0" w:color="000000"/>
              <w:left w:val="single" w:sz="4" w:space="0" w:color="000000"/>
              <w:bottom w:val="single" w:sz="4" w:space="0" w:color="000000"/>
              <w:right w:val="single" w:sz="4" w:space="0" w:color="000000"/>
            </w:tcBorders>
          </w:tcPr>
          <w:p w14:paraId="2BC88659" w14:textId="0112D112" w:rsidR="005A1C90" w:rsidRDefault="005A1C90" w:rsidP="009C77AB">
            <w:pPr>
              <w:numPr>
                <w:ilvl w:val="0"/>
                <w:numId w:val="6"/>
              </w:numPr>
              <w:spacing w:after="2" w:line="259" w:lineRule="auto"/>
              <w:ind w:hanging="360"/>
            </w:pPr>
            <w:r>
              <w:t>A person in clinical care organization that is responsible for reporting to public health</w:t>
            </w:r>
          </w:p>
        </w:tc>
      </w:tr>
      <w:tr w:rsidR="005D79B1" w14:paraId="1D9C6E76" w14:textId="77777777" w:rsidTr="005D79B1">
        <w:trPr>
          <w:trHeight w:val="1387"/>
        </w:trPr>
        <w:tc>
          <w:tcPr>
            <w:tcW w:w="4067" w:type="dxa"/>
            <w:tcBorders>
              <w:top w:val="single" w:sz="4" w:space="0" w:color="000000"/>
              <w:left w:val="single" w:sz="4" w:space="0" w:color="000000"/>
              <w:bottom w:val="single" w:sz="4" w:space="0" w:color="000000"/>
              <w:right w:val="single" w:sz="4" w:space="0" w:color="000000"/>
            </w:tcBorders>
          </w:tcPr>
          <w:p w14:paraId="4653633B" w14:textId="264DE82B" w:rsidR="005D79B1" w:rsidRDefault="005D79B1" w:rsidP="005A1C90">
            <w:pPr>
              <w:spacing w:line="259" w:lineRule="auto"/>
            </w:pPr>
            <w:r>
              <w:t xml:space="preserve">Public Health Agency  System </w:t>
            </w:r>
          </w:p>
        </w:tc>
        <w:tc>
          <w:tcPr>
            <w:tcW w:w="4949" w:type="dxa"/>
            <w:tcBorders>
              <w:top w:val="single" w:sz="4" w:space="0" w:color="000000"/>
              <w:left w:val="single" w:sz="4" w:space="0" w:color="000000"/>
              <w:bottom w:val="single" w:sz="4" w:space="0" w:color="000000"/>
              <w:right w:val="single" w:sz="4" w:space="0" w:color="000000"/>
            </w:tcBorders>
          </w:tcPr>
          <w:p w14:paraId="08129FF6" w14:textId="77777777" w:rsidR="005D79B1" w:rsidRDefault="005D79B1" w:rsidP="009C77AB">
            <w:pPr>
              <w:numPr>
                <w:ilvl w:val="0"/>
                <w:numId w:val="6"/>
              </w:numPr>
              <w:spacing w:after="2" w:line="259" w:lineRule="auto"/>
              <w:ind w:hanging="360"/>
            </w:pPr>
            <w:r>
              <w:t xml:space="preserve">Receive report from EHR system or intermediary </w:t>
            </w:r>
          </w:p>
          <w:p w14:paraId="0C686FFA" w14:textId="5C652814" w:rsidR="005D79B1" w:rsidRDefault="005D79B1" w:rsidP="006D36F1">
            <w:pPr>
              <w:spacing w:line="259" w:lineRule="auto"/>
              <w:ind w:left="361"/>
            </w:pPr>
            <w:r>
              <w:t xml:space="preserve"> </w:t>
            </w:r>
          </w:p>
        </w:tc>
      </w:tr>
      <w:tr w:rsidR="005A1C90" w14:paraId="45CF7F58" w14:textId="77777777" w:rsidTr="005656A1">
        <w:trPr>
          <w:trHeight w:val="1227"/>
        </w:trPr>
        <w:tc>
          <w:tcPr>
            <w:tcW w:w="4067" w:type="dxa"/>
            <w:tcBorders>
              <w:top w:val="single" w:sz="4" w:space="0" w:color="000000"/>
              <w:left w:val="single" w:sz="4" w:space="0" w:color="000000"/>
              <w:bottom w:val="single" w:sz="4" w:space="0" w:color="000000"/>
              <w:right w:val="single" w:sz="4" w:space="0" w:color="000000"/>
            </w:tcBorders>
          </w:tcPr>
          <w:p w14:paraId="7B53EA02" w14:textId="373155D4" w:rsidR="005A1C90" w:rsidRDefault="005656A1" w:rsidP="005D79B1">
            <w:pPr>
              <w:spacing w:line="259" w:lineRule="auto"/>
            </w:pPr>
            <w:r>
              <w:t>PH Jurisdiction User</w:t>
            </w:r>
          </w:p>
        </w:tc>
        <w:tc>
          <w:tcPr>
            <w:tcW w:w="4949" w:type="dxa"/>
            <w:tcBorders>
              <w:top w:val="single" w:sz="4" w:space="0" w:color="000000"/>
              <w:left w:val="single" w:sz="4" w:space="0" w:color="000000"/>
              <w:bottom w:val="single" w:sz="4" w:space="0" w:color="000000"/>
              <w:right w:val="single" w:sz="4" w:space="0" w:color="000000"/>
            </w:tcBorders>
          </w:tcPr>
          <w:p w14:paraId="5D45475C" w14:textId="001D147A" w:rsidR="005A1C90" w:rsidRPr="005656A1" w:rsidRDefault="005656A1" w:rsidP="006D36F1">
            <w:pPr>
              <w:numPr>
                <w:ilvl w:val="0"/>
                <w:numId w:val="7"/>
              </w:numPr>
              <w:spacing w:after="22" w:line="251" w:lineRule="auto"/>
              <w:ind w:hanging="360"/>
            </w:pPr>
            <w:r w:rsidRPr="005656A1">
              <w:t xml:space="preserve">The person in a public health agency that uses the information contained in the </w:t>
            </w:r>
            <w:r w:rsidR="00665700">
              <w:t xml:space="preserve">PHA </w:t>
            </w:r>
            <w:r w:rsidRPr="005656A1">
              <w:t>system</w:t>
            </w:r>
          </w:p>
        </w:tc>
      </w:tr>
      <w:tr w:rsidR="005656A1" w14:paraId="6DAA2778" w14:textId="77777777" w:rsidTr="005656A1">
        <w:trPr>
          <w:trHeight w:val="1560"/>
        </w:trPr>
        <w:tc>
          <w:tcPr>
            <w:tcW w:w="4067" w:type="dxa"/>
            <w:tcBorders>
              <w:top w:val="single" w:sz="4" w:space="0" w:color="000000"/>
              <w:left w:val="single" w:sz="4" w:space="0" w:color="000000"/>
              <w:bottom w:val="single" w:sz="4" w:space="0" w:color="000000"/>
              <w:right w:val="single" w:sz="4" w:space="0" w:color="000000"/>
            </w:tcBorders>
          </w:tcPr>
          <w:p w14:paraId="5CF6FCFF" w14:textId="33B918DC" w:rsidR="005656A1" w:rsidRDefault="005656A1" w:rsidP="005D79B1">
            <w:pPr>
              <w:spacing w:line="259" w:lineRule="auto"/>
            </w:pPr>
            <w:r>
              <w:t>Clinical Care (or Clinical Care and Designee)</w:t>
            </w:r>
          </w:p>
        </w:tc>
        <w:tc>
          <w:tcPr>
            <w:tcW w:w="4949" w:type="dxa"/>
            <w:tcBorders>
              <w:top w:val="single" w:sz="4" w:space="0" w:color="000000"/>
              <w:left w:val="single" w:sz="4" w:space="0" w:color="000000"/>
              <w:bottom w:val="single" w:sz="4" w:space="0" w:color="000000"/>
              <w:right w:val="single" w:sz="4" w:space="0" w:color="000000"/>
            </w:tcBorders>
          </w:tcPr>
          <w:p w14:paraId="4F41CA81" w14:textId="77777777" w:rsidR="005656A1" w:rsidRDefault="005656A1" w:rsidP="005656A1">
            <w:pPr>
              <w:numPr>
                <w:ilvl w:val="0"/>
                <w:numId w:val="26"/>
              </w:numPr>
              <w:spacing w:line="253" w:lineRule="auto"/>
            </w:pPr>
            <w:r>
              <w:t>Implementer and user or EHR System; or</w:t>
            </w:r>
          </w:p>
          <w:p w14:paraId="2A02A263" w14:textId="77777777" w:rsidR="005656A1" w:rsidRDefault="005656A1" w:rsidP="005656A1">
            <w:pPr>
              <w:pStyle w:val="ListParagraph"/>
              <w:numPr>
                <w:ilvl w:val="0"/>
                <w:numId w:val="26"/>
              </w:numPr>
              <w:spacing w:line="259" w:lineRule="auto"/>
            </w:pPr>
            <w:r>
              <w:t>As designee of clinical care (e.g., HIEs):</w:t>
            </w:r>
          </w:p>
          <w:p w14:paraId="0A54AE2A" w14:textId="24230F44" w:rsidR="005656A1" w:rsidRPr="00271B95" w:rsidRDefault="005656A1" w:rsidP="006D36F1">
            <w:pPr>
              <w:pStyle w:val="ListParagraph"/>
              <w:numPr>
                <w:ilvl w:val="1"/>
                <w:numId w:val="26"/>
              </w:numPr>
              <w:spacing w:after="13" w:line="259" w:lineRule="auto"/>
            </w:pPr>
            <w:r w:rsidRPr="00271B95">
              <w:t xml:space="preserve">Receive </w:t>
            </w:r>
            <w:r w:rsidR="00C712BC" w:rsidRPr="00271B95">
              <w:t xml:space="preserve">eCIR </w:t>
            </w:r>
            <w:r w:rsidRPr="00271B95">
              <w:t xml:space="preserve"> from EHR system and send to Intermediary or PHA system</w:t>
            </w:r>
          </w:p>
        </w:tc>
      </w:tr>
      <w:tr w:rsidR="005D79B1" w14:paraId="2B1F2EAC" w14:textId="77777777" w:rsidTr="005D79B1">
        <w:trPr>
          <w:trHeight w:val="1936"/>
        </w:trPr>
        <w:tc>
          <w:tcPr>
            <w:tcW w:w="4067" w:type="dxa"/>
            <w:tcBorders>
              <w:top w:val="single" w:sz="4" w:space="0" w:color="000000"/>
              <w:left w:val="single" w:sz="4" w:space="0" w:color="000000"/>
              <w:bottom w:val="single" w:sz="4" w:space="0" w:color="000000"/>
              <w:right w:val="single" w:sz="4" w:space="0" w:color="000000"/>
            </w:tcBorders>
          </w:tcPr>
          <w:p w14:paraId="4C87A5FD" w14:textId="48B122BD" w:rsidR="005656A1" w:rsidRDefault="005656A1" w:rsidP="005D79B1">
            <w:pPr>
              <w:spacing w:line="259" w:lineRule="auto"/>
            </w:pPr>
          </w:p>
          <w:p w14:paraId="2C5B45F5" w14:textId="3BB269D0" w:rsidR="005D79B1" w:rsidRDefault="005656A1" w:rsidP="00665700">
            <w:pPr>
              <w:spacing w:line="259" w:lineRule="auto"/>
            </w:pPr>
            <w:r>
              <w:t>P</w:t>
            </w:r>
            <w:r w:rsidR="00665700">
              <w:t xml:space="preserve">ublic </w:t>
            </w:r>
            <w:r>
              <w:t>H</w:t>
            </w:r>
            <w:r w:rsidR="00665700">
              <w:t>ealth</w:t>
            </w:r>
            <w:r>
              <w:t xml:space="preserve"> Agency (or PH</w:t>
            </w:r>
            <w:r w:rsidR="00665700">
              <w:t xml:space="preserve">A </w:t>
            </w:r>
            <w:r>
              <w:t>and Intermediary)</w:t>
            </w:r>
            <w:r w:rsidR="005D79B1">
              <w:t xml:space="preserve"> </w:t>
            </w:r>
          </w:p>
        </w:tc>
        <w:tc>
          <w:tcPr>
            <w:tcW w:w="4949" w:type="dxa"/>
            <w:tcBorders>
              <w:top w:val="single" w:sz="4" w:space="0" w:color="000000"/>
              <w:left w:val="single" w:sz="4" w:space="0" w:color="000000"/>
              <w:bottom w:val="single" w:sz="4" w:space="0" w:color="000000"/>
              <w:right w:val="single" w:sz="4" w:space="0" w:color="000000"/>
            </w:tcBorders>
          </w:tcPr>
          <w:p w14:paraId="52839BA2" w14:textId="5C75D19F" w:rsidR="005656A1" w:rsidRDefault="005656A1" w:rsidP="005656A1">
            <w:pPr>
              <w:numPr>
                <w:ilvl w:val="0"/>
                <w:numId w:val="7"/>
              </w:numPr>
              <w:spacing w:after="22" w:line="251" w:lineRule="auto"/>
              <w:ind w:hanging="360"/>
            </w:pPr>
            <w:r>
              <w:t>Recipient of</w:t>
            </w:r>
            <w:r w:rsidR="00C712BC">
              <w:t xml:space="preserve"> eICR </w:t>
            </w:r>
            <w:r>
              <w:t xml:space="preserve"> from EHR system or clinical care designee</w:t>
            </w:r>
          </w:p>
          <w:p w14:paraId="1DF68845" w14:textId="77777777" w:rsidR="005656A1" w:rsidRDefault="005656A1" w:rsidP="005656A1">
            <w:pPr>
              <w:numPr>
                <w:ilvl w:val="0"/>
                <w:numId w:val="7"/>
              </w:numPr>
              <w:spacing w:after="22" w:line="251" w:lineRule="auto"/>
              <w:ind w:hanging="360"/>
            </w:pPr>
            <w:r>
              <w:t>Confirmer of reportability</w:t>
            </w:r>
          </w:p>
          <w:p w14:paraId="15D6808E" w14:textId="7C84406C" w:rsidR="005656A1" w:rsidRDefault="005656A1" w:rsidP="005656A1">
            <w:pPr>
              <w:numPr>
                <w:ilvl w:val="0"/>
                <w:numId w:val="7"/>
              </w:numPr>
              <w:spacing w:after="22" w:line="251" w:lineRule="auto"/>
              <w:ind w:hanging="360"/>
            </w:pPr>
            <w:r>
              <w:t>And if at PH intermediary,  sender of eICR to P</w:t>
            </w:r>
            <w:r w:rsidR="00665700">
              <w:t xml:space="preserve">HA </w:t>
            </w:r>
            <w:r>
              <w:t xml:space="preserve">system </w:t>
            </w:r>
          </w:p>
          <w:p w14:paraId="3C913EB3" w14:textId="2C10059D" w:rsidR="005D79B1" w:rsidRDefault="005D79B1" w:rsidP="006D36F1">
            <w:pPr>
              <w:spacing w:line="253" w:lineRule="auto"/>
              <w:ind w:left="361"/>
            </w:pPr>
          </w:p>
        </w:tc>
      </w:tr>
    </w:tbl>
    <w:p w14:paraId="7ADD28A9" w14:textId="687FDA29" w:rsidR="0003701E" w:rsidRPr="001A082A" w:rsidRDefault="0003701E" w:rsidP="0003701E">
      <w:pPr>
        <w:pStyle w:val="Heading1"/>
        <w:ind w:left="86" w:right="36"/>
        <w:rPr>
          <w:b/>
          <w:color w:val="auto"/>
        </w:rPr>
      </w:pPr>
    </w:p>
    <w:p w14:paraId="39C8B30E" w14:textId="5359E363" w:rsidR="0092544C" w:rsidRDefault="0092544C" w:rsidP="0092544C">
      <w:pPr>
        <w:pStyle w:val="NormalWeb"/>
        <w:ind w:left="720"/>
        <w:rPr>
          <w:rFonts w:ascii="Tahoma" w:hAnsi="Tahoma" w:cs="Tahoma"/>
          <w:b/>
          <w:color w:val="000000"/>
          <w:sz w:val="28"/>
          <w:szCs w:val="28"/>
        </w:rPr>
      </w:pPr>
    </w:p>
    <w:p w14:paraId="37FA73B1" w14:textId="7AF016C3" w:rsidR="0003701E" w:rsidRPr="00B049B3" w:rsidRDefault="0034793E" w:rsidP="00B049B3">
      <w:pPr>
        <w:pStyle w:val="Heading2nospace"/>
        <w:rPr>
          <w:rFonts w:asciiTheme="minorHAnsi" w:hAnsiTheme="minorHAnsi"/>
          <w:i w:val="0"/>
        </w:rPr>
      </w:pPr>
      <w:bookmarkStart w:id="17" w:name="_Toc436033860"/>
      <w:r w:rsidRPr="00B049B3">
        <w:rPr>
          <w:rFonts w:asciiTheme="minorHAnsi" w:hAnsiTheme="minorHAnsi"/>
          <w:i w:val="0"/>
        </w:rPr>
        <w:t xml:space="preserve">2.6 Scenarios for </w:t>
      </w:r>
      <w:r w:rsidR="007811AB">
        <w:rPr>
          <w:rFonts w:asciiTheme="minorHAnsi" w:hAnsiTheme="minorHAnsi"/>
          <w:i w:val="0"/>
        </w:rPr>
        <w:t>R</w:t>
      </w:r>
      <w:r w:rsidRPr="00B049B3">
        <w:rPr>
          <w:rFonts w:asciiTheme="minorHAnsi" w:hAnsiTheme="minorHAnsi"/>
          <w:i w:val="0"/>
        </w:rPr>
        <w:t xml:space="preserve">eporting an </w:t>
      </w:r>
      <w:r w:rsidR="007811AB">
        <w:rPr>
          <w:rFonts w:asciiTheme="minorHAnsi" w:hAnsiTheme="minorHAnsi"/>
          <w:i w:val="0"/>
        </w:rPr>
        <w:t>eICR</w:t>
      </w:r>
      <w:r w:rsidRPr="00B049B3">
        <w:rPr>
          <w:rFonts w:asciiTheme="minorHAnsi" w:hAnsiTheme="minorHAnsi"/>
          <w:i w:val="0"/>
        </w:rPr>
        <w:t xml:space="preserve"> to </w:t>
      </w:r>
      <w:r w:rsidR="007811AB">
        <w:rPr>
          <w:rFonts w:asciiTheme="minorHAnsi" w:hAnsiTheme="minorHAnsi"/>
          <w:i w:val="0"/>
        </w:rPr>
        <w:t>P</w:t>
      </w:r>
      <w:r w:rsidRPr="00B049B3">
        <w:rPr>
          <w:rFonts w:asciiTheme="minorHAnsi" w:hAnsiTheme="minorHAnsi"/>
          <w:i w:val="0"/>
        </w:rPr>
        <w:t xml:space="preserve">ublic </w:t>
      </w:r>
      <w:r w:rsidR="007811AB">
        <w:rPr>
          <w:rFonts w:asciiTheme="minorHAnsi" w:hAnsiTheme="minorHAnsi"/>
          <w:i w:val="0"/>
        </w:rPr>
        <w:t>H</w:t>
      </w:r>
      <w:r w:rsidRPr="00B049B3">
        <w:rPr>
          <w:rFonts w:asciiTheme="minorHAnsi" w:hAnsiTheme="minorHAnsi"/>
          <w:i w:val="0"/>
        </w:rPr>
        <w:t>ealth</w:t>
      </w:r>
      <w:bookmarkEnd w:id="17"/>
    </w:p>
    <w:p w14:paraId="295E62B5" w14:textId="77777777" w:rsidR="004124A6" w:rsidRDefault="004124A6" w:rsidP="004124A6">
      <w:pPr>
        <w:spacing w:after="235"/>
        <w:ind w:left="-5" w:right="36"/>
        <w:contextualSpacing/>
      </w:pPr>
    </w:p>
    <w:p w14:paraId="1945D910" w14:textId="77777777" w:rsidR="001B5F98" w:rsidRPr="009B70F9" w:rsidRDefault="004124A6" w:rsidP="004124A6">
      <w:pPr>
        <w:spacing w:after="235"/>
        <w:ind w:left="-5" w:right="36"/>
        <w:contextualSpacing/>
        <w:rPr>
          <w:sz w:val="24"/>
          <w:szCs w:val="24"/>
        </w:rPr>
      </w:pPr>
      <w:r w:rsidRPr="009B70F9">
        <w:rPr>
          <w:sz w:val="24"/>
          <w:szCs w:val="24"/>
        </w:rPr>
        <w:t xml:space="preserve">A patient presents to a healthcare provider for a clinical examination. The healthcare provider performs the clinical examination and may record a clinical diagnosis or order a laboratory test consistent with the findings. Additionally, a laboratory test result may be returned for that patient’s clinical encounter. </w:t>
      </w:r>
    </w:p>
    <w:p w14:paraId="6648481E" w14:textId="6BE81A79" w:rsidR="004124A6" w:rsidRPr="009B70F9" w:rsidRDefault="004124A6" w:rsidP="004124A6">
      <w:pPr>
        <w:spacing w:after="235"/>
        <w:ind w:left="-5" w:right="36"/>
        <w:contextualSpacing/>
        <w:rPr>
          <w:sz w:val="24"/>
          <w:szCs w:val="24"/>
        </w:rPr>
      </w:pPr>
      <w:r w:rsidRPr="009B70F9">
        <w:rPr>
          <w:sz w:val="24"/>
          <w:szCs w:val="24"/>
        </w:rPr>
        <w:t>Th</w:t>
      </w:r>
      <w:r w:rsidR="001B5F98" w:rsidRPr="009B70F9">
        <w:rPr>
          <w:sz w:val="24"/>
          <w:szCs w:val="24"/>
        </w:rPr>
        <w:t>e generation of an e</w:t>
      </w:r>
      <w:r w:rsidR="00C712BC" w:rsidRPr="009B70F9">
        <w:rPr>
          <w:sz w:val="24"/>
          <w:szCs w:val="24"/>
        </w:rPr>
        <w:t xml:space="preserve">ICR </w:t>
      </w:r>
      <w:r w:rsidR="001B5F98" w:rsidRPr="009B70F9">
        <w:rPr>
          <w:sz w:val="24"/>
          <w:szCs w:val="24"/>
        </w:rPr>
        <w:t>may be initiated by a variet</w:t>
      </w:r>
      <w:r w:rsidR="00C712BC" w:rsidRPr="009B70F9">
        <w:rPr>
          <w:sz w:val="24"/>
          <w:szCs w:val="24"/>
        </w:rPr>
        <w:t>y</w:t>
      </w:r>
      <w:r w:rsidR="001B5F98" w:rsidRPr="009B70F9">
        <w:rPr>
          <w:sz w:val="24"/>
          <w:szCs w:val="24"/>
        </w:rPr>
        <w:t xml:space="preserve"> of methods based on the clinical documentation and/or clinical impression.  Th</w:t>
      </w:r>
      <w:r w:rsidRPr="009B70F9">
        <w:rPr>
          <w:sz w:val="24"/>
          <w:szCs w:val="24"/>
        </w:rPr>
        <w:t xml:space="preserve">is patient encounter </w:t>
      </w:r>
      <w:r w:rsidR="001B5F98" w:rsidRPr="009B70F9">
        <w:rPr>
          <w:sz w:val="24"/>
          <w:szCs w:val="24"/>
        </w:rPr>
        <w:t>could be</w:t>
      </w:r>
      <w:r w:rsidRPr="009B70F9">
        <w:rPr>
          <w:sz w:val="24"/>
          <w:szCs w:val="24"/>
        </w:rPr>
        <w:t xml:space="preserve"> evaluated against a set of trigger codes (including </w:t>
      </w:r>
      <w:r w:rsidR="00E87C7C" w:rsidRPr="009B70F9">
        <w:rPr>
          <w:sz w:val="24"/>
          <w:szCs w:val="24"/>
        </w:rPr>
        <w:t xml:space="preserve">SNOMED CT, </w:t>
      </w:r>
      <w:r w:rsidRPr="009B70F9">
        <w:rPr>
          <w:sz w:val="24"/>
          <w:szCs w:val="24"/>
        </w:rPr>
        <w:t xml:space="preserve">ICD-10, and LOINC) that are locally implemented within the EHR system. </w:t>
      </w:r>
      <w:r w:rsidR="00E03197" w:rsidRPr="009B70F9">
        <w:rPr>
          <w:sz w:val="24"/>
          <w:szCs w:val="24"/>
        </w:rPr>
        <w:t>The trigger codes are designed to identify reportable conditions. In some circumstances, secondary analysis or inspection may be needed to confirm reportability.</w:t>
      </w:r>
      <w:r w:rsidR="00E03197" w:rsidRPr="009B70F9" w:rsidDel="00E03197">
        <w:rPr>
          <w:sz w:val="24"/>
          <w:szCs w:val="24"/>
        </w:rPr>
        <w:t xml:space="preserve"> </w:t>
      </w:r>
      <w:r w:rsidRPr="009B70F9">
        <w:rPr>
          <w:sz w:val="24"/>
          <w:szCs w:val="24"/>
        </w:rPr>
        <w:t>A diagnosis, lab</w:t>
      </w:r>
      <w:r w:rsidR="00B6282D" w:rsidRPr="009B70F9">
        <w:rPr>
          <w:sz w:val="24"/>
          <w:szCs w:val="24"/>
        </w:rPr>
        <w:t>oratory</w:t>
      </w:r>
      <w:r w:rsidRPr="009B70F9">
        <w:rPr>
          <w:sz w:val="24"/>
          <w:szCs w:val="24"/>
        </w:rPr>
        <w:t xml:space="preserve"> order</w:t>
      </w:r>
      <w:r w:rsidR="00744322" w:rsidRPr="009B70F9">
        <w:rPr>
          <w:sz w:val="24"/>
          <w:szCs w:val="24"/>
        </w:rPr>
        <w:t xml:space="preserve"> (at times, based on suspicion of a condition), laboratory test </w:t>
      </w:r>
      <w:r w:rsidRPr="009B70F9">
        <w:rPr>
          <w:sz w:val="24"/>
          <w:szCs w:val="24"/>
        </w:rPr>
        <w:t>or</w:t>
      </w:r>
      <w:r w:rsidR="00744322" w:rsidRPr="009B70F9">
        <w:rPr>
          <w:sz w:val="24"/>
          <w:szCs w:val="24"/>
        </w:rPr>
        <w:t xml:space="preserve"> </w:t>
      </w:r>
      <w:r w:rsidRPr="009B70F9">
        <w:rPr>
          <w:sz w:val="24"/>
          <w:szCs w:val="24"/>
        </w:rPr>
        <w:t>lab</w:t>
      </w:r>
      <w:r w:rsidR="00B6282D" w:rsidRPr="009B70F9">
        <w:rPr>
          <w:sz w:val="24"/>
          <w:szCs w:val="24"/>
        </w:rPr>
        <w:t>oratory</w:t>
      </w:r>
      <w:r w:rsidRPr="009B70F9">
        <w:rPr>
          <w:sz w:val="24"/>
          <w:szCs w:val="24"/>
        </w:rPr>
        <w:t xml:space="preserve"> </w:t>
      </w:r>
      <w:r w:rsidR="00744322" w:rsidRPr="009B70F9">
        <w:rPr>
          <w:sz w:val="24"/>
          <w:szCs w:val="24"/>
        </w:rPr>
        <w:t>result</w:t>
      </w:r>
      <w:r w:rsidRPr="009B70F9">
        <w:rPr>
          <w:sz w:val="24"/>
          <w:szCs w:val="24"/>
        </w:rPr>
        <w:t xml:space="preserve"> code is matched with the trigger codes, and an </w:t>
      </w:r>
      <w:r w:rsidR="00BB17C3" w:rsidRPr="009B70F9">
        <w:rPr>
          <w:sz w:val="24"/>
          <w:szCs w:val="24"/>
        </w:rPr>
        <w:t xml:space="preserve">eICR </w:t>
      </w:r>
      <w:r w:rsidRPr="009B70F9">
        <w:rPr>
          <w:sz w:val="24"/>
          <w:szCs w:val="24"/>
        </w:rPr>
        <w:t xml:space="preserve">is generated and sent to </w:t>
      </w:r>
      <w:r w:rsidR="0002492E" w:rsidRPr="009B70F9">
        <w:rPr>
          <w:sz w:val="24"/>
          <w:szCs w:val="24"/>
        </w:rPr>
        <w:t>a PHA</w:t>
      </w:r>
      <w:r w:rsidRPr="009B70F9">
        <w:rPr>
          <w:sz w:val="24"/>
          <w:szCs w:val="24"/>
        </w:rPr>
        <w:t>.</w:t>
      </w:r>
      <w:r w:rsidR="001B5F98" w:rsidRPr="009B70F9">
        <w:rPr>
          <w:sz w:val="24"/>
          <w:szCs w:val="24"/>
        </w:rPr>
        <w:t xml:space="preserve"> The clinical provider could also manually initiate the generation and sending of the </w:t>
      </w:r>
      <w:r w:rsidR="00BB17C3" w:rsidRPr="009B70F9">
        <w:rPr>
          <w:sz w:val="24"/>
          <w:szCs w:val="24"/>
        </w:rPr>
        <w:t>eICR</w:t>
      </w:r>
      <w:r w:rsidR="001B5F98" w:rsidRPr="009B70F9">
        <w:rPr>
          <w:sz w:val="24"/>
          <w:szCs w:val="24"/>
        </w:rPr>
        <w:t>.</w:t>
      </w:r>
    </w:p>
    <w:p w14:paraId="7A5D4398" w14:textId="77777777" w:rsidR="00E87C7C" w:rsidRPr="009B70F9" w:rsidRDefault="00E87C7C" w:rsidP="004124A6">
      <w:pPr>
        <w:spacing w:after="235"/>
        <w:ind w:left="-5" w:right="36"/>
        <w:contextualSpacing/>
        <w:rPr>
          <w:sz w:val="24"/>
          <w:szCs w:val="24"/>
        </w:rPr>
      </w:pPr>
    </w:p>
    <w:p w14:paraId="7E03836E" w14:textId="768113B7" w:rsidR="004124A6" w:rsidRPr="009B70F9" w:rsidRDefault="004124A6" w:rsidP="004124A6">
      <w:pPr>
        <w:spacing w:after="235"/>
        <w:ind w:left="-5" w:right="36"/>
        <w:rPr>
          <w:sz w:val="24"/>
          <w:szCs w:val="24"/>
        </w:rPr>
      </w:pPr>
      <w:r w:rsidRPr="009B70F9">
        <w:rPr>
          <w:sz w:val="24"/>
          <w:szCs w:val="24"/>
        </w:rPr>
        <w:t xml:space="preserve">The </w:t>
      </w:r>
      <w:r w:rsidR="00BB17C3" w:rsidRPr="009B70F9">
        <w:rPr>
          <w:sz w:val="24"/>
          <w:szCs w:val="24"/>
        </w:rPr>
        <w:t xml:space="preserve">eICR </w:t>
      </w:r>
      <w:r w:rsidRPr="009B70F9">
        <w:rPr>
          <w:sz w:val="24"/>
          <w:szCs w:val="24"/>
        </w:rPr>
        <w:t>contains the data elements necessary to initiate a public health investigation</w:t>
      </w:r>
      <w:r w:rsidR="00744322" w:rsidRPr="009B70F9">
        <w:rPr>
          <w:sz w:val="24"/>
          <w:szCs w:val="24"/>
        </w:rPr>
        <w:t xml:space="preserve"> or other appropriate public health action</w:t>
      </w:r>
      <w:r w:rsidRPr="009B70F9">
        <w:rPr>
          <w:sz w:val="24"/>
          <w:szCs w:val="24"/>
        </w:rPr>
        <w:t>.</w:t>
      </w:r>
    </w:p>
    <w:p w14:paraId="67D61FAD" w14:textId="54EB0976" w:rsidR="004124A6" w:rsidRPr="009B70F9" w:rsidRDefault="004124A6" w:rsidP="004124A6">
      <w:pPr>
        <w:spacing w:after="235"/>
        <w:ind w:left="-5" w:right="36"/>
        <w:rPr>
          <w:sz w:val="24"/>
          <w:szCs w:val="24"/>
        </w:rPr>
      </w:pPr>
      <w:r w:rsidRPr="009B70F9">
        <w:rPr>
          <w:sz w:val="24"/>
          <w:szCs w:val="24"/>
        </w:rPr>
        <w:t xml:space="preserve">The </w:t>
      </w:r>
      <w:r w:rsidR="00BB17C3" w:rsidRPr="009B70F9">
        <w:rPr>
          <w:sz w:val="24"/>
          <w:szCs w:val="24"/>
        </w:rPr>
        <w:t xml:space="preserve">eICR </w:t>
      </w:r>
      <w:r w:rsidRPr="009B70F9">
        <w:rPr>
          <w:sz w:val="24"/>
          <w:szCs w:val="24"/>
        </w:rPr>
        <w:t xml:space="preserve">is received by </w:t>
      </w:r>
      <w:r w:rsidR="00744322" w:rsidRPr="009B70F9">
        <w:rPr>
          <w:sz w:val="24"/>
          <w:szCs w:val="24"/>
        </w:rPr>
        <w:t xml:space="preserve">one or more </w:t>
      </w:r>
      <w:r w:rsidRPr="009B70F9">
        <w:rPr>
          <w:sz w:val="24"/>
          <w:szCs w:val="24"/>
        </w:rPr>
        <w:t>appropriate P</w:t>
      </w:r>
      <w:r w:rsidR="00BB17C3" w:rsidRPr="009B70F9">
        <w:rPr>
          <w:sz w:val="24"/>
          <w:szCs w:val="24"/>
        </w:rPr>
        <w:t xml:space="preserve">HAs </w:t>
      </w:r>
      <w:r w:rsidR="00271B95">
        <w:rPr>
          <w:sz w:val="24"/>
          <w:szCs w:val="24"/>
        </w:rPr>
        <w:t>t</w:t>
      </w:r>
      <w:r w:rsidRPr="009B70F9">
        <w:rPr>
          <w:sz w:val="24"/>
          <w:szCs w:val="24"/>
        </w:rPr>
        <w:t xml:space="preserve">he </w:t>
      </w:r>
      <w:r w:rsidR="00BB17C3" w:rsidRPr="009B70F9">
        <w:rPr>
          <w:sz w:val="24"/>
          <w:szCs w:val="24"/>
        </w:rPr>
        <w:t xml:space="preserve">eICR </w:t>
      </w:r>
      <w:r w:rsidRPr="009B70F9">
        <w:rPr>
          <w:sz w:val="24"/>
          <w:szCs w:val="24"/>
        </w:rPr>
        <w:t>is evaluated using public health decision support and a notice of reportability is returned to the sending EHR system, inclusive of the public health decision support results</w:t>
      </w:r>
      <w:r w:rsidR="0088729A" w:rsidRPr="009B70F9">
        <w:rPr>
          <w:sz w:val="24"/>
          <w:szCs w:val="24"/>
        </w:rPr>
        <w:t xml:space="preserve">. </w:t>
      </w:r>
      <w:r w:rsidRPr="009B70F9">
        <w:rPr>
          <w:sz w:val="24"/>
          <w:szCs w:val="24"/>
        </w:rPr>
        <w:t xml:space="preserve"> </w:t>
      </w:r>
      <w:r w:rsidR="00E03197" w:rsidRPr="009B70F9">
        <w:rPr>
          <w:sz w:val="24"/>
          <w:szCs w:val="24"/>
        </w:rPr>
        <w:t xml:space="preserve"> The notice of reportability includes the confirmation of reportability, information about the responsible public health jurisdiction, and over time, a request for supplemental information about the event if needed and/or information about the status of disease in the community.</w:t>
      </w:r>
    </w:p>
    <w:p w14:paraId="1C8A0E7C" w14:textId="57D6CFF4" w:rsidR="004124A6" w:rsidRPr="009B70F9" w:rsidRDefault="004124A6" w:rsidP="004124A6">
      <w:pPr>
        <w:spacing w:after="235"/>
        <w:ind w:left="-5" w:right="36"/>
        <w:rPr>
          <w:sz w:val="24"/>
          <w:szCs w:val="24"/>
        </w:rPr>
      </w:pPr>
      <w:r w:rsidRPr="009B70F9">
        <w:rPr>
          <w:sz w:val="24"/>
          <w:szCs w:val="24"/>
        </w:rPr>
        <w:t xml:space="preserve">By introducing automated public health reporting support, providers will be able to focus on the immediately reportable conditions that still require the provider to telephone the appropriate </w:t>
      </w:r>
      <w:r w:rsidR="00665700" w:rsidRPr="009B70F9">
        <w:rPr>
          <w:sz w:val="24"/>
          <w:szCs w:val="24"/>
        </w:rPr>
        <w:t>PHA</w:t>
      </w:r>
      <w:r w:rsidRPr="009B70F9">
        <w:rPr>
          <w:sz w:val="24"/>
          <w:szCs w:val="24"/>
        </w:rPr>
        <w:t xml:space="preserve"> to initiate a public health investigation.</w:t>
      </w:r>
    </w:p>
    <w:p w14:paraId="63479110" w14:textId="77777777" w:rsidR="004124A6" w:rsidRPr="009B70F9" w:rsidRDefault="004124A6" w:rsidP="004124A6">
      <w:pPr>
        <w:spacing w:after="235"/>
        <w:ind w:left="-5" w:right="36"/>
        <w:rPr>
          <w:b/>
          <w:sz w:val="28"/>
          <w:szCs w:val="24"/>
        </w:rPr>
      </w:pPr>
      <w:r w:rsidRPr="009B70F9">
        <w:rPr>
          <w:b/>
          <w:sz w:val="28"/>
          <w:szCs w:val="24"/>
        </w:rPr>
        <w:t>Narrative with example:</w:t>
      </w:r>
    </w:p>
    <w:p w14:paraId="348C1FA0" w14:textId="304B28C4" w:rsidR="008109CA" w:rsidRPr="009B70F9" w:rsidRDefault="008109CA" w:rsidP="008109CA">
      <w:pPr>
        <w:spacing w:after="235"/>
        <w:ind w:left="-5" w:right="36"/>
        <w:rPr>
          <w:sz w:val="24"/>
          <w:szCs w:val="24"/>
        </w:rPr>
      </w:pPr>
      <w:r w:rsidRPr="009B70F9">
        <w:rPr>
          <w:sz w:val="24"/>
          <w:szCs w:val="24"/>
        </w:rPr>
        <w:lastRenderedPageBreak/>
        <w:t>A mother brings her 6 year old child, Patient A, to Dr. B at Facility C after several days of fever and a progressive rash starting on the face and spreading to the trunk. Patient A presents to Dr. B, practicing at Facility C, with symptoms consistent with varicella infection. After completing the clinical examination, Dr. B records a clinical diagnosis of varicella in the patient’s problem list</w:t>
      </w:r>
      <w:r w:rsidR="0088729A" w:rsidRPr="009B70F9">
        <w:rPr>
          <w:sz w:val="24"/>
          <w:szCs w:val="24"/>
        </w:rPr>
        <w:t xml:space="preserve"> of the patient’s record</w:t>
      </w:r>
      <w:r w:rsidRPr="009B70F9">
        <w:rPr>
          <w:sz w:val="24"/>
          <w:szCs w:val="24"/>
        </w:rPr>
        <w:t xml:space="preserve">. This patient encounter is evaluated against a set of trigger codes for public health reportable conditions that have been implemented within the EHR system at Facility C. Upon matching the clinical diagnosis of varicella to the trigger codes an </w:t>
      </w:r>
      <w:r w:rsidR="0002492E" w:rsidRPr="009B70F9">
        <w:rPr>
          <w:sz w:val="24"/>
          <w:szCs w:val="24"/>
        </w:rPr>
        <w:t xml:space="preserve">eICR </w:t>
      </w:r>
      <w:r w:rsidRPr="009B70F9">
        <w:rPr>
          <w:sz w:val="24"/>
          <w:szCs w:val="24"/>
        </w:rPr>
        <w:t xml:space="preserve">is generated and sent to the </w:t>
      </w:r>
      <w:r w:rsidR="00665700" w:rsidRPr="009B70F9">
        <w:rPr>
          <w:sz w:val="24"/>
          <w:szCs w:val="24"/>
        </w:rPr>
        <w:t>PHA</w:t>
      </w:r>
      <w:r w:rsidRPr="009B70F9">
        <w:rPr>
          <w:sz w:val="24"/>
          <w:szCs w:val="24"/>
        </w:rPr>
        <w:t xml:space="preserve"> with authority over Facility C (</w:t>
      </w:r>
      <w:r w:rsidR="0012370B" w:rsidRPr="009B70F9">
        <w:rPr>
          <w:sz w:val="24"/>
          <w:szCs w:val="24"/>
        </w:rPr>
        <w:t xml:space="preserve">or an Intermediary System designated by the </w:t>
      </w:r>
      <w:r w:rsidR="00665700" w:rsidRPr="009B70F9">
        <w:rPr>
          <w:sz w:val="24"/>
          <w:szCs w:val="24"/>
        </w:rPr>
        <w:t>PHA</w:t>
      </w:r>
      <w:r w:rsidR="0012370B" w:rsidRPr="009B70F9">
        <w:rPr>
          <w:sz w:val="24"/>
          <w:szCs w:val="24"/>
        </w:rPr>
        <w:t xml:space="preserve"> to receive reports on its behalf</w:t>
      </w:r>
      <w:r w:rsidRPr="009B70F9">
        <w:rPr>
          <w:sz w:val="24"/>
          <w:szCs w:val="24"/>
        </w:rPr>
        <w:t xml:space="preserve">). </w:t>
      </w:r>
    </w:p>
    <w:p w14:paraId="7EA61131" w14:textId="611423A3" w:rsidR="008109CA" w:rsidRPr="009B70F9" w:rsidRDefault="00E03197" w:rsidP="008109CA">
      <w:pPr>
        <w:spacing w:after="235"/>
        <w:ind w:left="-5" w:right="36"/>
        <w:rPr>
          <w:sz w:val="24"/>
          <w:szCs w:val="24"/>
        </w:rPr>
      </w:pPr>
      <w:r w:rsidRPr="009B70F9">
        <w:rPr>
          <w:sz w:val="24"/>
          <w:szCs w:val="24"/>
        </w:rPr>
        <w:t xml:space="preserve">The trigger codes are designed to match patient encounters that are presumed to be reportable. The public health agency may employ a public health decision support tool to confirm the reportability of the case referred by the EHR system at Facility C. </w:t>
      </w:r>
      <w:r w:rsidR="008109CA" w:rsidRPr="009B70F9">
        <w:rPr>
          <w:sz w:val="24"/>
          <w:szCs w:val="24"/>
        </w:rPr>
        <w:t xml:space="preserve"> The decision support tool utilizes jurisdictionally determined rules and identifies that a clinical diagnosis of varicella is reportable in the public health jurisdiction, a notice of reportability is sent back to the EHR system at Facility C. The </w:t>
      </w:r>
      <w:r w:rsidR="00BB17C3" w:rsidRPr="009B70F9">
        <w:rPr>
          <w:sz w:val="24"/>
          <w:szCs w:val="24"/>
        </w:rPr>
        <w:t xml:space="preserve">eICR </w:t>
      </w:r>
      <w:r w:rsidR="008109CA" w:rsidRPr="009B70F9">
        <w:rPr>
          <w:sz w:val="24"/>
          <w:szCs w:val="24"/>
        </w:rPr>
        <w:t xml:space="preserve">is integrated into the </w:t>
      </w:r>
      <w:r w:rsidR="00665700" w:rsidRPr="009B70F9">
        <w:rPr>
          <w:sz w:val="24"/>
          <w:szCs w:val="24"/>
        </w:rPr>
        <w:t>PHA</w:t>
      </w:r>
      <w:r w:rsidR="008109CA" w:rsidRPr="009B70F9">
        <w:rPr>
          <w:sz w:val="24"/>
          <w:szCs w:val="24"/>
        </w:rPr>
        <w:t xml:space="preserve">’s surveillance system for follow-up by a public health investigator. The investigator may contact Patient A to identify close contacts and verify immunity. The public health investigator may also contact Dr. B to follow-up on clinical findings. </w:t>
      </w:r>
    </w:p>
    <w:p w14:paraId="31FF7EEA" w14:textId="5CA819A0" w:rsidR="00E03197" w:rsidRPr="009B70F9" w:rsidRDefault="00E03197" w:rsidP="008109CA">
      <w:pPr>
        <w:spacing w:after="235"/>
        <w:ind w:left="-5" w:right="36"/>
        <w:rPr>
          <w:b/>
          <w:sz w:val="28"/>
          <w:szCs w:val="24"/>
        </w:rPr>
      </w:pPr>
      <w:r w:rsidRPr="009B70F9">
        <w:rPr>
          <w:b/>
          <w:sz w:val="28"/>
          <w:szCs w:val="24"/>
        </w:rPr>
        <w:t xml:space="preserve">Alternative – Public Health </w:t>
      </w:r>
      <w:r w:rsidR="008109CA" w:rsidRPr="009B70F9">
        <w:rPr>
          <w:b/>
          <w:sz w:val="28"/>
          <w:szCs w:val="24"/>
        </w:rPr>
        <w:t>Intermediary</w:t>
      </w:r>
    </w:p>
    <w:p w14:paraId="43EE7D5C" w14:textId="0E1F032E" w:rsidR="008109CA" w:rsidRPr="009B70F9" w:rsidRDefault="008109CA" w:rsidP="008109CA">
      <w:pPr>
        <w:spacing w:after="235"/>
        <w:ind w:left="-5" w:right="36"/>
        <w:rPr>
          <w:sz w:val="24"/>
          <w:szCs w:val="24"/>
        </w:rPr>
      </w:pPr>
      <w:r w:rsidRPr="009B70F9">
        <w:rPr>
          <w:sz w:val="24"/>
          <w:szCs w:val="24"/>
        </w:rPr>
        <w:t>The P</w:t>
      </w:r>
      <w:r w:rsidR="00665700" w:rsidRPr="009B70F9">
        <w:rPr>
          <w:sz w:val="24"/>
          <w:szCs w:val="24"/>
        </w:rPr>
        <w:t xml:space="preserve">HA </w:t>
      </w:r>
      <w:r w:rsidRPr="009B70F9">
        <w:rPr>
          <w:sz w:val="24"/>
          <w:szCs w:val="24"/>
        </w:rPr>
        <w:t>may employ a intermediary</w:t>
      </w:r>
      <w:r w:rsidR="009C0E6D" w:rsidRPr="009B70F9">
        <w:rPr>
          <w:sz w:val="24"/>
          <w:szCs w:val="24"/>
        </w:rPr>
        <w:t>’s decision support tool</w:t>
      </w:r>
      <w:r w:rsidRPr="009B70F9">
        <w:rPr>
          <w:sz w:val="24"/>
          <w:szCs w:val="24"/>
        </w:rPr>
        <w:t xml:space="preserve"> to receive the </w:t>
      </w:r>
      <w:r w:rsidR="00BB17C3" w:rsidRPr="009B70F9">
        <w:rPr>
          <w:sz w:val="24"/>
          <w:szCs w:val="24"/>
        </w:rPr>
        <w:t xml:space="preserve">eICR </w:t>
      </w:r>
      <w:r w:rsidRPr="009B70F9">
        <w:rPr>
          <w:sz w:val="24"/>
          <w:szCs w:val="24"/>
        </w:rPr>
        <w:t xml:space="preserve">and </w:t>
      </w:r>
      <w:r w:rsidR="0088729A" w:rsidRPr="009B70F9">
        <w:rPr>
          <w:sz w:val="24"/>
          <w:szCs w:val="24"/>
        </w:rPr>
        <w:t>confirm</w:t>
      </w:r>
      <w:r w:rsidR="00271B95">
        <w:rPr>
          <w:sz w:val="24"/>
          <w:szCs w:val="24"/>
        </w:rPr>
        <w:t xml:space="preserve"> </w:t>
      </w:r>
      <w:r w:rsidR="006D36F1" w:rsidRPr="009B70F9">
        <w:rPr>
          <w:sz w:val="24"/>
          <w:szCs w:val="24"/>
        </w:rPr>
        <w:t>its</w:t>
      </w:r>
      <w:r w:rsidR="009C0E6D" w:rsidRPr="009B70F9">
        <w:rPr>
          <w:sz w:val="24"/>
          <w:szCs w:val="24"/>
        </w:rPr>
        <w:t xml:space="preserve"> </w:t>
      </w:r>
      <w:r w:rsidRPr="009B70F9">
        <w:rPr>
          <w:sz w:val="24"/>
          <w:szCs w:val="24"/>
        </w:rPr>
        <w:t>reportability</w:t>
      </w:r>
      <w:r w:rsidR="009C0E6D" w:rsidRPr="009B70F9">
        <w:rPr>
          <w:sz w:val="24"/>
          <w:szCs w:val="24"/>
        </w:rPr>
        <w:t xml:space="preserve">. </w:t>
      </w:r>
      <w:r w:rsidRPr="009B70F9">
        <w:rPr>
          <w:sz w:val="24"/>
          <w:szCs w:val="24"/>
        </w:rPr>
        <w:t xml:space="preserve"> This intermediary would </w:t>
      </w:r>
      <w:r w:rsidR="0088729A" w:rsidRPr="009B70F9">
        <w:rPr>
          <w:sz w:val="24"/>
          <w:szCs w:val="24"/>
        </w:rPr>
        <w:t xml:space="preserve">confirm </w:t>
      </w:r>
      <w:r w:rsidRPr="009B70F9">
        <w:rPr>
          <w:sz w:val="24"/>
          <w:szCs w:val="24"/>
        </w:rPr>
        <w:t xml:space="preserve">reportability based on the </w:t>
      </w:r>
      <w:r w:rsidR="0088729A" w:rsidRPr="009B70F9">
        <w:rPr>
          <w:sz w:val="24"/>
          <w:szCs w:val="24"/>
        </w:rPr>
        <w:t xml:space="preserve">location of the healthcare </w:t>
      </w:r>
      <w:r w:rsidRPr="009B70F9">
        <w:rPr>
          <w:sz w:val="24"/>
          <w:szCs w:val="24"/>
        </w:rPr>
        <w:t>facility</w:t>
      </w:r>
      <w:r w:rsidR="0088729A" w:rsidRPr="009B70F9">
        <w:rPr>
          <w:sz w:val="24"/>
          <w:szCs w:val="24"/>
        </w:rPr>
        <w:t>, laboratory</w:t>
      </w:r>
      <w:r w:rsidRPr="009B70F9">
        <w:rPr>
          <w:sz w:val="24"/>
          <w:szCs w:val="24"/>
        </w:rPr>
        <w:t xml:space="preserve"> and/or patient’s </w:t>
      </w:r>
      <w:r w:rsidR="0088729A" w:rsidRPr="009B70F9">
        <w:rPr>
          <w:sz w:val="24"/>
          <w:szCs w:val="24"/>
        </w:rPr>
        <w:t xml:space="preserve">residence </w:t>
      </w:r>
      <w:r w:rsidRPr="009B70F9">
        <w:rPr>
          <w:sz w:val="24"/>
          <w:szCs w:val="24"/>
        </w:rPr>
        <w:t xml:space="preserve">and the correct </w:t>
      </w:r>
      <w:r w:rsidR="00665700" w:rsidRPr="009B70F9">
        <w:rPr>
          <w:sz w:val="24"/>
          <w:szCs w:val="24"/>
        </w:rPr>
        <w:t xml:space="preserve">PHA </w:t>
      </w:r>
      <w:r w:rsidR="0088729A" w:rsidRPr="009B70F9">
        <w:rPr>
          <w:sz w:val="24"/>
          <w:szCs w:val="24"/>
        </w:rPr>
        <w:t xml:space="preserve">to which </w:t>
      </w:r>
      <w:r w:rsidRPr="009B70F9">
        <w:rPr>
          <w:sz w:val="24"/>
          <w:szCs w:val="24"/>
        </w:rPr>
        <w:t xml:space="preserve">to route the </w:t>
      </w:r>
      <w:r w:rsidR="00BB17C3" w:rsidRPr="009B70F9">
        <w:rPr>
          <w:sz w:val="24"/>
          <w:szCs w:val="24"/>
        </w:rPr>
        <w:t xml:space="preserve">eICR </w:t>
      </w:r>
      <w:r w:rsidRPr="009B70F9">
        <w:rPr>
          <w:sz w:val="24"/>
          <w:szCs w:val="24"/>
        </w:rPr>
        <w:t xml:space="preserve">to. Pertinent information includes patient address and facility location to determine the jurisdiction with authority to receive this information. The </w:t>
      </w:r>
      <w:r w:rsidR="00665700" w:rsidRPr="009B70F9">
        <w:rPr>
          <w:sz w:val="24"/>
          <w:szCs w:val="24"/>
        </w:rPr>
        <w:t>PHA</w:t>
      </w:r>
      <w:r w:rsidRPr="009B70F9">
        <w:rPr>
          <w:sz w:val="24"/>
          <w:szCs w:val="24"/>
        </w:rPr>
        <w:t xml:space="preserve"> determines whether or not an intermediary will be used.</w:t>
      </w:r>
    </w:p>
    <w:p w14:paraId="66DCD1D2" w14:textId="4F9C5F14" w:rsidR="004124A6" w:rsidRPr="009B70F9" w:rsidRDefault="00E03197" w:rsidP="004124A6">
      <w:pPr>
        <w:spacing w:after="235"/>
        <w:ind w:left="-5" w:right="36"/>
        <w:rPr>
          <w:b/>
          <w:sz w:val="28"/>
          <w:szCs w:val="24"/>
        </w:rPr>
      </w:pPr>
      <w:r w:rsidRPr="009B70F9">
        <w:rPr>
          <w:b/>
          <w:sz w:val="28"/>
          <w:szCs w:val="24"/>
        </w:rPr>
        <w:t xml:space="preserve">Narrative with </w:t>
      </w:r>
      <w:r w:rsidR="004124A6" w:rsidRPr="009B70F9">
        <w:rPr>
          <w:b/>
          <w:sz w:val="28"/>
          <w:szCs w:val="24"/>
        </w:rPr>
        <w:t>Public Health Intermediary</w:t>
      </w:r>
    </w:p>
    <w:p w14:paraId="406A41FA" w14:textId="7D56AD2E" w:rsidR="004124A6" w:rsidRPr="009B70F9" w:rsidRDefault="004124A6" w:rsidP="004124A6">
      <w:pPr>
        <w:spacing w:after="235"/>
        <w:ind w:left="-5" w:right="36"/>
        <w:rPr>
          <w:sz w:val="24"/>
          <w:szCs w:val="24"/>
        </w:rPr>
      </w:pPr>
      <w:r w:rsidRPr="009B70F9">
        <w:rPr>
          <w:sz w:val="24"/>
          <w:szCs w:val="24"/>
        </w:rPr>
        <w:t xml:space="preserve">A patient presents to a healthcare provider for a clinical examination. The healthcare provider performs the clinical examination and may record a differential clinical diagnosis or order a laboratory test consistent with the findings. Additionally, a laboratory test result may be returned for that patient’s clinical encounter. This patient encounter is evaluated against a set of trigger codes that are locally implemented within the EHR system. </w:t>
      </w:r>
      <w:r w:rsidR="00E03197" w:rsidRPr="009B70F9">
        <w:rPr>
          <w:sz w:val="24"/>
          <w:szCs w:val="24"/>
        </w:rPr>
        <w:t xml:space="preserve">The trigger codes are designed to identify reportable conditions. In some circumstances, secondary analysis or inspection may be needed to confirm reportability. </w:t>
      </w:r>
      <w:r w:rsidRPr="009B70F9">
        <w:rPr>
          <w:sz w:val="24"/>
          <w:szCs w:val="24"/>
        </w:rPr>
        <w:t xml:space="preserve"> A diagnosis, lab</w:t>
      </w:r>
      <w:r w:rsidR="00B6282D" w:rsidRPr="009B70F9">
        <w:rPr>
          <w:sz w:val="24"/>
          <w:szCs w:val="24"/>
        </w:rPr>
        <w:t>oratory</w:t>
      </w:r>
      <w:r w:rsidRPr="009B70F9">
        <w:rPr>
          <w:sz w:val="24"/>
          <w:szCs w:val="24"/>
        </w:rPr>
        <w:t xml:space="preserve"> order</w:t>
      </w:r>
      <w:r w:rsidR="0002492E" w:rsidRPr="009B70F9">
        <w:rPr>
          <w:sz w:val="24"/>
          <w:szCs w:val="24"/>
        </w:rPr>
        <w:t xml:space="preserve"> (at times, based on suspicion of a condition)</w:t>
      </w:r>
      <w:r w:rsidRPr="009B70F9">
        <w:rPr>
          <w:sz w:val="24"/>
          <w:szCs w:val="24"/>
        </w:rPr>
        <w:t>, lab</w:t>
      </w:r>
      <w:r w:rsidR="00B6282D" w:rsidRPr="009B70F9">
        <w:rPr>
          <w:sz w:val="24"/>
          <w:szCs w:val="24"/>
        </w:rPr>
        <w:t>oratory</w:t>
      </w:r>
      <w:r w:rsidRPr="009B70F9">
        <w:rPr>
          <w:sz w:val="24"/>
          <w:szCs w:val="24"/>
        </w:rPr>
        <w:t xml:space="preserve"> test</w:t>
      </w:r>
      <w:r w:rsidR="0002492E" w:rsidRPr="009B70F9">
        <w:rPr>
          <w:sz w:val="24"/>
          <w:szCs w:val="24"/>
        </w:rPr>
        <w:t>, or a laboratory result</w:t>
      </w:r>
      <w:r w:rsidRPr="009B70F9">
        <w:rPr>
          <w:sz w:val="24"/>
          <w:szCs w:val="24"/>
        </w:rPr>
        <w:t xml:space="preserve"> code is matched with </w:t>
      </w:r>
      <w:r w:rsidRPr="009B70F9">
        <w:rPr>
          <w:sz w:val="24"/>
          <w:szCs w:val="24"/>
        </w:rPr>
        <w:lastRenderedPageBreak/>
        <w:t xml:space="preserve">the trigger codes, and an </w:t>
      </w:r>
      <w:r w:rsidR="00BB17C3" w:rsidRPr="009B70F9">
        <w:rPr>
          <w:sz w:val="24"/>
          <w:szCs w:val="24"/>
        </w:rPr>
        <w:t xml:space="preserve">eICR </w:t>
      </w:r>
      <w:r w:rsidRPr="009B70F9">
        <w:rPr>
          <w:sz w:val="24"/>
          <w:szCs w:val="24"/>
        </w:rPr>
        <w:t xml:space="preserve">is generated and sent to a centralized public health cloud-based intermediary designated by the </w:t>
      </w:r>
      <w:r w:rsidR="009916E7" w:rsidRPr="009B70F9">
        <w:rPr>
          <w:sz w:val="24"/>
          <w:szCs w:val="24"/>
        </w:rPr>
        <w:t>P</w:t>
      </w:r>
      <w:r w:rsidR="00BB17C3" w:rsidRPr="009B70F9">
        <w:rPr>
          <w:sz w:val="24"/>
          <w:szCs w:val="24"/>
        </w:rPr>
        <w:t>HA</w:t>
      </w:r>
      <w:r w:rsidRPr="009B70F9">
        <w:rPr>
          <w:sz w:val="24"/>
          <w:szCs w:val="24"/>
        </w:rPr>
        <w:t>.</w:t>
      </w:r>
    </w:p>
    <w:p w14:paraId="4771E1BF" w14:textId="387C8BB8" w:rsidR="004124A6" w:rsidRPr="009B70F9" w:rsidRDefault="004124A6" w:rsidP="004124A6">
      <w:pPr>
        <w:spacing w:after="235"/>
        <w:ind w:left="-5" w:right="36"/>
        <w:rPr>
          <w:sz w:val="24"/>
          <w:szCs w:val="24"/>
        </w:rPr>
      </w:pPr>
      <w:r w:rsidRPr="009B70F9">
        <w:rPr>
          <w:sz w:val="24"/>
          <w:szCs w:val="24"/>
        </w:rPr>
        <w:t xml:space="preserve">The intermediary receives the eICR from the EHR system, evaluates the document against centrally hosted public health decision logic to determine the potential public health reportability based on the facility, provider, and/or patient address and patient encounter characteristics. The intermediary will route the eICR to the correct </w:t>
      </w:r>
      <w:r w:rsidR="009916E7" w:rsidRPr="009B70F9">
        <w:rPr>
          <w:sz w:val="24"/>
          <w:szCs w:val="24"/>
        </w:rPr>
        <w:t>P</w:t>
      </w:r>
      <w:r w:rsidR="00BB17C3" w:rsidRPr="009B70F9">
        <w:rPr>
          <w:sz w:val="24"/>
          <w:szCs w:val="24"/>
        </w:rPr>
        <w:t>HA</w:t>
      </w:r>
      <w:r w:rsidR="00271B95">
        <w:rPr>
          <w:sz w:val="24"/>
          <w:szCs w:val="24"/>
        </w:rPr>
        <w:t xml:space="preserve"> </w:t>
      </w:r>
      <w:r w:rsidRPr="009B70F9">
        <w:rPr>
          <w:sz w:val="24"/>
          <w:szCs w:val="24"/>
        </w:rPr>
        <w:t xml:space="preserve">consistent with the results of the public health decision support. </w:t>
      </w:r>
    </w:p>
    <w:p w14:paraId="76EE32A0" w14:textId="77777777" w:rsidR="004124A6" w:rsidRPr="009B70F9" w:rsidRDefault="004124A6" w:rsidP="004124A6">
      <w:pPr>
        <w:spacing w:after="235"/>
        <w:ind w:left="-5" w:right="36"/>
        <w:rPr>
          <w:sz w:val="24"/>
          <w:szCs w:val="24"/>
        </w:rPr>
      </w:pPr>
      <w:r w:rsidRPr="009B70F9">
        <w:rPr>
          <w:sz w:val="24"/>
          <w:szCs w:val="24"/>
        </w:rPr>
        <w:t>A notice of reportability inclusive of the results of the public health decision support will be routed back to the sending EHR system.</w:t>
      </w:r>
    </w:p>
    <w:p w14:paraId="7EF817CF" w14:textId="56C9B927" w:rsidR="004124A6" w:rsidRPr="009B70F9" w:rsidRDefault="004124A6" w:rsidP="001E7512">
      <w:pPr>
        <w:spacing w:after="235"/>
        <w:ind w:left="-5" w:right="36"/>
        <w:rPr>
          <w:sz w:val="24"/>
          <w:szCs w:val="24"/>
        </w:rPr>
      </w:pPr>
      <w:r w:rsidRPr="009B70F9">
        <w:rPr>
          <w:sz w:val="24"/>
          <w:szCs w:val="24"/>
        </w:rPr>
        <w:t xml:space="preserve">The </w:t>
      </w:r>
      <w:r w:rsidR="00BB17C3" w:rsidRPr="009B70F9">
        <w:rPr>
          <w:sz w:val="24"/>
          <w:szCs w:val="24"/>
        </w:rPr>
        <w:t xml:space="preserve">eICR </w:t>
      </w:r>
      <w:r w:rsidRPr="009B70F9">
        <w:rPr>
          <w:sz w:val="24"/>
          <w:szCs w:val="24"/>
        </w:rPr>
        <w:t xml:space="preserve">is received by </w:t>
      </w:r>
      <w:r w:rsidR="009B6E55" w:rsidRPr="009B70F9">
        <w:rPr>
          <w:sz w:val="24"/>
          <w:szCs w:val="24"/>
        </w:rPr>
        <w:t>one or more</w:t>
      </w:r>
      <w:r w:rsidRPr="009B70F9">
        <w:rPr>
          <w:sz w:val="24"/>
          <w:szCs w:val="24"/>
        </w:rPr>
        <w:t xml:space="preserve"> appropriate </w:t>
      </w:r>
      <w:r w:rsidR="00BB17C3" w:rsidRPr="009B70F9">
        <w:rPr>
          <w:sz w:val="24"/>
          <w:szCs w:val="24"/>
        </w:rPr>
        <w:t>PHAs</w:t>
      </w:r>
      <w:r w:rsidRPr="009B70F9">
        <w:rPr>
          <w:sz w:val="24"/>
          <w:szCs w:val="24"/>
        </w:rPr>
        <w:t xml:space="preserve"> based on the business rules administered by the intermediary. The receiving </w:t>
      </w:r>
      <w:r w:rsidR="009916E7" w:rsidRPr="009B70F9">
        <w:rPr>
          <w:sz w:val="24"/>
          <w:szCs w:val="24"/>
        </w:rPr>
        <w:t>P</w:t>
      </w:r>
      <w:r w:rsidR="00BB17C3" w:rsidRPr="009B70F9">
        <w:rPr>
          <w:sz w:val="24"/>
          <w:szCs w:val="24"/>
        </w:rPr>
        <w:t>HA</w:t>
      </w:r>
      <w:r w:rsidRPr="009B70F9">
        <w:rPr>
          <w:sz w:val="24"/>
          <w:szCs w:val="24"/>
        </w:rPr>
        <w:t xml:space="preserve"> may contact the sending facility or provider for additional follow-up information pertinent to a public health investigation. This follow-up could be multi-modal including utilizing a structured data capture form, a phone call, or a query through an HIE.</w:t>
      </w:r>
    </w:p>
    <w:p w14:paraId="3845AA12" w14:textId="4EA311C6" w:rsidR="00D800AA" w:rsidRPr="009B70F9" w:rsidRDefault="004124A6" w:rsidP="004124A6">
      <w:pPr>
        <w:spacing w:after="235"/>
        <w:ind w:left="-5" w:right="36"/>
        <w:rPr>
          <w:b/>
          <w:sz w:val="28"/>
          <w:szCs w:val="24"/>
        </w:rPr>
      </w:pPr>
      <w:r w:rsidRPr="009B70F9">
        <w:rPr>
          <w:b/>
          <w:sz w:val="28"/>
          <w:szCs w:val="24"/>
        </w:rPr>
        <w:t xml:space="preserve">Alternative - </w:t>
      </w:r>
      <w:r w:rsidR="00D800AA" w:rsidRPr="009B70F9">
        <w:rPr>
          <w:b/>
          <w:sz w:val="28"/>
          <w:szCs w:val="24"/>
        </w:rPr>
        <w:t>Manually initiated eICRs</w:t>
      </w:r>
    </w:p>
    <w:p w14:paraId="0EB650BF" w14:textId="4FEA8D05" w:rsidR="004124A6" w:rsidRPr="009B70F9" w:rsidRDefault="004124A6" w:rsidP="004124A6">
      <w:pPr>
        <w:spacing w:after="235"/>
        <w:ind w:left="-5" w:right="36"/>
        <w:rPr>
          <w:sz w:val="24"/>
          <w:szCs w:val="24"/>
        </w:rPr>
      </w:pPr>
      <w:r w:rsidRPr="009B70F9">
        <w:rPr>
          <w:sz w:val="24"/>
          <w:szCs w:val="24"/>
        </w:rPr>
        <w:t xml:space="preserve">The clinical provider may </w:t>
      </w:r>
      <w:r w:rsidR="00D800AA" w:rsidRPr="009B70F9">
        <w:rPr>
          <w:sz w:val="24"/>
          <w:szCs w:val="24"/>
        </w:rPr>
        <w:t xml:space="preserve">manually </w:t>
      </w:r>
      <w:r w:rsidRPr="009B70F9">
        <w:rPr>
          <w:sz w:val="24"/>
          <w:szCs w:val="24"/>
        </w:rPr>
        <w:t xml:space="preserve">initiate the sending of the </w:t>
      </w:r>
      <w:r w:rsidR="00BB17C3" w:rsidRPr="009B70F9">
        <w:rPr>
          <w:sz w:val="24"/>
          <w:szCs w:val="24"/>
        </w:rPr>
        <w:t>eICR</w:t>
      </w:r>
      <w:r w:rsidRPr="009B70F9">
        <w:rPr>
          <w:sz w:val="24"/>
          <w:szCs w:val="24"/>
        </w:rPr>
        <w:t xml:space="preserve"> if the provider suspects that the patient has a condition of public health interest. This </w:t>
      </w:r>
      <w:r w:rsidR="00BB17C3" w:rsidRPr="009B70F9">
        <w:rPr>
          <w:sz w:val="24"/>
          <w:szCs w:val="24"/>
        </w:rPr>
        <w:t>ability to</w:t>
      </w:r>
      <w:r w:rsidRPr="009B70F9">
        <w:rPr>
          <w:sz w:val="24"/>
          <w:szCs w:val="24"/>
        </w:rPr>
        <w:t xml:space="preserve"> </w:t>
      </w:r>
      <w:r w:rsidR="00D800AA" w:rsidRPr="009B70F9">
        <w:rPr>
          <w:sz w:val="24"/>
          <w:szCs w:val="24"/>
        </w:rPr>
        <w:t xml:space="preserve">manually </w:t>
      </w:r>
      <w:r w:rsidRPr="009B70F9">
        <w:rPr>
          <w:sz w:val="24"/>
          <w:szCs w:val="24"/>
        </w:rPr>
        <w:t xml:space="preserve">initiate </w:t>
      </w:r>
      <w:r w:rsidR="00BB17C3" w:rsidRPr="009B70F9">
        <w:rPr>
          <w:sz w:val="24"/>
          <w:szCs w:val="24"/>
        </w:rPr>
        <w:t xml:space="preserve">an eICR </w:t>
      </w:r>
      <w:r w:rsidRPr="009B70F9">
        <w:rPr>
          <w:sz w:val="24"/>
          <w:szCs w:val="24"/>
        </w:rPr>
        <w:t>is important for patient encounters with non-specific symptomology that may not otherwise be</w:t>
      </w:r>
      <w:r w:rsidR="0041413B" w:rsidRPr="009B70F9">
        <w:rPr>
          <w:sz w:val="24"/>
          <w:szCs w:val="24"/>
        </w:rPr>
        <w:t xml:space="preserve"> automated by </w:t>
      </w:r>
      <w:r w:rsidRPr="009B70F9">
        <w:rPr>
          <w:sz w:val="24"/>
          <w:szCs w:val="24"/>
        </w:rPr>
        <w:t>trigger</w:t>
      </w:r>
      <w:r w:rsidR="0041413B" w:rsidRPr="009B70F9">
        <w:rPr>
          <w:sz w:val="24"/>
          <w:szCs w:val="24"/>
        </w:rPr>
        <w:t>s</w:t>
      </w:r>
      <w:r w:rsidRPr="009B70F9">
        <w:rPr>
          <w:sz w:val="24"/>
          <w:szCs w:val="24"/>
        </w:rPr>
        <w:t xml:space="preserve">. Business rules in any public health reporting decision support tool should be able to differentiate between a </w:t>
      </w:r>
      <w:r w:rsidR="00D800AA" w:rsidRPr="009B70F9">
        <w:rPr>
          <w:sz w:val="24"/>
          <w:szCs w:val="24"/>
        </w:rPr>
        <w:t xml:space="preserve">manually </w:t>
      </w:r>
      <w:r w:rsidRPr="009B70F9">
        <w:rPr>
          <w:sz w:val="24"/>
          <w:szCs w:val="24"/>
        </w:rPr>
        <w:t xml:space="preserve">initiated eICR and </w:t>
      </w:r>
      <w:r w:rsidR="0041413B" w:rsidRPr="009B70F9">
        <w:rPr>
          <w:sz w:val="24"/>
          <w:szCs w:val="24"/>
        </w:rPr>
        <w:t xml:space="preserve">one automated from </w:t>
      </w:r>
      <w:r w:rsidRPr="009B70F9">
        <w:rPr>
          <w:sz w:val="24"/>
          <w:szCs w:val="24"/>
        </w:rPr>
        <w:t>trigger</w:t>
      </w:r>
      <w:r w:rsidR="0041413B" w:rsidRPr="009B70F9">
        <w:rPr>
          <w:sz w:val="24"/>
          <w:szCs w:val="24"/>
        </w:rPr>
        <w:t>s</w:t>
      </w:r>
      <w:r w:rsidRPr="009B70F9">
        <w:rPr>
          <w:sz w:val="24"/>
          <w:szCs w:val="24"/>
        </w:rPr>
        <w:t>. This will allow public health to triage these reports differently with decision support and investigation initiation.</w:t>
      </w:r>
    </w:p>
    <w:p w14:paraId="0167D82E" w14:textId="77777777" w:rsidR="00AE7B13" w:rsidRDefault="00AE7B13" w:rsidP="004124A6">
      <w:pPr>
        <w:pStyle w:val="NormalWeb"/>
        <w:rPr>
          <w:rFonts w:asciiTheme="minorHAnsi" w:hAnsiTheme="minorHAnsi" w:cstheme="minorBidi"/>
          <w:sz w:val="22"/>
          <w:szCs w:val="22"/>
        </w:rPr>
      </w:pPr>
    </w:p>
    <w:p w14:paraId="4396F0EF" w14:textId="77777777" w:rsidR="004124A6" w:rsidRPr="00AE7B13" w:rsidRDefault="004124A6" w:rsidP="004124A6">
      <w:pPr>
        <w:pStyle w:val="NormalWeb"/>
        <w:rPr>
          <w:rFonts w:ascii="Tahoma" w:hAnsi="Tahoma" w:cs="Tahoma"/>
          <w:b/>
          <w:color w:val="000000"/>
          <w:sz w:val="28"/>
          <w:szCs w:val="28"/>
        </w:rPr>
      </w:pPr>
    </w:p>
    <w:p w14:paraId="19DB4574" w14:textId="0B6D1EFE" w:rsidR="00494A83" w:rsidRPr="00CC03E2" w:rsidRDefault="00B1681B" w:rsidP="00494A83">
      <w:pPr>
        <w:pStyle w:val="NormalWeb"/>
      </w:pPr>
      <w:bookmarkStart w:id="18" w:name="C_2218-94"/>
      <w:bookmarkStart w:id="19" w:name="C_2218-96"/>
      <w:bookmarkStart w:id="20" w:name="C_2218-103"/>
      <w:bookmarkStart w:id="21" w:name="C_2218-104"/>
      <w:bookmarkStart w:id="22" w:name="C_2218-105"/>
      <w:bookmarkStart w:id="23" w:name="C_2218-106"/>
      <w:bookmarkStart w:id="24" w:name="C_2218-1"/>
      <w:bookmarkStart w:id="25" w:name="C_2218-2"/>
      <w:bookmarkStart w:id="26" w:name="C_2218-3"/>
      <w:bookmarkStart w:id="27" w:name="C_2218-17"/>
      <w:bookmarkStart w:id="28" w:name="C_2218-4"/>
      <w:bookmarkStart w:id="29" w:name="C_2218-18"/>
      <w:bookmarkStart w:id="30" w:name="C_2218-19"/>
      <w:bookmarkStart w:id="31" w:name="C_2218-5"/>
      <w:bookmarkStart w:id="32" w:name="C_2218-20"/>
      <w:bookmarkStart w:id="33" w:name="C_2218-21"/>
      <w:bookmarkStart w:id="34" w:name="C_2218-6"/>
      <w:bookmarkStart w:id="35" w:name="C_2218-7"/>
      <w:bookmarkStart w:id="36" w:name="C_2218-8"/>
      <w:bookmarkStart w:id="37" w:name="C_2218-22"/>
      <w:bookmarkStart w:id="38" w:name="C_2218-23"/>
      <w:bookmarkStart w:id="39" w:name="C_2218-24"/>
      <w:bookmarkStart w:id="40" w:name="C_2218-9"/>
      <w:bookmarkStart w:id="41" w:name="C_2218-25"/>
      <w:bookmarkStart w:id="42" w:name="C_2218-10"/>
      <w:bookmarkStart w:id="43" w:name="C_2218-26"/>
      <w:bookmarkStart w:id="44" w:name="C_2218-27"/>
      <w:bookmarkStart w:id="45" w:name="C_2218-11"/>
      <w:bookmarkStart w:id="46" w:name="C_2218-12"/>
      <w:bookmarkStart w:id="47" w:name="C_2218-13"/>
      <w:bookmarkStart w:id="48" w:name="C_2218-28"/>
      <w:bookmarkStart w:id="49" w:name="C_2218-29"/>
      <w:bookmarkStart w:id="50" w:name="C_2218-14"/>
      <w:bookmarkStart w:id="51" w:name="C_2218-30"/>
      <w:bookmarkStart w:id="52" w:name="C_2218-31"/>
      <w:bookmarkStart w:id="53" w:name="C_2218-15"/>
      <w:bookmarkStart w:id="54" w:name="C_2218-32"/>
      <w:bookmarkStart w:id="55" w:name="C_2218-16"/>
      <w:bookmarkStart w:id="56" w:name="C_2218-33"/>
      <w:bookmarkStart w:id="57" w:name="C_2218-34"/>
      <w:bookmarkStart w:id="58" w:name="C_2218-35"/>
      <w:bookmarkStart w:id="59" w:name="C_2218-85"/>
      <w:bookmarkStart w:id="60" w:name="C_2218-86"/>
      <w:bookmarkStart w:id="61" w:name="C_2218-90"/>
      <w:bookmarkStart w:id="62" w:name="C_2218-97"/>
      <w:bookmarkStart w:id="63" w:name="C_2218-100"/>
      <w:bookmarkStart w:id="64" w:name="C_2218-98"/>
      <w:bookmarkStart w:id="65" w:name="C_2218-101"/>
      <w:bookmarkStart w:id="66" w:name="C_2218-87"/>
      <w:bookmarkStart w:id="67" w:name="C_2218-91"/>
      <w:bookmarkStart w:id="68" w:name="C_2218-99"/>
      <w:bookmarkStart w:id="69" w:name="C_2218-102"/>
      <w:bookmarkStart w:id="70" w:name="C_2218-88"/>
      <w:bookmarkStart w:id="71" w:name="C_2218-92"/>
      <w:bookmarkStart w:id="72" w:name="C_2218-89"/>
      <w:bookmarkStart w:id="73" w:name="C_2218-93"/>
      <w:bookmarkStart w:id="74" w:name="C_1198-16791"/>
      <w:bookmarkStart w:id="75" w:name="C_1198-5361"/>
      <w:bookmarkStart w:id="76" w:name="C_1198-5250"/>
      <w:bookmarkStart w:id="77" w:name="C_1198-5251"/>
      <w:bookmarkStart w:id="78" w:name="C_1198-5252"/>
      <w:bookmarkStart w:id="79" w:name="C_1198-10036"/>
      <w:bookmarkStart w:id="80" w:name="C_1198-32503"/>
      <w:bookmarkStart w:id="81" w:name="C_1198-5363"/>
      <w:bookmarkStart w:id="82" w:name="C_1198-5253"/>
      <w:bookmarkStart w:id="83" w:name="C_1198-5254"/>
      <w:bookmarkStart w:id="84" w:name="C_1198-5256"/>
      <w:bookmarkStart w:id="85" w:name="C_1198-5259"/>
      <w:bookmarkStart w:id="86" w:name="C_1198-5372"/>
      <w:bookmarkStart w:id="87" w:name="C_1198-5261"/>
      <w:bookmarkStart w:id="88" w:name="C_1198-5264"/>
      <w:bookmarkStart w:id="89" w:name="C_1198-5266"/>
      <w:bookmarkStart w:id="90" w:name="C_1198-5267"/>
      <w:bookmarkStart w:id="91" w:name="C_1198-5268"/>
      <w:bookmarkStart w:id="92" w:name="C_1198-5271"/>
      <w:bookmarkStart w:id="93" w:name="C_1198-5280"/>
      <w:bookmarkStart w:id="94" w:name="C_1198-5375"/>
      <w:bookmarkStart w:id="95" w:name="C_1198-5283"/>
      <w:bookmarkStart w:id="96" w:name="C_1198-5284"/>
      <w:bookmarkStart w:id="97" w:name="C_1198-6394"/>
      <w:bookmarkStart w:id="98" w:name="C_1198-5298"/>
      <w:bookmarkStart w:id="99" w:name="C_1198-5303"/>
      <w:bookmarkStart w:id="100" w:name="C_1198-5317"/>
      <w:bookmarkStart w:id="101" w:name="C_1198-5322"/>
      <w:bookmarkStart w:id="102" w:name="C_1198-7263"/>
      <w:bookmarkStart w:id="103" w:name="C_1198-5323"/>
      <w:bookmarkStart w:id="104" w:name="C_1198-32901"/>
      <w:bookmarkStart w:id="105" w:name="C_1198-5325"/>
      <w:bookmarkStart w:id="106" w:name="C_1198-5326"/>
      <w:bookmarkStart w:id="107" w:name="C_1198-5359"/>
      <w:bookmarkStart w:id="108" w:name="C_1198-5382"/>
      <w:bookmarkStart w:id="109" w:name="C_1198-7993"/>
      <w:bookmarkStart w:id="110" w:name="C_1198-5385"/>
      <w:bookmarkStart w:id="111" w:name="C_1198-5386"/>
      <w:bookmarkStart w:id="112" w:name="C_1198-5395"/>
      <w:bookmarkStart w:id="113" w:name="C_1198-5396"/>
      <w:bookmarkStart w:id="114" w:name="C_1198-5397"/>
      <w:bookmarkStart w:id="115" w:name="C_1198-5404"/>
      <w:bookmarkStart w:id="116" w:name="C_1198-5403"/>
      <w:bookmarkStart w:id="117" w:name="C_1198-5406"/>
      <w:bookmarkStart w:id="118" w:name="C_1198-5407"/>
      <w:bookmarkStart w:id="119" w:name="C_1198-5409"/>
      <w:bookmarkStart w:id="120" w:name="C_1198-9965"/>
      <w:bookmarkStart w:id="121" w:name="C_1198-5414"/>
      <w:bookmarkStart w:id="122" w:name="C_1198-5416"/>
      <w:bookmarkStart w:id="123" w:name="C_1198-5417"/>
      <w:bookmarkStart w:id="124" w:name="C_1198-5419"/>
      <w:bookmarkStart w:id="125" w:name="C_1198-5420"/>
      <w:bookmarkStart w:id="126" w:name="C_1198-7994"/>
      <w:bookmarkStart w:id="127" w:name="C_1198-5422"/>
      <w:bookmarkStart w:id="128" w:name="C_1198-5444"/>
      <w:bookmarkStart w:id="129" w:name="C_1198-5445"/>
      <w:bookmarkStart w:id="130" w:name="C_1198-5448"/>
      <w:bookmarkStart w:id="131" w:name="C_1198-5449"/>
      <w:bookmarkStart w:id="132" w:name="C_1198-32882"/>
      <w:bookmarkStart w:id="133" w:name="C_1198-32885"/>
      <w:bookmarkStart w:id="134" w:name="C_1198-16787"/>
      <w:bookmarkStart w:id="135" w:name="C_1198-16788"/>
      <w:bookmarkStart w:id="136" w:name="C_1198-5452"/>
      <w:bookmarkStart w:id="137" w:name="C_1198-5428"/>
      <w:bookmarkStart w:id="138" w:name="C_1198-7995"/>
      <w:bookmarkStart w:id="139" w:name="C_1198-5430"/>
      <w:bookmarkStart w:id="140" w:name="C_1198-16789"/>
      <w:bookmarkStart w:id="141" w:name="C_1198-16783"/>
      <w:bookmarkStart w:id="142" w:name="C_1198-16784"/>
      <w:bookmarkStart w:id="143" w:name="C_1198-16785"/>
      <w:bookmarkStart w:id="144" w:name="C_1198-5441"/>
      <w:bookmarkStart w:id="145" w:name="C_1198-5442"/>
      <w:bookmarkStart w:id="146" w:name="C_1198-5443"/>
      <w:bookmarkStart w:id="147" w:name="C_1198-32173"/>
      <w:bookmarkStart w:id="148" w:name="C_1198-5460"/>
      <w:bookmarkStart w:id="149" w:name="C_1198-5466"/>
      <w:bookmarkStart w:id="150" w:name="C_1198-7996"/>
      <w:bookmarkStart w:id="151" w:name="C_1198-5469"/>
      <w:bookmarkStart w:id="152" w:name="C_1198-5470"/>
      <w:bookmarkStart w:id="153" w:name="C_1198-8001"/>
      <w:bookmarkStart w:id="154" w:name="C_1198-8002"/>
      <w:bookmarkStart w:id="155" w:name="C_1198-9945"/>
      <w:bookmarkStart w:id="156" w:name="C_1198-32174"/>
      <w:bookmarkStart w:id="157" w:name="C_1198-8220"/>
      <w:bookmarkStart w:id="158" w:name="C_1198-8221"/>
      <w:bookmarkStart w:id="159" w:name="C_1198-8222"/>
      <w:bookmarkStart w:id="160" w:name="C_1198-31355"/>
      <w:bookmarkStart w:id="161" w:name="C_1198-31356"/>
      <w:bookmarkStart w:id="162" w:name="C_1198-5519"/>
      <w:bookmarkStart w:id="163" w:name="C_1198-5520"/>
      <w:bookmarkStart w:id="164" w:name="C_1198-5521"/>
      <w:bookmarkStart w:id="165" w:name="C_1198-5522"/>
      <w:bookmarkStart w:id="166" w:name="C_1198-5524"/>
      <w:bookmarkStart w:id="167" w:name="C_1198-5525"/>
      <w:bookmarkStart w:id="168" w:name="C_1198-7998"/>
      <w:bookmarkStart w:id="169" w:name="C_1198-5559"/>
      <w:bookmarkStart w:id="170" w:name="C_1198-5565"/>
      <w:bookmarkStart w:id="171" w:name="C_1198-5566"/>
      <w:bookmarkStart w:id="172" w:name="C_1198-32399"/>
      <w:bookmarkStart w:id="173" w:name="C_1198-5567"/>
      <w:bookmarkStart w:id="174" w:name="C_1198-5568"/>
      <w:bookmarkStart w:id="175" w:name="C_1198-5577"/>
      <w:bookmarkStart w:id="176" w:name="C_1198-5578"/>
      <w:bookmarkStart w:id="177" w:name="C_1198-5579"/>
      <w:bookmarkStart w:id="178" w:name="C_1198-5580"/>
      <w:bookmarkStart w:id="179" w:name="C_1198-5583"/>
      <w:bookmarkStart w:id="180" w:name="C_1198-30810"/>
      <w:bookmarkStart w:id="181" w:name="C_1198-5585"/>
      <w:bookmarkStart w:id="182" w:name="C_1198-5586"/>
      <w:bookmarkStart w:id="183" w:name="C_1198-17000"/>
      <w:bookmarkStart w:id="184" w:name="C_1198-5589"/>
      <w:bookmarkStart w:id="185" w:name="C_1198-5595"/>
      <w:bookmarkStart w:id="186" w:name="C_1198-7999"/>
      <w:bookmarkStart w:id="187" w:name="C_1198-5597"/>
      <w:bookmarkStart w:id="188" w:name="C_1198-5598"/>
      <w:bookmarkStart w:id="189" w:name="C_1198-5607"/>
      <w:bookmarkStart w:id="190" w:name="C_1198-5608"/>
      <w:bookmarkStart w:id="191" w:name="C_1198-5610"/>
      <w:bookmarkStart w:id="192" w:name="C_1198-30811"/>
      <w:bookmarkStart w:id="193" w:name="C_1198-5612"/>
      <w:bookmarkStart w:id="194" w:name="C_1198-5613"/>
      <w:bookmarkStart w:id="195" w:name="C_1198-16825"/>
      <w:bookmarkStart w:id="196" w:name="C_1198-16826"/>
      <w:bookmarkStart w:id="197" w:name="C_1198-5616"/>
      <w:bookmarkStart w:id="198" w:name="C_1198-5622"/>
      <w:bookmarkStart w:id="199" w:name="C_1198-8000"/>
      <w:bookmarkStart w:id="200" w:name="C_1198-5624"/>
      <w:bookmarkStart w:id="201" w:name="C_1198-5625"/>
      <w:bookmarkStart w:id="202" w:name="C_1198-10003"/>
      <w:bookmarkStart w:id="203" w:name="C_1198-10004"/>
      <w:bookmarkStart w:id="204" w:name="C_1198-9952"/>
      <w:bookmarkStart w:id="205" w:name="C_1198-9953"/>
      <w:bookmarkStart w:id="206" w:name="C_1198-9954"/>
      <w:bookmarkStart w:id="207" w:name="C_1198-14835"/>
      <w:bookmarkStart w:id="208" w:name="C_1198-14836"/>
      <w:bookmarkStart w:id="209" w:name="C_1198-14837"/>
      <w:bookmarkStart w:id="210" w:name="C_1198-14838"/>
      <w:bookmarkStart w:id="211" w:name="C_1198-14839"/>
      <w:bookmarkStart w:id="212" w:name="C_1198-14840"/>
      <w:bookmarkStart w:id="213" w:name="C_1198-16818"/>
      <w:bookmarkStart w:id="214" w:name="C_1198-32889"/>
      <w:bookmarkStart w:id="215" w:name="C_1198-14841"/>
      <w:bookmarkStart w:id="216" w:name="C_1198-14846"/>
      <w:bookmarkStart w:id="217" w:name="C_1198-14842"/>
      <w:bookmarkStart w:id="218" w:name="C_1198-16792"/>
      <w:bookmarkStart w:id="219" w:name="C_1198-16793"/>
      <w:bookmarkStart w:id="220" w:name="C_1198-16794"/>
      <w:bookmarkStart w:id="221" w:name="C_1198-16795"/>
      <w:bookmarkStart w:id="222" w:name="C_1198-16797"/>
      <w:bookmarkStart w:id="223" w:name="C_1198-9955"/>
      <w:bookmarkStart w:id="224" w:name="C_1198-9956"/>
      <w:bookmarkStart w:id="225" w:name="C_1198-9959"/>
      <w:bookmarkStart w:id="226" w:name="C_1198-9958"/>
      <w:bookmarkStart w:id="227" w:name="C_1198-8705"/>
      <w:bookmarkStart w:id="228" w:name="C_1198-10387"/>
      <w:bookmarkStart w:id="229" w:name="C_1198-32548"/>
      <w:bookmarkStart w:id="230" w:name="C_1198-15466"/>
      <w:bookmarkStart w:id="231" w:name="C_1198-8707"/>
      <w:bookmarkStart w:id="232" w:name="C_1198-8708"/>
      <w:bookmarkStart w:id="233" w:name="C_1198-8709"/>
      <w:bookmarkStart w:id="234" w:name="C_1198-15468"/>
      <w:bookmarkStart w:id="235" w:name="C_81-7848"/>
      <w:bookmarkStart w:id="236" w:name="C_81-10458"/>
      <w:bookmarkStart w:id="237" w:name="C_81-15477"/>
      <w:bookmarkStart w:id="238" w:name="C_81-15478"/>
      <w:bookmarkStart w:id="239" w:name="C_81-7850"/>
      <w:bookmarkStart w:id="240" w:name="C_81-7851"/>
      <w:bookmarkStart w:id="241" w:name="C_1098-8152"/>
      <w:bookmarkStart w:id="242" w:name="C_1098-10405"/>
      <w:bookmarkStart w:id="243" w:name="C_1098-32525"/>
      <w:bookmarkStart w:id="244" w:name="C_1098-15383"/>
      <w:bookmarkStart w:id="245" w:name="C_1098-8154"/>
      <w:bookmarkStart w:id="246" w:name="C_1098-8155"/>
      <w:bookmarkStart w:id="247" w:name="C_1098-8156"/>
      <w:bookmarkStart w:id="248" w:name="C_1098-15499"/>
      <w:bookmarkStart w:id="249" w:name="C_1198-9179"/>
      <w:bookmarkStart w:id="250" w:name="C_1198-10441"/>
      <w:bookmarkStart w:id="251" w:name="C_1198-32510"/>
      <w:bookmarkStart w:id="252" w:name="C_1198-15409"/>
      <w:bookmarkStart w:id="253" w:name="C_1198-9181"/>
      <w:bookmarkStart w:id="254" w:name="C_1198-9182"/>
      <w:bookmarkStart w:id="255" w:name="C_1198-9183"/>
      <w:bookmarkStart w:id="256" w:name="C_1198-15506"/>
      <w:bookmarkStart w:id="257" w:name="C_1198-30479"/>
      <w:bookmarkStart w:id="258" w:name="C_1198-30480"/>
      <w:bookmarkStart w:id="259" w:name="C_81-7836"/>
      <w:bookmarkStart w:id="260" w:name="C_81-10448"/>
      <w:bookmarkStart w:id="261" w:name="C_81-15429"/>
      <w:bookmarkStart w:id="262" w:name="C_81-7838"/>
      <w:bookmarkStart w:id="263" w:name="C_81-7839"/>
      <w:bookmarkStart w:id="264" w:name="C_1198-7116"/>
      <w:bookmarkStart w:id="265" w:name="C_1198-9136"/>
      <w:bookmarkStart w:id="266" w:name="C_1198-32591"/>
      <w:bookmarkStart w:id="267" w:name="C_1198-15431"/>
      <w:bookmarkStart w:id="268" w:name="C_1198-8891"/>
      <w:bookmarkStart w:id="269" w:name="C_1198-7118"/>
      <w:bookmarkStart w:id="270" w:name="C_1198-7119"/>
      <w:bookmarkStart w:id="271" w:name="C_1198-15515"/>
      <w:bookmarkStart w:id="272" w:name="C_2218-107"/>
      <w:bookmarkStart w:id="273" w:name="C_2218-109"/>
      <w:bookmarkStart w:id="274" w:name="C_2218-114"/>
      <w:bookmarkStart w:id="275" w:name="C_2218-115"/>
      <w:bookmarkStart w:id="276" w:name="C_1198-7936"/>
      <w:bookmarkStart w:id="277" w:name="C_1198-10449"/>
      <w:bookmarkStart w:id="278" w:name="C_1198-32494"/>
      <w:bookmarkStart w:id="279" w:name="C_1198-14819"/>
      <w:bookmarkStart w:id="280" w:name="C_1198-7938"/>
      <w:bookmarkStart w:id="281" w:name="C_1198-7939"/>
      <w:bookmarkStart w:id="282" w:name="C_1198-7953"/>
      <w:bookmarkStart w:id="283" w:name="C_1198-14821"/>
      <w:bookmarkStart w:id="284" w:name="C_1198-9132"/>
      <w:bookmarkStart w:id="285" w:name="C_1198-14822"/>
      <w:bookmarkStart w:id="286" w:name="C_1198-14823"/>
      <w:bookmarkStart w:id="287" w:name="C_1198-14824"/>
      <w:bookmarkStart w:id="288" w:name="C_1198-16816"/>
      <w:bookmarkStart w:id="289" w:name="C_1198-16817"/>
      <w:bookmarkStart w:id="290" w:name="C_1198-28361"/>
      <w:bookmarkStart w:id="291" w:name="C_1198-28362"/>
      <w:bookmarkStart w:id="292" w:name="C_1198-28366"/>
      <w:bookmarkStart w:id="293" w:name="C_1198-28367"/>
      <w:bookmarkStart w:id="294" w:name="C_1198-28825"/>
      <w:bookmarkStart w:id="295" w:name="C_1198-28826"/>
      <w:bookmarkStart w:id="296" w:name="C_1198-8712"/>
      <w:bookmarkStart w:id="297" w:name="C_1198-26353"/>
      <w:bookmarkStart w:id="298" w:name="C_1198-32546"/>
      <w:bookmarkStart w:id="299" w:name="C_1198-8713"/>
      <w:bookmarkStart w:id="300" w:name="C_1198-8714"/>
      <w:bookmarkStart w:id="301" w:name="C_1198-8719"/>
      <w:bookmarkStart w:id="302" w:name="C_1198-15970"/>
      <w:bookmarkStart w:id="303" w:name="C_1198-15971"/>
      <w:bookmarkStart w:id="304" w:name="C_1198-32323"/>
      <w:bookmarkStart w:id="305" w:name="C_1198-8715"/>
      <w:bookmarkStart w:id="306" w:name="C_1198-32176"/>
      <w:bookmarkStart w:id="307" w:name="C_1198-8725"/>
      <w:bookmarkStart w:id="308" w:name="C_1198-8726"/>
      <w:bookmarkStart w:id="309" w:name="C_1198-8727"/>
      <w:bookmarkStart w:id="310" w:name="C_1198-8738"/>
      <w:bookmarkStart w:id="311" w:name="C_1198-14903"/>
      <w:bookmarkStart w:id="312" w:name="C_1198-8722"/>
      <w:bookmarkStart w:id="313" w:name="C_1198-14899"/>
      <w:bookmarkStart w:id="314" w:name="C_1198-15492"/>
      <w:bookmarkStart w:id="315" w:name="C_1198-15973"/>
      <w:bookmarkStart w:id="316" w:name="C_1198-14895"/>
      <w:bookmarkStart w:id="317" w:name="C_1198-14896"/>
      <w:bookmarkStart w:id="318" w:name="C_1198-32542"/>
      <w:bookmarkStart w:id="319" w:name="C_1198-19182"/>
      <w:bookmarkStart w:id="320" w:name="C_1198-14892"/>
      <w:bookmarkStart w:id="321" w:name="C_1198-14898"/>
      <w:bookmarkStart w:id="322" w:name="C_1098-7499"/>
      <w:bookmarkStart w:id="323" w:name="C_1098-10504"/>
      <w:bookmarkStart w:id="324" w:name="C_1098-32498"/>
      <w:bookmarkStart w:id="325" w:name="C_1098-7500"/>
      <w:bookmarkStart w:id="326" w:name="C_1098-7506"/>
      <w:bookmarkStart w:id="327" w:name="C_1098-7507"/>
      <w:bookmarkStart w:id="328" w:name="C_1098-32360"/>
      <w:bookmarkStart w:id="329" w:name="C_1098-7508"/>
      <w:bookmarkStart w:id="330" w:name="C_1098-32775"/>
      <w:bookmarkStart w:id="331" w:name="C_1098-32776"/>
      <w:bookmarkStart w:id="332" w:name="C_1098-32777"/>
      <w:bookmarkStart w:id="333" w:name="C_1098-7513"/>
      <w:bookmarkStart w:id="334" w:name="C_1098-9106"/>
      <w:bookmarkStart w:id="335" w:name="C_1098-7555"/>
      <w:bookmarkStart w:id="336" w:name="C_1098-7514"/>
      <w:bookmarkStart w:id="337" w:name="C_1098-7515"/>
      <w:bookmarkStart w:id="338" w:name="C_1098-7516"/>
      <w:bookmarkStart w:id="339" w:name="C_1098-7526"/>
      <w:bookmarkStart w:id="340" w:name="C_1098-7517"/>
      <w:bookmarkStart w:id="341" w:name="C_1098-7525"/>
      <w:bookmarkStart w:id="342" w:name="C_1098-7518"/>
      <w:bookmarkStart w:id="343" w:name="C_1098-7519"/>
      <w:bookmarkStart w:id="344" w:name="C_1098-7520"/>
      <w:bookmarkStart w:id="345" w:name="C_1098-16085"/>
      <w:bookmarkStart w:id="346" w:name="C_1098-7522"/>
      <w:bookmarkStart w:id="347" w:name="C_1098-31150"/>
      <w:bookmarkStart w:id="348" w:name="C_1098-7523"/>
      <w:bookmarkStart w:id="349" w:name="C_1098-16086"/>
      <w:bookmarkStart w:id="350" w:name="C_1098-7536"/>
      <w:bookmarkStart w:id="351" w:name="C_1098-16087"/>
      <w:bookmarkStart w:id="352" w:name="C_1098-7539"/>
      <w:bookmarkStart w:id="353" w:name="C_1098-7542"/>
      <w:bookmarkStart w:id="354" w:name="C_1098-31387"/>
      <w:bookmarkStart w:id="355" w:name="C_1098-7543"/>
      <w:bookmarkStart w:id="356" w:name="C_1098-16089"/>
      <w:bookmarkStart w:id="357" w:name="C_1098-7549"/>
      <w:bookmarkStart w:id="358" w:name="C_1098-16090"/>
      <w:bookmarkStart w:id="359" w:name="C_1098-7552"/>
      <w:bookmarkStart w:id="360" w:name="C_1098-16091"/>
      <w:bookmarkStart w:id="361" w:name="C_1098-30820"/>
      <w:bookmarkStart w:id="362" w:name="C_1098-30822"/>
      <w:bookmarkStart w:id="363" w:name="C_1098-31515"/>
      <w:bookmarkStart w:id="364" w:name="C_1098-31517"/>
      <w:bookmarkStart w:id="365" w:name="C_1098-31518"/>
      <w:bookmarkStart w:id="366" w:name="C_1098-31519"/>
      <w:bookmarkStart w:id="367" w:name="C_1098-32907"/>
      <w:bookmarkStart w:id="368" w:name="C_1098-32908"/>
      <w:bookmarkStart w:id="369" w:name="C_1098-32909"/>
      <w:bookmarkStart w:id="370" w:name="C_1098-31520"/>
      <w:bookmarkStart w:id="371" w:name="C_1098-31882"/>
      <w:bookmarkStart w:id="372" w:name="C_1098-31883"/>
      <w:bookmarkStart w:id="373" w:name="C_1098-7409"/>
      <w:bookmarkStart w:id="374" w:name="C_1098-10506"/>
      <w:bookmarkStart w:id="375" w:name="C_1098-32579"/>
      <w:bookmarkStart w:id="376" w:name="C_1098-7410"/>
      <w:bookmarkStart w:id="377" w:name="C_1098-7411"/>
      <w:bookmarkStart w:id="378" w:name="C_1098-7412"/>
      <w:bookmarkStart w:id="379" w:name="C_1098-31884"/>
      <w:bookmarkStart w:id="380" w:name="C_1098-7416"/>
      <w:bookmarkStart w:id="381" w:name="C_81-16768"/>
      <w:bookmarkStart w:id="382" w:name="C_81-16868"/>
      <w:bookmarkStart w:id="383" w:name="C_81-19153"/>
      <w:bookmarkStart w:id="384" w:name="C_81-455"/>
      <w:bookmarkStart w:id="385" w:name="C_81-2018"/>
      <w:bookmarkStart w:id="386" w:name="C_81-458"/>
      <w:bookmarkStart w:id="387" w:name="C_81-15584"/>
      <w:bookmarkStart w:id="388" w:name="C_2218-111"/>
      <w:bookmarkStart w:id="389" w:name="C_2218-110"/>
      <w:bookmarkStart w:id="390" w:name="C_2218-113"/>
      <w:bookmarkStart w:id="391" w:name="C_1198-16772"/>
      <w:bookmarkStart w:id="392" w:name="C_1198-16773"/>
      <w:bookmarkStart w:id="393" w:name="C_1198-32509"/>
      <w:bookmarkStart w:id="394" w:name="C_1198-9026"/>
      <w:bookmarkStart w:id="395" w:name="C_1198-9027"/>
      <w:bookmarkStart w:id="396" w:name="C_1198-9029"/>
      <w:bookmarkStart w:id="397" w:name="C_1198-31525"/>
      <w:bookmarkStart w:id="398" w:name="C_1198-9030"/>
      <w:bookmarkStart w:id="399" w:name="C_1198-9032"/>
      <w:bookmarkStart w:id="400" w:name="C_1198-9033"/>
      <w:bookmarkStart w:id="401" w:name="C_1198-31146"/>
      <w:bookmarkStart w:id="402" w:name="C_1198-9034"/>
      <w:bookmarkStart w:id="403" w:name="C_1198-15980"/>
      <w:bookmarkStart w:id="404" w:name="C_1198-31638"/>
      <w:bookmarkStart w:id="405" w:name="C_1198-31640"/>
      <w:bookmarkStart w:id="406" w:name="C_1198-10139"/>
      <w:bookmarkStart w:id="407" w:name="C_1198-14926"/>
      <w:bookmarkStart w:id="408" w:name="C_1198-14927"/>
      <w:bookmarkStart w:id="409" w:name="C_1198-32508"/>
      <w:bookmarkStart w:id="410" w:name="C_1198-9043"/>
      <w:bookmarkStart w:id="411" w:name="C_1198-9049"/>
      <w:bookmarkStart w:id="412" w:name="C_1198-9050"/>
      <w:bookmarkStart w:id="413" w:name="C_1198-15603"/>
      <w:bookmarkStart w:id="414" w:name="C_1198-15604"/>
      <w:bookmarkStart w:id="415" w:name="C_1198-9058"/>
      <w:bookmarkStart w:id="416" w:name="C_1198-31870"/>
      <w:bookmarkStart w:id="417" w:name="C_1198-16749"/>
      <w:bookmarkStart w:id="418" w:name="C_1198-31871"/>
      <w:bookmarkStart w:id="419" w:name="C_1198-31147"/>
      <w:bookmarkStart w:id="420" w:name="C_1198-9059"/>
      <w:bookmarkStart w:id="421" w:name="C_1198-15590"/>
      <w:bookmarkStart w:id="422" w:name="C_1198-29951"/>
      <w:bookmarkStart w:id="423" w:name="C_1198-29952"/>
      <w:bookmarkStart w:id="424" w:name="C_1198-31063"/>
      <w:bookmarkStart w:id="425" w:name="C_1198-31064"/>
      <w:bookmarkStart w:id="426" w:name="C_1198-9063"/>
      <w:bookmarkStart w:id="427" w:name="C_1198-15591"/>
      <w:bookmarkStart w:id="428" w:name="C_1198-7136"/>
      <w:bookmarkStart w:id="429" w:name="C_1198-9138"/>
      <w:bookmarkStart w:id="430" w:name="C_1198-32575"/>
      <w:bookmarkStart w:id="431" w:name="C_1198-7137"/>
      <w:bookmarkStart w:id="432" w:name="C_1198-7133"/>
      <w:bookmarkStart w:id="433" w:name="C_1198-7134"/>
      <w:bookmarkStart w:id="434" w:name="C_1198-14849"/>
      <w:bookmarkStart w:id="435" w:name="C_1198-7140"/>
      <w:bookmarkStart w:id="436" w:name="C_1198-7143"/>
      <w:bookmarkStart w:id="437" w:name="C_1198-7147"/>
      <w:bookmarkStart w:id="438" w:name="C_1198-32476"/>
      <w:bookmarkStart w:id="439" w:name="C_1198-7148"/>
      <w:bookmarkStart w:id="440" w:name="C_1198-7153"/>
      <w:bookmarkStart w:id="441" w:name="C_1198-7149"/>
      <w:bookmarkStart w:id="442" w:name="C_1198-7150"/>
      <w:bookmarkStart w:id="443" w:name="C_1198-7151"/>
      <w:bookmarkStart w:id="444" w:name="C_1198-7152"/>
      <w:bookmarkStart w:id="445" w:name="C_1198-32175"/>
      <w:bookmarkStart w:id="446" w:name="C_1198-7126"/>
      <w:bookmarkStart w:id="447" w:name="C_1198-9134"/>
      <w:bookmarkStart w:id="448" w:name="C_1198-32588"/>
      <w:bookmarkStart w:id="449" w:name="C_1198-7127"/>
      <w:bookmarkStart w:id="450" w:name="C_1198-7128"/>
      <w:bookmarkStart w:id="451" w:name="C_1198-7123"/>
      <w:bookmarkStart w:id="452" w:name="C_1198-14848"/>
      <w:bookmarkStart w:id="453" w:name="C_1198-31865"/>
      <w:bookmarkStart w:id="454" w:name="C_1198-32488"/>
      <w:bookmarkStart w:id="455" w:name="C_1198-32489"/>
      <w:bookmarkStart w:id="456" w:name="C_1198-31149"/>
      <w:bookmarkStart w:id="457" w:name="C_1198-7124"/>
      <w:bookmarkStart w:id="458" w:name="C_1198-14850"/>
      <w:bookmarkStart w:id="459" w:name="C_1198-8550"/>
      <w:bookmarkStart w:id="460" w:name="C_1198-10526"/>
      <w:bookmarkStart w:id="461" w:name="C_1198-32495"/>
      <w:bookmarkStart w:id="462" w:name="C_1198-8551"/>
      <w:bookmarkStart w:id="463" w:name="C_1198-32853"/>
      <w:bookmarkStart w:id="464" w:name="C_1198-8553"/>
      <w:bookmarkStart w:id="465" w:name="C_1198-31868"/>
      <w:bookmarkStart w:id="466" w:name="C_1198-8559"/>
      <w:bookmarkStart w:id="467" w:name="C_1198-31869"/>
      <w:bookmarkStart w:id="468" w:name="C_81-7295"/>
      <w:bookmarkStart w:id="469" w:name="C_81-7292"/>
      <w:bookmarkStart w:id="470" w:name="C_81-7294"/>
      <w:bookmarkStart w:id="471" w:name="C_81-7291"/>
      <w:bookmarkStart w:id="472" w:name="C_81-7159"/>
      <w:bookmarkStart w:id="473" w:name="C_81-7157"/>
      <w:bookmarkStart w:id="474" w:name="C_81-7155"/>
      <w:bookmarkStart w:id="475" w:name="C_81-7161"/>
      <w:bookmarkStart w:id="476" w:name="C_81-936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Pr>
          <w:rFonts w:ascii="Calibri" w:hAnsi="Calibri" w:cs="Tahoma"/>
          <w:b/>
          <w:color w:val="000000"/>
          <w:sz w:val="28"/>
          <w:szCs w:val="28"/>
        </w:rPr>
        <w:t>3.</w:t>
      </w:r>
      <w:r w:rsidR="00010BDF">
        <w:rPr>
          <w:rFonts w:ascii="Calibri" w:hAnsi="Calibri" w:cs="Tahoma"/>
          <w:b/>
          <w:color w:val="000000"/>
          <w:sz w:val="28"/>
          <w:szCs w:val="28"/>
        </w:rPr>
        <w:t xml:space="preserve">  Data Requirements and IG Template Specifications</w:t>
      </w:r>
      <w:r w:rsidR="00494A83">
        <w:rPr>
          <w:rFonts w:ascii="Calibri" w:hAnsi="Calibri" w:cs="Tahoma"/>
          <w:b/>
          <w:color w:val="000000"/>
          <w:sz w:val="28"/>
          <w:szCs w:val="28"/>
        </w:rPr>
        <w:t xml:space="preserve"> Organization</w:t>
      </w:r>
      <w:bookmarkStart w:id="477" w:name="_Toc362809486"/>
      <w:bookmarkStart w:id="478" w:name="_Toc416094071"/>
      <w:bookmarkStart w:id="479" w:name="_Toc435181171"/>
      <w:bookmarkStart w:id="480" w:name="_Toc434507886"/>
      <w:r w:rsidR="00494A83" w:rsidRPr="00CC03E2">
        <w:t xml:space="preserve"> </w:t>
      </w:r>
      <w:bookmarkEnd w:id="477"/>
      <w:bookmarkEnd w:id="478"/>
      <w:bookmarkEnd w:id="479"/>
    </w:p>
    <w:p w14:paraId="0C044258" w14:textId="0EC61A34" w:rsidR="00494A83" w:rsidRPr="009B70F9" w:rsidRDefault="00494A83" w:rsidP="00494A83">
      <w:pPr>
        <w:pStyle w:val="BodyText"/>
        <w:spacing w:before="240" w:after="0" w:line="240" w:lineRule="auto"/>
        <w:ind w:left="0"/>
        <w:jc w:val="both"/>
        <w:rPr>
          <w:rFonts w:asciiTheme="minorHAnsi" w:hAnsiTheme="minorHAnsi"/>
          <w:sz w:val="24"/>
          <w:szCs w:val="22"/>
        </w:rPr>
      </w:pPr>
      <w:r w:rsidRPr="009B70F9">
        <w:rPr>
          <w:rFonts w:asciiTheme="minorHAnsi" w:hAnsiTheme="minorHAnsi"/>
          <w:sz w:val="24"/>
          <w:szCs w:val="22"/>
        </w:rPr>
        <w:t>The CDA templates expressed in this specification are grouped according to type: Document, Section, Entry, and Datatype.  Templates are arranged a</w:t>
      </w:r>
      <w:r w:rsidR="00B6282D" w:rsidRPr="009B70F9">
        <w:rPr>
          <w:rFonts w:asciiTheme="minorHAnsi" w:hAnsiTheme="minorHAnsi"/>
          <w:sz w:val="24"/>
          <w:szCs w:val="22"/>
        </w:rPr>
        <w:t>l</w:t>
      </w:r>
      <w:r w:rsidRPr="009B70F9">
        <w:rPr>
          <w:rFonts w:asciiTheme="minorHAnsi" w:hAnsiTheme="minorHAnsi"/>
          <w:sz w:val="24"/>
          <w:szCs w:val="22"/>
        </w:rPr>
        <w:t>phabetically within type.  Each template is presented with a template title followed by template type and object identifier (OID), and a table of hyperlinked nested and encompassing templates.</w:t>
      </w:r>
    </w:p>
    <w:p w14:paraId="1A71F43A" w14:textId="60E800D9" w:rsidR="00494A83" w:rsidRPr="009B70F9" w:rsidRDefault="00494A83" w:rsidP="00494A83">
      <w:pPr>
        <w:pStyle w:val="BodyText"/>
        <w:spacing w:before="240" w:after="0" w:line="240" w:lineRule="auto"/>
        <w:ind w:left="0"/>
        <w:jc w:val="both"/>
        <w:rPr>
          <w:rFonts w:asciiTheme="minorHAnsi" w:hAnsiTheme="minorHAnsi"/>
          <w:sz w:val="24"/>
          <w:szCs w:val="22"/>
        </w:rPr>
      </w:pPr>
      <w:r w:rsidRPr="009B70F9">
        <w:rPr>
          <w:rFonts w:asciiTheme="minorHAnsi" w:hAnsiTheme="minorHAnsi"/>
          <w:sz w:val="24"/>
          <w:szCs w:val="22"/>
        </w:rPr>
        <w:t>A brief description is provided for each template which is followed by a numbered list of constraints each followed by a unique conformance identifier.  Where appropriate lineage to the eICR Domain Analysis Model</w:t>
      </w:r>
      <w:r w:rsidR="00FE7415" w:rsidRPr="009B70F9">
        <w:rPr>
          <w:rFonts w:asciiTheme="minorHAnsi" w:hAnsiTheme="minorHAnsi"/>
          <w:sz w:val="24"/>
          <w:szCs w:val="22"/>
        </w:rPr>
        <w:t xml:space="preserve"> (DAM)</w:t>
      </w:r>
      <w:r w:rsidRPr="009B70F9">
        <w:rPr>
          <w:rFonts w:asciiTheme="minorHAnsi" w:hAnsiTheme="minorHAnsi"/>
          <w:sz w:val="24"/>
          <w:szCs w:val="22"/>
        </w:rPr>
        <w:t xml:space="preserve"> is designated with the prefix “Note:” followed by the name of the DAM class and attribute which provide context for the data requirements. For </w:t>
      </w:r>
      <w:r w:rsidRPr="009B70F9">
        <w:rPr>
          <w:rFonts w:asciiTheme="minorHAnsi" w:hAnsiTheme="minorHAnsi"/>
          <w:sz w:val="24"/>
          <w:szCs w:val="22"/>
        </w:rPr>
        <w:lastRenderedPageBreak/>
        <w:t>example the following note documents the lin</w:t>
      </w:r>
      <w:r w:rsidR="00084D98" w:rsidRPr="009B70F9">
        <w:rPr>
          <w:rFonts w:asciiTheme="minorHAnsi" w:hAnsiTheme="minorHAnsi"/>
          <w:sz w:val="24"/>
          <w:szCs w:val="22"/>
        </w:rPr>
        <w:t>e</w:t>
      </w:r>
      <w:r w:rsidRPr="009B70F9">
        <w:rPr>
          <w:rFonts w:asciiTheme="minorHAnsi" w:hAnsiTheme="minorHAnsi"/>
          <w:sz w:val="24"/>
          <w:szCs w:val="22"/>
        </w:rPr>
        <w:t>age from the CDA AssignedEntity.id to the eICR DAM ResponsibleProvider.identifier:</w:t>
      </w:r>
    </w:p>
    <w:p w14:paraId="20B308C6" w14:textId="6F1D87BC" w:rsidR="00494A83" w:rsidRPr="00494A83" w:rsidRDefault="00494A83" w:rsidP="00494A83">
      <w:pPr>
        <w:pStyle w:val="BodyText"/>
        <w:spacing w:before="240" w:after="0" w:line="240" w:lineRule="auto"/>
        <w:ind w:left="0"/>
        <w:jc w:val="both"/>
        <w:rPr>
          <w:rFonts w:asciiTheme="minorHAnsi" w:hAnsiTheme="minorHAnsi"/>
          <w:sz w:val="24"/>
        </w:rPr>
      </w:pPr>
    </w:p>
    <w:p w14:paraId="0F645426" w14:textId="77777777" w:rsidR="00494A83" w:rsidRPr="00494A83" w:rsidRDefault="00494A83" w:rsidP="00494A83">
      <w:pPr>
        <w:pStyle w:val="BodyText"/>
        <w:pBdr>
          <w:top w:val="single" w:sz="4" w:space="1" w:color="auto"/>
          <w:left w:val="single" w:sz="4" w:space="4" w:color="auto"/>
          <w:bottom w:val="single" w:sz="4" w:space="1" w:color="auto"/>
          <w:right w:val="single" w:sz="4" w:space="4" w:color="auto"/>
        </w:pBdr>
        <w:spacing w:after="0" w:line="240" w:lineRule="auto"/>
        <w:rPr>
          <w:rFonts w:asciiTheme="minorHAnsi" w:hAnsiTheme="minorHAnsi"/>
          <w:sz w:val="24"/>
        </w:rPr>
      </w:pPr>
      <w:r w:rsidRPr="00494A83">
        <w:rPr>
          <w:rFonts w:asciiTheme="minorHAnsi" w:hAnsiTheme="minorHAnsi"/>
          <w:sz w:val="24"/>
        </w:rPr>
        <w:tab/>
      </w:r>
      <w:r w:rsidRPr="00494A83">
        <w:rPr>
          <w:rFonts w:asciiTheme="minorHAnsi" w:hAnsiTheme="minorHAnsi"/>
          <w:sz w:val="24"/>
        </w:rPr>
        <w:tab/>
      </w:r>
      <w:r w:rsidRPr="00494A83">
        <w:rPr>
          <w:rFonts w:asciiTheme="minorHAnsi" w:hAnsiTheme="minorHAnsi"/>
          <w:sz w:val="24"/>
        </w:rPr>
        <w:tab/>
        <w:t>a.</w:t>
      </w:r>
      <w:r w:rsidRPr="00494A83">
        <w:rPr>
          <w:rFonts w:asciiTheme="minorHAnsi" w:hAnsiTheme="minorHAnsi"/>
          <w:sz w:val="24"/>
        </w:rPr>
        <w:tab/>
        <w:t>This assignedEntity SHALL contain at least one [1..*] id (CONF:2218-8).</w:t>
      </w:r>
    </w:p>
    <w:p w14:paraId="16FCDC78" w14:textId="77777777" w:rsidR="00494A83" w:rsidRPr="00494A83" w:rsidRDefault="00494A83" w:rsidP="00494A83">
      <w:pPr>
        <w:pStyle w:val="BodyText"/>
        <w:pBdr>
          <w:top w:val="single" w:sz="4" w:space="1" w:color="auto"/>
          <w:left w:val="single" w:sz="4" w:space="4" w:color="auto"/>
          <w:bottom w:val="single" w:sz="4" w:space="1" w:color="auto"/>
          <w:right w:val="single" w:sz="4" w:space="4" w:color="auto"/>
        </w:pBdr>
        <w:spacing w:after="0" w:line="240" w:lineRule="auto"/>
        <w:rPr>
          <w:rFonts w:asciiTheme="minorHAnsi" w:hAnsiTheme="minorHAnsi"/>
          <w:sz w:val="24"/>
        </w:rPr>
      </w:pPr>
      <w:r w:rsidRPr="00494A83">
        <w:rPr>
          <w:rFonts w:asciiTheme="minorHAnsi" w:hAnsiTheme="minorHAnsi"/>
          <w:sz w:val="24"/>
        </w:rPr>
        <w:tab/>
      </w:r>
      <w:r w:rsidRPr="00494A83">
        <w:rPr>
          <w:rFonts w:asciiTheme="minorHAnsi" w:hAnsiTheme="minorHAnsi"/>
          <w:sz w:val="24"/>
        </w:rPr>
        <w:tab/>
      </w:r>
      <w:r w:rsidRPr="00494A83">
        <w:rPr>
          <w:rFonts w:asciiTheme="minorHAnsi" w:hAnsiTheme="minorHAnsi"/>
          <w:sz w:val="24"/>
        </w:rPr>
        <w:tab/>
      </w:r>
      <w:r w:rsidRPr="00494A83">
        <w:rPr>
          <w:rFonts w:asciiTheme="minorHAnsi" w:hAnsiTheme="minorHAnsi"/>
          <w:sz w:val="24"/>
        </w:rPr>
        <w:tab/>
      </w:r>
      <w:r w:rsidRPr="00494A83">
        <w:rPr>
          <w:rFonts w:asciiTheme="minorHAnsi" w:hAnsiTheme="minorHAnsi"/>
          <w:sz w:val="24"/>
        </w:rPr>
        <w:tab/>
      </w:r>
      <w:r w:rsidRPr="00494A83">
        <w:rPr>
          <w:rFonts w:asciiTheme="minorHAnsi" w:hAnsiTheme="minorHAnsi"/>
          <w:sz w:val="24"/>
          <w:highlight w:val="yellow"/>
        </w:rPr>
        <w:t>Note: ResponsibleProvider.identifier</w:t>
      </w:r>
    </w:p>
    <w:p w14:paraId="7DA2B6F0" w14:textId="7CFDCDEE" w:rsidR="00494A83" w:rsidRPr="009B70F9" w:rsidRDefault="00494A83" w:rsidP="00494A83">
      <w:pPr>
        <w:pStyle w:val="BodyText"/>
        <w:spacing w:before="240" w:after="240" w:line="240" w:lineRule="auto"/>
        <w:ind w:left="0"/>
        <w:jc w:val="both"/>
        <w:rPr>
          <w:rFonts w:asciiTheme="minorHAnsi" w:hAnsiTheme="minorHAnsi"/>
          <w:sz w:val="24"/>
          <w:szCs w:val="22"/>
        </w:rPr>
      </w:pPr>
      <w:bookmarkStart w:id="481" w:name="_Toc362809487"/>
      <w:bookmarkStart w:id="482" w:name="_Toc416094072"/>
      <w:r w:rsidRPr="009B70F9">
        <w:rPr>
          <w:rFonts w:asciiTheme="minorHAnsi" w:hAnsiTheme="minorHAnsi"/>
          <w:sz w:val="24"/>
          <w:szCs w:val="22"/>
        </w:rPr>
        <w:t xml:space="preserve">The templates used in this guide are a reuse of templates from the </w:t>
      </w:r>
      <w:hyperlink r:id="rId9" w:history="1">
        <w:r w:rsidRPr="009B70F9">
          <w:rPr>
            <w:rFonts w:asciiTheme="minorHAnsi" w:hAnsiTheme="minorHAnsi"/>
            <w:sz w:val="24"/>
            <w:szCs w:val="22"/>
          </w:rPr>
          <w:t>HL7 CDA R2 Implementation Guide: Consolidated CDA Templates for Clinical Notes (US Realm) Draft Standard for Trial Use Release 2.1</w:t>
        </w:r>
      </w:hyperlink>
      <w:r w:rsidRPr="009B70F9">
        <w:rPr>
          <w:rFonts w:asciiTheme="minorHAnsi" w:hAnsiTheme="minorHAnsi"/>
          <w:sz w:val="24"/>
          <w:szCs w:val="22"/>
        </w:rPr>
        <w:t xml:space="preserve">. The </w:t>
      </w:r>
      <w:r w:rsidR="006B5964" w:rsidRPr="009B70F9">
        <w:rPr>
          <w:rFonts w:asciiTheme="minorHAnsi" w:hAnsiTheme="minorHAnsi"/>
          <w:sz w:val="24"/>
          <w:szCs w:val="22"/>
        </w:rPr>
        <w:t xml:space="preserve">electronic </w:t>
      </w:r>
      <w:r w:rsidRPr="009B70F9">
        <w:rPr>
          <w:rFonts w:asciiTheme="minorHAnsi" w:hAnsiTheme="minorHAnsi"/>
          <w:sz w:val="24"/>
          <w:szCs w:val="22"/>
        </w:rPr>
        <w:t>Initial Public Health Case Report Document (eICR) template is unique to this guide and establishes the document header for the eICR document type. This header extends the C-CDA US Realm Header to include additional administrative and demographic elements unique to the eICR. The eICR header includes a structured document body with references to applicable C-CDA section templates.</w:t>
      </w:r>
    </w:p>
    <w:p w14:paraId="6651231A" w14:textId="3F757B5E" w:rsidR="00494A83" w:rsidRPr="009B70F9" w:rsidRDefault="00494A83" w:rsidP="00494A83">
      <w:pPr>
        <w:pStyle w:val="BodyText"/>
        <w:spacing w:before="240" w:after="240" w:line="240" w:lineRule="auto"/>
        <w:ind w:left="0"/>
        <w:jc w:val="both"/>
        <w:rPr>
          <w:rFonts w:asciiTheme="minorHAnsi" w:hAnsiTheme="minorHAnsi"/>
          <w:sz w:val="24"/>
          <w:szCs w:val="22"/>
        </w:rPr>
      </w:pPr>
      <w:r w:rsidRPr="009B70F9">
        <w:rPr>
          <w:rFonts w:asciiTheme="minorHAnsi" w:hAnsiTheme="minorHAnsi"/>
          <w:sz w:val="24"/>
          <w:szCs w:val="22"/>
        </w:rPr>
        <w:t>The C-CDA section templates include references to optional C-CDA entry templates. Only the templates relevant to eICR have been</w:t>
      </w:r>
      <w:bookmarkStart w:id="483" w:name="_Toc435181172"/>
      <w:r w:rsidRPr="009B70F9">
        <w:rPr>
          <w:rFonts w:asciiTheme="minorHAnsi" w:hAnsiTheme="minorHAnsi"/>
          <w:sz w:val="24"/>
          <w:szCs w:val="22"/>
        </w:rPr>
        <w:t xml:space="preserve"> included in this specification</w:t>
      </w:r>
      <w:r w:rsidR="009916E7" w:rsidRPr="009B70F9">
        <w:rPr>
          <w:rFonts w:asciiTheme="minorHAnsi" w:hAnsiTheme="minorHAnsi"/>
          <w:sz w:val="24"/>
          <w:szCs w:val="22"/>
        </w:rPr>
        <w:t>.</w:t>
      </w:r>
    </w:p>
    <w:p w14:paraId="51BC777C" w14:textId="327B2700" w:rsidR="00494A83" w:rsidRPr="0068617C" w:rsidRDefault="006D36F1" w:rsidP="0068617C">
      <w:pPr>
        <w:pStyle w:val="Heading2"/>
        <w:keepLines w:val="0"/>
        <w:tabs>
          <w:tab w:val="left" w:pos="720"/>
          <w:tab w:val="left" w:pos="864"/>
        </w:tabs>
        <w:spacing w:before="360" w:after="120" w:line="240" w:lineRule="auto"/>
        <w:rPr>
          <w:rFonts w:asciiTheme="minorHAnsi" w:hAnsiTheme="minorHAnsi"/>
          <w:b/>
          <w:color w:val="auto"/>
          <w:sz w:val="28"/>
          <w:szCs w:val="28"/>
        </w:rPr>
      </w:pPr>
      <w:bookmarkStart w:id="484" w:name="_Toc435437814"/>
      <w:bookmarkStart w:id="485" w:name="_Toc436033861"/>
      <w:r>
        <w:rPr>
          <w:rFonts w:asciiTheme="minorHAnsi" w:hAnsiTheme="minorHAnsi"/>
          <w:b/>
          <w:color w:val="auto"/>
          <w:sz w:val="28"/>
          <w:szCs w:val="28"/>
        </w:rPr>
        <w:t>3.1 Conventions</w:t>
      </w:r>
      <w:r w:rsidR="00494A83" w:rsidRPr="0068617C">
        <w:rPr>
          <w:rFonts w:asciiTheme="minorHAnsi" w:hAnsiTheme="minorHAnsi"/>
          <w:b/>
          <w:color w:val="auto"/>
          <w:sz w:val="28"/>
          <w:szCs w:val="28"/>
        </w:rPr>
        <w:t xml:space="preserve"> used in this implementation guide</w:t>
      </w:r>
      <w:bookmarkEnd w:id="481"/>
      <w:bookmarkEnd w:id="482"/>
      <w:bookmarkEnd w:id="483"/>
      <w:bookmarkEnd w:id="484"/>
      <w:bookmarkEnd w:id="485"/>
    </w:p>
    <w:p w14:paraId="46409E1F" w14:textId="498D4A0B" w:rsidR="00494A83" w:rsidRPr="009F7B51" w:rsidRDefault="00494A83" w:rsidP="0068617C">
      <w:pPr>
        <w:pStyle w:val="BodyText"/>
        <w:spacing w:before="240" w:after="0" w:line="240" w:lineRule="auto"/>
        <w:ind w:left="0"/>
        <w:jc w:val="both"/>
        <w:rPr>
          <w:rFonts w:asciiTheme="minorHAnsi" w:hAnsiTheme="minorHAnsi"/>
          <w:sz w:val="24"/>
          <w:szCs w:val="22"/>
        </w:rPr>
      </w:pPr>
      <w:r w:rsidRPr="009F7B51">
        <w:rPr>
          <w:rFonts w:asciiTheme="minorHAnsi" w:hAnsiTheme="minorHAnsi"/>
          <w:sz w:val="24"/>
          <w:szCs w:val="22"/>
        </w:rPr>
        <w:t>The conformance verb keyword at the start of a constraint (</w:t>
      </w:r>
      <w:r w:rsidRPr="009F7B51">
        <w:rPr>
          <w:rFonts w:asciiTheme="minorHAnsi" w:hAnsiTheme="minorHAnsi"/>
          <w:b/>
          <w:sz w:val="24"/>
          <w:szCs w:val="22"/>
        </w:rPr>
        <w:t>SHALL</w:t>
      </w:r>
      <w:r w:rsidRPr="009F7B51">
        <w:rPr>
          <w:rFonts w:asciiTheme="minorHAnsi" w:hAnsiTheme="minorHAnsi"/>
          <w:sz w:val="24"/>
          <w:szCs w:val="22"/>
        </w:rPr>
        <w:t xml:space="preserve"> , </w:t>
      </w:r>
      <w:r w:rsidRPr="009F7B51">
        <w:rPr>
          <w:rFonts w:asciiTheme="minorHAnsi" w:hAnsiTheme="minorHAnsi"/>
          <w:b/>
          <w:sz w:val="24"/>
          <w:szCs w:val="22"/>
        </w:rPr>
        <w:t>SHOULD</w:t>
      </w:r>
      <w:r w:rsidRPr="009F7B51">
        <w:rPr>
          <w:rFonts w:asciiTheme="minorHAnsi" w:hAnsiTheme="minorHAnsi"/>
          <w:sz w:val="24"/>
          <w:szCs w:val="22"/>
        </w:rPr>
        <w:t xml:space="preserve"> , </w:t>
      </w:r>
      <w:r w:rsidRPr="009F7B51">
        <w:rPr>
          <w:rFonts w:asciiTheme="minorHAnsi" w:hAnsiTheme="minorHAnsi"/>
          <w:b/>
          <w:sz w:val="24"/>
          <w:szCs w:val="22"/>
        </w:rPr>
        <w:t>MAY</w:t>
      </w:r>
      <w:r w:rsidRPr="009F7B51">
        <w:rPr>
          <w:rFonts w:asciiTheme="minorHAnsi" w:hAnsiTheme="minorHAnsi"/>
          <w:sz w:val="24"/>
          <w:szCs w:val="22"/>
        </w:rPr>
        <w:t xml:space="preserve">, etc.) indicates usage conformance.  </w:t>
      </w:r>
      <w:r w:rsidRPr="009F7B51">
        <w:rPr>
          <w:rFonts w:asciiTheme="minorHAnsi" w:hAnsiTheme="minorHAnsi"/>
          <w:b/>
          <w:sz w:val="24"/>
          <w:szCs w:val="22"/>
        </w:rPr>
        <w:t>SHALL</w:t>
      </w:r>
      <w:r w:rsidRPr="009F7B51">
        <w:rPr>
          <w:rFonts w:asciiTheme="minorHAnsi" w:hAnsiTheme="minorHAnsi"/>
          <w:sz w:val="24"/>
          <w:szCs w:val="22"/>
        </w:rPr>
        <w:t xml:space="preserve"> is an indication that the constraint is to be enforced without exception; </w:t>
      </w:r>
      <w:r w:rsidRPr="009F7B51">
        <w:rPr>
          <w:rFonts w:asciiTheme="minorHAnsi" w:hAnsiTheme="minorHAnsi"/>
          <w:b/>
          <w:sz w:val="24"/>
          <w:szCs w:val="22"/>
        </w:rPr>
        <w:t>SHOULD</w:t>
      </w:r>
      <w:r w:rsidRPr="009F7B51">
        <w:rPr>
          <w:rFonts w:asciiTheme="minorHAnsi" w:hAnsiTheme="minorHAnsi"/>
          <w:sz w:val="24"/>
          <w:szCs w:val="22"/>
        </w:rPr>
        <w:t xml:space="preserve"> is an indication that the constraint is optional but highly recommended; and </w:t>
      </w:r>
      <w:r w:rsidRPr="009F7B51">
        <w:rPr>
          <w:rFonts w:asciiTheme="minorHAnsi" w:hAnsiTheme="minorHAnsi"/>
          <w:b/>
          <w:sz w:val="24"/>
          <w:szCs w:val="22"/>
        </w:rPr>
        <w:t>MAY</w:t>
      </w:r>
      <w:r w:rsidRPr="009F7B51">
        <w:rPr>
          <w:rFonts w:asciiTheme="minorHAnsi" w:hAnsiTheme="minorHAnsi"/>
          <w:sz w:val="24"/>
          <w:szCs w:val="22"/>
        </w:rPr>
        <w:t xml:space="preserve"> is an indication that the constraint is optional and that adherence to the constraint is at the d</w:t>
      </w:r>
      <w:r w:rsidR="00FE7415" w:rsidRPr="009F7B51">
        <w:rPr>
          <w:rFonts w:asciiTheme="minorHAnsi" w:hAnsiTheme="minorHAnsi"/>
          <w:sz w:val="24"/>
          <w:szCs w:val="22"/>
        </w:rPr>
        <w:t>i</w:t>
      </w:r>
      <w:r w:rsidRPr="009F7B51">
        <w:rPr>
          <w:rFonts w:asciiTheme="minorHAnsi" w:hAnsiTheme="minorHAnsi"/>
          <w:sz w:val="24"/>
          <w:szCs w:val="22"/>
        </w:rPr>
        <w:t>screction of the document creator.</w:t>
      </w:r>
    </w:p>
    <w:p w14:paraId="37FEEF71" w14:textId="40F56B4D" w:rsidR="00494A83" w:rsidRPr="009F7B51" w:rsidRDefault="00494A83" w:rsidP="0068617C">
      <w:pPr>
        <w:pStyle w:val="BodyText"/>
        <w:spacing w:before="240" w:after="0" w:line="240" w:lineRule="auto"/>
        <w:ind w:left="0"/>
        <w:jc w:val="both"/>
        <w:rPr>
          <w:rFonts w:asciiTheme="minorHAnsi" w:hAnsiTheme="minorHAnsi"/>
          <w:sz w:val="24"/>
          <w:szCs w:val="22"/>
        </w:rPr>
      </w:pPr>
      <w:r w:rsidRPr="009F7B51">
        <w:rPr>
          <w:rFonts w:asciiTheme="minorHAnsi" w:hAnsiTheme="minorHAnsi"/>
          <w:sz w:val="24"/>
          <w:szCs w:val="22"/>
        </w:rPr>
        <w:t xml:space="preserve">All templates in the guide have been designated as “Open” templates.  The implication is that attributes or attribute properties declared in the CDA </w:t>
      </w:r>
      <w:r w:rsidR="006B5964" w:rsidRPr="009F7B51">
        <w:rPr>
          <w:rFonts w:asciiTheme="minorHAnsi" w:hAnsiTheme="minorHAnsi"/>
          <w:sz w:val="24"/>
          <w:szCs w:val="22"/>
        </w:rPr>
        <w:t>Refined Message Information Model (</w:t>
      </w:r>
      <w:r w:rsidRPr="009F7B51">
        <w:rPr>
          <w:rFonts w:asciiTheme="minorHAnsi" w:hAnsiTheme="minorHAnsi"/>
          <w:sz w:val="24"/>
          <w:szCs w:val="22"/>
        </w:rPr>
        <w:t>R</w:t>
      </w:r>
      <w:r w:rsidR="006B5964" w:rsidRPr="009F7B51">
        <w:rPr>
          <w:rFonts w:asciiTheme="minorHAnsi" w:hAnsiTheme="minorHAnsi"/>
          <w:sz w:val="24"/>
          <w:szCs w:val="22"/>
        </w:rPr>
        <w:t>-</w:t>
      </w:r>
      <w:r w:rsidRPr="009F7B51">
        <w:rPr>
          <w:rFonts w:asciiTheme="minorHAnsi" w:hAnsiTheme="minorHAnsi"/>
          <w:sz w:val="24"/>
          <w:szCs w:val="22"/>
        </w:rPr>
        <w:t>MIM</w:t>
      </w:r>
      <w:r w:rsidR="006B5964" w:rsidRPr="009F7B51">
        <w:rPr>
          <w:rFonts w:asciiTheme="minorHAnsi" w:hAnsiTheme="minorHAnsi"/>
          <w:sz w:val="24"/>
          <w:szCs w:val="22"/>
        </w:rPr>
        <w:t>)</w:t>
      </w:r>
      <w:r w:rsidRPr="009F7B51">
        <w:rPr>
          <w:rFonts w:asciiTheme="minorHAnsi" w:hAnsiTheme="minorHAnsi"/>
          <w:sz w:val="24"/>
          <w:szCs w:val="22"/>
        </w:rPr>
        <w:t xml:space="preserve"> but not in this specification are allowed.  The intent behind this convention is to allow the use of null flavor for any and all attributes, attribute properties, and trave</w:t>
      </w:r>
      <w:r w:rsidR="009916E7" w:rsidRPr="009F7B51">
        <w:rPr>
          <w:rFonts w:asciiTheme="minorHAnsi" w:hAnsiTheme="minorHAnsi"/>
          <w:sz w:val="24"/>
          <w:szCs w:val="22"/>
        </w:rPr>
        <w:t>r</w:t>
      </w:r>
      <w:r w:rsidRPr="009F7B51">
        <w:rPr>
          <w:rFonts w:asciiTheme="minorHAnsi" w:hAnsiTheme="minorHAnsi"/>
          <w:sz w:val="24"/>
          <w:szCs w:val="22"/>
        </w:rPr>
        <w:t xml:space="preserve">sals.  </w:t>
      </w:r>
    </w:p>
    <w:p w14:paraId="4A349645" w14:textId="77777777" w:rsidR="00494A83" w:rsidRPr="009F7B51" w:rsidRDefault="00494A83" w:rsidP="0068617C">
      <w:pPr>
        <w:pStyle w:val="BodyText"/>
        <w:spacing w:before="240" w:after="0" w:line="240" w:lineRule="auto"/>
        <w:ind w:left="0"/>
        <w:jc w:val="both"/>
        <w:rPr>
          <w:rFonts w:asciiTheme="minorHAnsi" w:hAnsiTheme="minorHAnsi"/>
          <w:sz w:val="24"/>
          <w:szCs w:val="22"/>
        </w:rPr>
      </w:pPr>
      <w:r w:rsidRPr="009F7B51">
        <w:rPr>
          <w:rFonts w:asciiTheme="minorHAnsi" w:hAnsiTheme="minorHAnsi"/>
          <w:sz w:val="24"/>
          <w:szCs w:val="22"/>
        </w:rPr>
        <w:t>The cardinality indicator (0..1, 0..*, 1..1, 1..*, etc.) specifies the allowable occurrences within an instance.  Thus, "</w:t>
      </w:r>
      <w:r w:rsidRPr="009F7B51">
        <w:rPr>
          <w:rFonts w:asciiTheme="minorHAnsi" w:hAnsiTheme="minorHAnsi"/>
          <w:b/>
          <w:sz w:val="24"/>
          <w:szCs w:val="22"/>
        </w:rPr>
        <w:t>MAY</w:t>
      </w:r>
      <w:r w:rsidRPr="009F7B51">
        <w:rPr>
          <w:rFonts w:asciiTheme="minorHAnsi" w:hAnsiTheme="minorHAnsi"/>
          <w:sz w:val="24"/>
          <w:szCs w:val="22"/>
        </w:rPr>
        <w:t xml:space="preserve"> contain 0..1" and "</w:t>
      </w:r>
      <w:r w:rsidRPr="009F7B51">
        <w:rPr>
          <w:rFonts w:asciiTheme="minorHAnsi" w:hAnsiTheme="minorHAnsi"/>
          <w:b/>
          <w:sz w:val="24"/>
          <w:szCs w:val="22"/>
        </w:rPr>
        <w:t>SHOULD</w:t>
      </w:r>
      <w:r w:rsidRPr="009F7B51">
        <w:rPr>
          <w:rFonts w:asciiTheme="minorHAnsi" w:hAnsiTheme="minorHAnsi"/>
          <w:sz w:val="24"/>
          <w:szCs w:val="22"/>
        </w:rPr>
        <w:t xml:space="preserve"> contain 0..1" both allow for a document to omit the particular component, but the latter is a stronger recommendation that the component be included if it is known.</w:t>
      </w:r>
    </w:p>
    <w:p w14:paraId="5E75B533" w14:textId="77777777" w:rsidR="00494A83" w:rsidRPr="009F7B51" w:rsidRDefault="00494A83" w:rsidP="0068617C">
      <w:pPr>
        <w:pStyle w:val="BodyText"/>
        <w:spacing w:before="240" w:after="0" w:line="240" w:lineRule="auto"/>
        <w:ind w:left="0"/>
        <w:jc w:val="both"/>
        <w:rPr>
          <w:rFonts w:asciiTheme="minorHAnsi" w:hAnsiTheme="minorHAnsi"/>
          <w:sz w:val="24"/>
          <w:szCs w:val="22"/>
        </w:rPr>
      </w:pPr>
      <w:r w:rsidRPr="009F7B51">
        <w:rPr>
          <w:rFonts w:asciiTheme="minorHAnsi" w:hAnsiTheme="minorHAnsi"/>
          <w:sz w:val="24"/>
          <w:szCs w:val="22"/>
        </w:rPr>
        <w:t>The following cardinality indicators may be interpreted as follows:</w:t>
      </w:r>
    </w:p>
    <w:p w14:paraId="64B54116" w14:textId="77777777" w:rsidR="00494A83" w:rsidRPr="009F7B51" w:rsidRDefault="00494A83" w:rsidP="009C77AB">
      <w:pPr>
        <w:pStyle w:val="BodyText"/>
        <w:numPr>
          <w:ilvl w:val="0"/>
          <w:numId w:val="13"/>
        </w:numPr>
        <w:spacing w:before="240" w:after="0" w:line="240" w:lineRule="auto"/>
        <w:contextualSpacing/>
        <w:jc w:val="both"/>
        <w:rPr>
          <w:rFonts w:asciiTheme="minorHAnsi" w:hAnsiTheme="minorHAnsi"/>
          <w:sz w:val="24"/>
          <w:szCs w:val="22"/>
        </w:rPr>
      </w:pPr>
      <w:r w:rsidRPr="009F7B51">
        <w:rPr>
          <w:rFonts w:asciiTheme="minorHAnsi" w:hAnsiTheme="minorHAnsi"/>
          <w:sz w:val="24"/>
          <w:szCs w:val="22"/>
        </w:rPr>
        <w:t>0..1 as contains zero or one</w:t>
      </w:r>
    </w:p>
    <w:p w14:paraId="188EE7D9" w14:textId="77777777" w:rsidR="00494A83" w:rsidRPr="009F7B51" w:rsidRDefault="00494A83" w:rsidP="009C77AB">
      <w:pPr>
        <w:pStyle w:val="BodyText"/>
        <w:numPr>
          <w:ilvl w:val="0"/>
          <w:numId w:val="13"/>
        </w:numPr>
        <w:spacing w:before="240" w:after="0" w:line="240" w:lineRule="auto"/>
        <w:contextualSpacing/>
        <w:jc w:val="both"/>
        <w:rPr>
          <w:rFonts w:asciiTheme="minorHAnsi" w:hAnsiTheme="minorHAnsi"/>
          <w:sz w:val="24"/>
          <w:szCs w:val="22"/>
        </w:rPr>
      </w:pPr>
      <w:r w:rsidRPr="009F7B51">
        <w:rPr>
          <w:rFonts w:asciiTheme="minorHAnsi" w:hAnsiTheme="minorHAnsi"/>
          <w:sz w:val="24"/>
          <w:szCs w:val="22"/>
        </w:rPr>
        <w:t>1..1 as contains exactly one</w:t>
      </w:r>
    </w:p>
    <w:p w14:paraId="3D61372A" w14:textId="77777777" w:rsidR="00494A83" w:rsidRPr="009F7B51" w:rsidRDefault="00494A83" w:rsidP="009C77AB">
      <w:pPr>
        <w:pStyle w:val="BodyText"/>
        <w:numPr>
          <w:ilvl w:val="0"/>
          <w:numId w:val="13"/>
        </w:numPr>
        <w:spacing w:before="240" w:after="0" w:line="240" w:lineRule="auto"/>
        <w:contextualSpacing/>
        <w:jc w:val="both"/>
        <w:rPr>
          <w:rFonts w:asciiTheme="minorHAnsi" w:hAnsiTheme="minorHAnsi"/>
          <w:sz w:val="24"/>
          <w:szCs w:val="22"/>
        </w:rPr>
      </w:pPr>
      <w:r w:rsidRPr="009F7B51">
        <w:rPr>
          <w:rFonts w:asciiTheme="minorHAnsi" w:hAnsiTheme="minorHAnsi"/>
          <w:sz w:val="24"/>
          <w:szCs w:val="22"/>
        </w:rPr>
        <w:t>1..* as contains one or more</w:t>
      </w:r>
    </w:p>
    <w:p w14:paraId="558E1D19" w14:textId="77777777" w:rsidR="00494A83" w:rsidRPr="009F7B51" w:rsidRDefault="00494A83" w:rsidP="009C77AB">
      <w:pPr>
        <w:pStyle w:val="BodyText"/>
        <w:numPr>
          <w:ilvl w:val="0"/>
          <w:numId w:val="13"/>
        </w:numPr>
        <w:spacing w:before="240" w:after="0" w:line="240" w:lineRule="auto"/>
        <w:contextualSpacing/>
        <w:jc w:val="both"/>
        <w:rPr>
          <w:rFonts w:asciiTheme="minorHAnsi" w:hAnsiTheme="minorHAnsi"/>
          <w:sz w:val="24"/>
          <w:szCs w:val="22"/>
        </w:rPr>
      </w:pPr>
      <w:r w:rsidRPr="009F7B51">
        <w:rPr>
          <w:rFonts w:asciiTheme="minorHAnsi" w:hAnsiTheme="minorHAnsi"/>
          <w:sz w:val="24"/>
          <w:szCs w:val="22"/>
        </w:rPr>
        <w:t>0..* as contains zero or more</w:t>
      </w:r>
    </w:p>
    <w:p w14:paraId="47FF35ED" w14:textId="4C5E729E" w:rsidR="00494A83" w:rsidRPr="009F7B51" w:rsidRDefault="00494A83" w:rsidP="0068617C">
      <w:pPr>
        <w:pStyle w:val="BodyText"/>
        <w:spacing w:before="240" w:after="0" w:line="240" w:lineRule="auto"/>
        <w:ind w:left="360"/>
        <w:jc w:val="both"/>
        <w:rPr>
          <w:rFonts w:asciiTheme="minorHAnsi" w:hAnsiTheme="minorHAnsi"/>
          <w:sz w:val="24"/>
          <w:szCs w:val="22"/>
        </w:rPr>
      </w:pPr>
      <w:r w:rsidRPr="009F7B51">
        <w:rPr>
          <w:rFonts w:asciiTheme="minorHAnsi" w:hAnsiTheme="minorHAnsi"/>
          <w:sz w:val="24"/>
          <w:szCs w:val="22"/>
        </w:rPr>
        <w:lastRenderedPageBreak/>
        <w:t>Each constraint is uniquely identified by a conformance identifier placed at or near the end of the constraint (e.g., "CONF:2218-107").</w:t>
      </w:r>
    </w:p>
    <w:p w14:paraId="24C4A9E1" w14:textId="77777777" w:rsidR="00494A83" w:rsidRDefault="00494A83" w:rsidP="00494A83">
      <w:pPr>
        <w:spacing w:line="240" w:lineRule="auto"/>
        <w:rPr>
          <w:rFonts w:eastAsia="?l?r ??’c"/>
          <w:noProof/>
          <w:sz w:val="20"/>
        </w:rPr>
      </w:pPr>
      <w:bookmarkStart w:id="486" w:name="_Toc362809488"/>
      <w:bookmarkStart w:id="487" w:name="_Toc416094073"/>
      <w:bookmarkStart w:id="488" w:name="_Toc435181173"/>
    </w:p>
    <w:p w14:paraId="27B5DBFB" w14:textId="53E16A20" w:rsidR="00494A83" w:rsidRPr="0068617C" w:rsidRDefault="0068617C" w:rsidP="0068617C">
      <w:pPr>
        <w:pStyle w:val="Heading2nospace"/>
        <w:numPr>
          <w:ilvl w:val="0"/>
          <w:numId w:val="0"/>
        </w:numPr>
        <w:spacing w:line="240" w:lineRule="auto"/>
        <w:rPr>
          <w:rFonts w:asciiTheme="minorHAnsi" w:hAnsiTheme="minorHAnsi"/>
          <w:i w:val="0"/>
        </w:rPr>
      </w:pPr>
      <w:bookmarkStart w:id="489" w:name="_Toc436033862"/>
      <w:bookmarkStart w:id="490" w:name="_Toc435437815"/>
      <w:r>
        <w:rPr>
          <w:rFonts w:asciiTheme="minorHAnsi" w:hAnsiTheme="minorHAnsi"/>
          <w:i w:val="0"/>
        </w:rPr>
        <w:t xml:space="preserve">3.2 </w:t>
      </w:r>
      <w:r w:rsidR="00494A83" w:rsidRPr="0068617C">
        <w:rPr>
          <w:rFonts w:asciiTheme="minorHAnsi" w:hAnsiTheme="minorHAnsi"/>
          <w:i w:val="0"/>
        </w:rPr>
        <w:t>Populating the Public Health Case Report, Release 2 as it relates to the use of Null Values:</w:t>
      </w:r>
      <w:bookmarkEnd w:id="489"/>
    </w:p>
    <w:p w14:paraId="64934C95" w14:textId="77777777" w:rsidR="00686D1B" w:rsidRDefault="00686D1B" w:rsidP="009F7B51">
      <w:pPr>
        <w:pStyle w:val="BodyText"/>
        <w:ind w:left="0"/>
      </w:pPr>
    </w:p>
    <w:p w14:paraId="370C0E74" w14:textId="083F9634" w:rsidR="00686D1B" w:rsidRPr="009F7B51" w:rsidRDefault="00686D1B" w:rsidP="009F7B51">
      <w:pPr>
        <w:pStyle w:val="BodyText"/>
        <w:ind w:left="0"/>
        <w:rPr>
          <w:rFonts w:asciiTheme="minorHAnsi" w:hAnsiTheme="minorHAnsi"/>
          <w:sz w:val="24"/>
        </w:rPr>
      </w:pPr>
      <w:r w:rsidRPr="009F7B51">
        <w:rPr>
          <w:rFonts w:asciiTheme="minorHAnsi" w:hAnsiTheme="minorHAnsi"/>
          <w:sz w:val="24"/>
        </w:rPr>
        <w:t>The constraint of “SHALL” has been applied to the majority of data elements identified in Section 3.4 of this specification.  This allows the eICR to be transmitted with as much information as is known at the time of the triggering event within the encounter. A “@nullFlavor” attribute (such as the most general and default null flavor for no information 'NI') allows the sender to explicitly indicate that the information isn’t known or available.  However, there is a small subset of data elements that the Public Health Agency Information System requires in order to process a case report.  This implementation guide uses “SHALL NOT contain 0..0] @nullFlavor” to indicate nullFlavor is not allowed for these elements.</w:t>
      </w:r>
    </w:p>
    <w:p w14:paraId="06C4EB5A" w14:textId="77777777" w:rsidR="00494A83" w:rsidRPr="009F7B51" w:rsidRDefault="00494A83" w:rsidP="00494A83">
      <w:pPr>
        <w:pStyle w:val="BracketData"/>
        <w:rPr>
          <w:rFonts w:asciiTheme="minorHAnsi" w:hAnsiTheme="minorHAnsi"/>
          <w:sz w:val="24"/>
          <w:szCs w:val="24"/>
          <w:lang w:eastAsia="en-US"/>
        </w:rPr>
      </w:pPr>
    </w:p>
    <w:p w14:paraId="4B8593E4" w14:textId="23E8B511" w:rsidR="00494A83" w:rsidRPr="00051F2A" w:rsidRDefault="00494A83" w:rsidP="0068617C">
      <w:pPr>
        <w:pStyle w:val="BodyText"/>
        <w:ind w:left="0"/>
        <w:rPr>
          <w:rFonts w:asciiTheme="minorHAnsi" w:hAnsiTheme="minorHAnsi"/>
          <w:sz w:val="24"/>
        </w:rPr>
      </w:pPr>
    </w:p>
    <w:p w14:paraId="5747DA51" w14:textId="77777777" w:rsidR="00180455" w:rsidRPr="006D36F1" w:rsidRDefault="008548FE" w:rsidP="0068617C">
      <w:pPr>
        <w:pStyle w:val="BodyText"/>
        <w:ind w:left="0"/>
        <w:rPr>
          <w:rFonts w:asciiTheme="minorHAnsi" w:hAnsiTheme="minorHAnsi"/>
          <w:b/>
          <w:sz w:val="24"/>
        </w:rPr>
      </w:pPr>
      <w:r w:rsidRPr="006D36F1">
        <w:rPr>
          <w:rFonts w:asciiTheme="minorHAnsi" w:hAnsiTheme="minorHAnsi"/>
          <w:b/>
          <w:sz w:val="24"/>
        </w:rPr>
        <w:t xml:space="preserve">3.2.1 </w:t>
      </w:r>
    </w:p>
    <w:p w14:paraId="5E877482" w14:textId="2351458A" w:rsidR="00494A83" w:rsidRPr="0068617C" w:rsidRDefault="00494A83" w:rsidP="0068617C">
      <w:pPr>
        <w:pStyle w:val="BodyText"/>
        <w:ind w:left="0"/>
        <w:rPr>
          <w:rFonts w:asciiTheme="minorHAnsi" w:hAnsiTheme="minorHAnsi"/>
          <w:sz w:val="24"/>
        </w:rPr>
      </w:pPr>
      <w:r w:rsidRPr="0068617C">
        <w:rPr>
          <w:rFonts w:asciiTheme="minorHAnsi" w:hAnsiTheme="minorHAnsi"/>
          <w:sz w:val="24"/>
        </w:rPr>
        <w:t xml:space="preserve">There is a small set of data elements for which a nullFlavor is not allowed. If this information is missing from the </w:t>
      </w:r>
      <w:r w:rsidR="00C712BC">
        <w:rPr>
          <w:rFonts w:asciiTheme="minorHAnsi" w:hAnsiTheme="minorHAnsi"/>
          <w:sz w:val="24"/>
        </w:rPr>
        <w:t xml:space="preserve">eICR </w:t>
      </w:r>
      <w:r w:rsidRPr="0068617C">
        <w:rPr>
          <w:rFonts w:asciiTheme="minorHAnsi" w:hAnsiTheme="minorHAnsi"/>
          <w:sz w:val="24"/>
        </w:rPr>
        <w:t xml:space="preserve">, the </w:t>
      </w:r>
      <w:r w:rsidR="00C712BC">
        <w:rPr>
          <w:rFonts w:asciiTheme="minorHAnsi" w:hAnsiTheme="minorHAnsi"/>
          <w:sz w:val="24"/>
        </w:rPr>
        <w:t>PHA</w:t>
      </w:r>
      <w:r w:rsidRPr="0068617C">
        <w:rPr>
          <w:rFonts w:asciiTheme="minorHAnsi" w:hAnsiTheme="minorHAnsi"/>
          <w:sz w:val="24"/>
        </w:rPr>
        <w:t xml:space="preserve"> </w:t>
      </w:r>
      <w:r w:rsidR="00C712BC">
        <w:rPr>
          <w:rFonts w:asciiTheme="minorHAnsi" w:hAnsiTheme="minorHAnsi"/>
          <w:sz w:val="24"/>
        </w:rPr>
        <w:t>s</w:t>
      </w:r>
      <w:r w:rsidRPr="0068617C">
        <w:rPr>
          <w:rFonts w:asciiTheme="minorHAnsi" w:hAnsiTheme="minorHAnsi"/>
          <w:sz w:val="24"/>
        </w:rPr>
        <w:t xml:space="preserve">ystem cannot accurately process the case report. These data elements are (along with template Conformance identifier): </w:t>
      </w:r>
    </w:p>
    <w:p w14:paraId="0D8D8189" w14:textId="77777777" w:rsidR="00494A83" w:rsidRPr="0068617C" w:rsidRDefault="00494A83" w:rsidP="00494A83">
      <w:pPr>
        <w:pStyle w:val="BodyText"/>
        <w:rPr>
          <w:rFonts w:asciiTheme="minorHAnsi" w:hAnsiTheme="minorHAnsi"/>
          <w:sz w:val="24"/>
        </w:rPr>
      </w:pPr>
    </w:p>
    <w:p w14:paraId="08AF243D" w14:textId="77777777" w:rsidR="00494A83" w:rsidRPr="0068617C" w:rsidRDefault="00494A83" w:rsidP="009C77AB">
      <w:pPr>
        <w:pStyle w:val="BodyText"/>
        <w:numPr>
          <w:ilvl w:val="0"/>
          <w:numId w:val="14"/>
        </w:numPr>
        <w:rPr>
          <w:rFonts w:asciiTheme="minorHAnsi" w:hAnsiTheme="minorHAnsi"/>
          <w:sz w:val="24"/>
        </w:rPr>
      </w:pPr>
      <w:r w:rsidRPr="0068617C">
        <w:rPr>
          <w:rFonts w:asciiTheme="minorHAnsi" w:hAnsiTheme="minorHAnsi"/>
          <w:sz w:val="24"/>
        </w:rPr>
        <w:t>Date of the Report  (CONF:2218-141)</w:t>
      </w:r>
    </w:p>
    <w:p w14:paraId="4C290D46" w14:textId="77777777" w:rsidR="00494A83" w:rsidRPr="0068617C" w:rsidRDefault="00494A83" w:rsidP="009C77AB">
      <w:pPr>
        <w:pStyle w:val="BodyText"/>
        <w:numPr>
          <w:ilvl w:val="0"/>
          <w:numId w:val="14"/>
        </w:numPr>
        <w:rPr>
          <w:rFonts w:asciiTheme="minorHAnsi" w:hAnsiTheme="minorHAnsi"/>
          <w:sz w:val="24"/>
        </w:rPr>
      </w:pPr>
      <w:r w:rsidRPr="0068617C">
        <w:rPr>
          <w:rFonts w:asciiTheme="minorHAnsi" w:hAnsiTheme="minorHAnsi"/>
          <w:sz w:val="24"/>
        </w:rPr>
        <w:t>Facility Type  (CONF:2218-14)</w:t>
      </w:r>
    </w:p>
    <w:p w14:paraId="5DEF0E2B" w14:textId="77777777" w:rsidR="00494A83" w:rsidRPr="0068617C" w:rsidRDefault="00494A83" w:rsidP="009C77AB">
      <w:pPr>
        <w:pStyle w:val="BodyText"/>
        <w:numPr>
          <w:ilvl w:val="0"/>
          <w:numId w:val="14"/>
        </w:numPr>
        <w:rPr>
          <w:rFonts w:asciiTheme="minorHAnsi" w:hAnsiTheme="minorHAnsi"/>
          <w:sz w:val="24"/>
        </w:rPr>
      </w:pPr>
      <w:r w:rsidRPr="0068617C">
        <w:rPr>
          <w:rFonts w:asciiTheme="minorHAnsi" w:hAnsiTheme="minorHAnsi"/>
          <w:sz w:val="24"/>
        </w:rPr>
        <w:t>Visit Date/Time  (CONF:2218-5)</w:t>
      </w:r>
    </w:p>
    <w:p w14:paraId="36FF7C5C" w14:textId="77777777" w:rsidR="00494A83" w:rsidRPr="0068617C" w:rsidRDefault="00494A83" w:rsidP="009C77AB">
      <w:pPr>
        <w:pStyle w:val="BodyText"/>
        <w:numPr>
          <w:ilvl w:val="0"/>
          <w:numId w:val="14"/>
        </w:numPr>
        <w:rPr>
          <w:rFonts w:asciiTheme="minorHAnsi" w:hAnsiTheme="minorHAnsi"/>
          <w:sz w:val="24"/>
        </w:rPr>
      </w:pPr>
      <w:r w:rsidRPr="0068617C">
        <w:rPr>
          <w:rFonts w:asciiTheme="minorHAnsi" w:hAnsiTheme="minorHAnsi"/>
          <w:sz w:val="24"/>
        </w:rPr>
        <w:t>Diagnoses Encounter  (CONF:1198-9058)</w:t>
      </w:r>
    </w:p>
    <w:p w14:paraId="0252AF1D" w14:textId="77777777" w:rsidR="00494A83" w:rsidRPr="0068617C" w:rsidRDefault="00494A83" w:rsidP="00494A83">
      <w:pPr>
        <w:pStyle w:val="BodyText"/>
        <w:rPr>
          <w:rFonts w:asciiTheme="minorHAnsi" w:hAnsiTheme="minorHAnsi"/>
          <w:sz w:val="24"/>
        </w:rPr>
      </w:pPr>
    </w:p>
    <w:p w14:paraId="153FB270" w14:textId="77777777" w:rsidR="00180455" w:rsidRPr="006D36F1" w:rsidRDefault="008548FE" w:rsidP="008A1281">
      <w:pPr>
        <w:pStyle w:val="BodyText"/>
        <w:ind w:left="0"/>
        <w:rPr>
          <w:rFonts w:asciiTheme="minorHAnsi" w:hAnsiTheme="minorHAnsi"/>
          <w:b/>
          <w:sz w:val="24"/>
        </w:rPr>
      </w:pPr>
      <w:r w:rsidRPr="006D36F1">
        <w:rPr>
          <w:rFonts w:asciiTheme="minorHAnsi" w:hAnsiTheme="minorHAnsi"/>
          <w:b/>
          <w:sz w:val="24"/>
        </w:rPr>
        <w:t xml:space="preserve">3.2.2 </w:t>
      </w:r>
    </w:p>
    <w:p w14:paraId="3914AF45" w14:textId="47AD1D3F" w:rsidR="00494A83" w:rsidRPr="0068617C" w:rsidRDefault="00494A83" w:rsidP="008A1281">
      <w:pPr>
        <w:pStyle w:val="BodyText"/>
        <w:ind w:left="0"/>
        <w:rPr>
          <w:rFonts w:asciiTheme="minorHAnsi" w:hAnsiTheme="minorHAnsi"/>
          <w:sz w:val="24"/>
        </w:rPr>
      </w:pPr>
      <w:r w:rsidRPr="0068617C">
        <w:rPr>
          <w:rFonts w:asciiTheme="minorHAnsi" w:hAnsiTheme="minorHAnsi"/>
          <w:sz w:val="24"/>
        </w:rPr>
        <w:t xml:space="preserve">Here, we provide guidance on representing unknown information. Further details can be found in the HL7 V3 Data Types, Release One specification that accompanies the CDA R2 normative standard. </w:t>
      </w:r>
      <w:r w:rsidRPr="0068617C">
        <w:rPr>
          <w:rFonts w:asciiTheme="minorHAnsi" w:hAnsiTheme="minorHAnsi"/>
          <w:b/>
          <w:sz w:val="24"/>
        </w:rPr>
        <w:t>However, it should be noted that the focus of C-CDA is on the unambiguous representation of known data, and that in general, the often subtle nuances of unknown information representation are less relevant to the recipient</w:t>
      </w:r>
      <w:r w:rsidRPr="0068617C">
        <w:rPr>
          <w:rFonts w:asciiTheme="minorHAnsi" w:hAnsiTheme="minorHAnsi"/>
          <w:sz w:val="24"/>
        </w:rPr>
        <w:t xml:space="preserve">. </w:t>
      </w:r>
    </w:p>
    <w:p w14:paraId="6994CBB3" w14:textId="77777777" w:rsidR="00494A83" w:rsidRPr="0068617C" w:rsidRDefault="00494A83" w:rsidP="008A1281">
      <w:pPr>
        <w:pStyle w:val="BodyText"/>
        <w:ind w:left="0"/>
        <w:rPr>
          <w:rFonts w:asciiTheme="minorHAnsi" w:hAnsiTheme="minorHAnsi"/>
          <w:sz w:val="24"/>
        </w:rPr>
      </w:pPr>
      <w:r w:rsidRPr="0068617C">
        <w:rPr>
          <w:rFonts w:asciiTheme="minorHAnsi" w:hAnsiTheme="minorHAnsi"/>
          <w:sz w:val="24"/>
        </w:rPr>
        <w:t xml:space="preserve">Many fields in C-CDA contain a “@nullFlavor” attribute, used to indicate an exceptional value. Some flavors of Null are used to indicate that the known information falls outside of value set binding constraints. Not all uses of the @nullFlavor attribute are associated with a case where information is unknown. Allowable values for populating the attribute give more details about the reason the information is unknown, as shown in the following example. </w:t>
      </w:r>
    </w:p>
    <w:p w14:paraId="0CCBE0A8" w14:textId="77777777" w:rsidR="00494A83" w:rsidRDefault="00494A83" w:rsidP="00494A83">
      <w:pPr>
        <w:pStyle w:val="BodyText"/>
        <w:rPr>
          <w:rFonts w:ascii="Century Gothic" w:hAnsi="Century Gothic"/>
        </w:rPr>
      </w:pPr>
    </w:p>
    <w:p w14:paraId="047643BC" w14:textId="2ED732CB" w:rsidR="00494A83" w:rsidRPr="008A1281" w:rsidRDefault="00494A83" w:rsidP="00494A83">
      <w:pPr>
        <w:pStyle w:val="BodyText"/>
        <w:rPr>
          <w:rFonts w:asciiTheme="minorHAnsi" w:hAnsiTheme="minorHAnsi" w:cs="Courier New"/>
          <w:sz w:val="24"/>
        </w:rPr>
      </w:pPr>
      <w:r w:rsidRPr="008A1281">
        <w:rPr>
          <w:rFonts w:asciiTheme="minorHAnsi" w:hAnsiTheme="minorHAnsi"/>
          <w:sz w:val="24"/>
        </w:rPr>
        <w:t xml:space="preserve">Figure </w:t>
      </w:r>
      <w:r w:rsidR="009F7B51">
        <w:rPr>
          <w:rFonts w:asciiTheme="minorHAnsi" w:hAnsiTheme="minorHAnsi"/>
          <w:sz w:val="24"/>
        </w:rPr>
        <w:t>2</w:t>
      </w:r>
      <w:r w:rsidRPr="008A1281">
        <w:rPr>
          <w:rFonts w:asciiTheme="minorHAnsi" w:hAnsiTheme="minorHAnsi"/>
          <w:sz w:val="24"/>
        </w:rPr>
        <w:t>: nullFlavor Example</w:t>
      </w:r>
    </w:p>
    <w:p w14:paraId="48112756" w14:textId="77777777" w:rsidR="00494A83" w:rsidRPr="008A1281" w:rsidRDefault="00494A83" w:rsidP="00494A83">
      <w:pPr>
        <w:pStyle w:val="xmlexample"/>
        <w:rPr>
          <w:rFonts w:asciiTheme="minorHAnsi" w:hAnsiTheme="minorHAnsi"/>
          <w:sz w:val="20"/>
          <w:szCs w:val="20"/>
        </w:rPr>
      </w:pPr>
      <w:r w:rsidRPr="008A1281">
        <w:rPr>
          <w:rFonts w:asciiTheme="minorHAnsi" w:hAnsiTheme="minorHAnsi"/>
          <w:sz w:val="20"/>
          <w:szCs w:val="20"/>
        </w:rPr>
        <w:lastRenderedPageBreak/>
        <w:t xml:space="preserve">&lt;birthTime nullFlavor=”UNK”/&gt;   &lt;!--Sender does not know the birthTime, but a proper value is applicable --&gt; </w:t>
      </w:r>
    </w:p>
    <w:p w14:paraId="551EF63E" w14:textId="77777777" w:rsidR="00494A83" w:rsidRPr="008A1281" w:rsidRDefault="00494A83" w:rsidP="00494A83">
      <w:pPr>
        <w:pStyle w:val="BodyText"/>
        <w:rPr>
          <w:rFonts w:asciiTheme="minorHAnsi" w:hAnsiTheme="minorHAnsi"/>
          <w:szCs w:val="20"/>
        </w:rPr>
      </w:pPr>
    </w:p>
    <w:p w14:paraId="1FD986DC" w14:textId="77777777" w:rsidR="00494A83" w:rsidRPr="008A1281" w:rsidRDefault="00494A83" w:rsidP="00494A83">
      <w:pPr>
        <w:pStyle w:val="BodyText"/>
        <w:rPr>
          <w:rFonts w:asciiTheme="minorHAnsi" w:hAnsiTheme="minorHAnsi"/>
          <w:sz w:val="24"/>
        </w:rPr>
      </w:pPr>
      <w:r w:rsidRPr="008A1281">
        <w:rPr>
          <w:rFonts w:asciiTheme="minorHAnsi" w:hAnsiTheme="minorHAnsi"/>
          <w:sz w:val="24"/>
        </w:rPr>
        <w:t xml:space="preserve">Use null flavors for unknown, required, or optional attributes: </w:t>
      </w:r>
    </w:p>
    <w:p w14:paraId="771773B2"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NI</w:t>
      </w:r>
      <w:r w:rsidRPr="008A1281">
        <w:rPr>
          <w:rFonts w:asciiTheme="minorHAnsi" w:hAnsiTheme="minorHAnsi"/>
          <w:sz w:val="24"/>
        </w:rPr>
        <w:t xml:space="preserve">   No information. This is the most general and default null flavor. </w:t>
      </w:r>
    </w:p>
    <w:p w14:paraId="59BE6255"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NA</w:t>
      </w:r>
      <w:r w:rsidRPr="008A1281">
        <w:rPr>
          <w:rFonts w:asciiTheme="minorHAnsi" w:hAnsiTheme="minorHAnsi"/>
          <w:sz w:val="24"/>
        </w:rPr>
        <w:t xml:space="preserve">   Not applicable. Known to have no proper value (e.g., last menstrual period for a male). </w:t>
      </w:r>
    </w:p>
    <w:p w14:paraId="77CF3BA8"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UNK</w:t>
      </w:r>
      <w:r w:rsidRPr="008A1281">
        <w:rPr>
          <w:rFonts w:asciiTheme="minorHAnsi" w:hAnsiTheme="minorHAnsi"/>
          <w:sz w:val="24"/>
        </w:rPr>
        <w:t xml:space="preserve">   Unknown. A proper value is applicable, but is not known. </w:t>
      </w:r>
    </w:p>
    <w:p w14:paraId="643081A2"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ASKU</w:t>
      </w:r>
      <w:r w:rsidRPr="008A1281">
        <w:rPr>
          <w:rFonts w:asciiTheme="minorHAnsi" w:hAnsiTheme="minorHAnsi"/>
          <w:sz w:val="24"/>
        </w:rPr>
        <w:t xml:space="preserve">  Asked, but not known. Information was sought, but not found (e.g., the patient was asked but did not know). </w:t>
      </w:r>
    </w:p>
    <w:p w14:paraId="33EA0961"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NAV</w:t>
      </w:r>
      <w:r w:rsidRPr="008A1281">
        <w:rPr>
          <w:rFonts w:asciiTheme="minorHAnsi" w:hAnsiTheme="minorHAnsi"/>
          <w:sz w:val="24"/>
        </w:rPr>
        <w:t xml:space="preserve">   Temporarily unavailable. The information is not available, but is expected to be available later.  </w:t>
      </w:r>
    </w:p>
    <w:p w14:paraId="3476ACCC"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NASK</w:t>
      </w:r>
      <w:r w:rsidRPr="008A1281">
        <w:rPr>
          <w:rFonts w:asciiTheme="minorHAnsi" w:hAnsiTheme="minorHAnsi"/>
          <w:sz w:val="24"/>
        </w:rPr>
        <w:t xml:space="preserve">  Not asked. The patient was not asked. </w:t>
      </w:r>
    </w:p>
    <w:p w14:paraId="47CFF0CA"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MSK</w:t>
      </w:r>
      <w:r w:rsidRPr="008A1281">
        <w:rPr>
          <w:rFonts w:asciiTheme="minorHAnsi" w:hAnsiTheme="minorHAnsi"/>
          <w:sz w:val="24"/>
        </w:rPr>
        <w:t xml:space="preserve">  There is information on this item available but it has not been provided by the sender due to security, privacy, or other reasons. There may be an alternate mechanism for gaining access to this information. </w:t>
      </w:r>
    </w:p>
    <w:p w14:paraId="0F5557B1" w14:textId="77777777" w:rsidR="00494A83" w:rsidRPr="008A1281" w:rsidRDefault="00494A83" w:rsidP="00494A83">
      <w:pPr>
        <w:pStyle w:val="BodyText"/>
        <w:ind w:left="1584"/>
        <w:rPr>
          <w:rFonts w:asciiTheme="minorHAnsi" w:hAnsiTheme="minorHAnsi"/>
          <w:sz w:val="24"/>
        </w:rPr>
      </w:pPr>
      <w:r w:rsidRPr="008A1281">
        <w:rPr>
          <w:rFonts w:asciiTheme="minorHAnsi" w:hAnsiTheme="minorHAnsi"/>
          <w:b/>
          <w:sz w:val="24"/>
        </w:rPr>
        <w:t>OTH</w:t>
      </w:r>
      <w:r w:rsidRPr="008A1281">
        <w:rPr>
          <w:rFonts w:asciiTheme="minorHAnsi" w:hAnsiTheme="minorHAnsi"/>
          <w:sz w:val="24"/>
        </w:rPr>
        <w:t xml:space="preserve">  The actual value is not an element in the value domain of a variable. (e.g., concept not provided by required code system). </w:t>
      </w:r>
    </w:p>
    <w:p w14:paraId="5811E0C4" w14:textId="77777777" w:rsidR="00494A83" w:rsidRPr="008A1281" w:rsidRDefault="00494A83" w:rsidP="00494A83">
      <w:pPr>
        <w:pStyle w:val="BodyText"/>
        <w:rPr>
          <w:rFonts w:asciiTheme="minorHAnsi" w:hAnsiTheme="minorHAnsi"/>
          <w:sz w:val="24"/>
        </w:rPr>
      </w:pPr>
    </w:p>
    <w:p w14:paraId="27CA7938" w14:textId="77777777" w:rsidR="00180455" w:rsidRPr="006D36F1" w:rsidRDefault="008548FE" w:rsidP="0089257F">
      <w:pPr>
        <w:pStyle w:val="BodyText"/>
        <w:ind w:left="0"/>
        <w:rPr>
          <w:rFonts w:asciiTheme="minorHAnsi" w:hAnsiTheme="minorHAnsi"/>
          <w:b/>
          <w:sz w:val="24"/>
        </w:rPr>
      </w:pPr>
      <w:r w:rsidRPr="006D36F1">
        <w:rPr>
          <w:rFonts w:asciiTheme="minorHAnsi" w:hAnsiTheme="minorHAnsi"/>
          <w:b/>
          <w:sz w:val="24"/>
        </w:rPr>
        <w:t xml:space="preserve">3.2.3 </w:t>
      </w:r>
    </w:p>
    <w:p w14:paraId="40E89346" w14:textId="1D991823" w:rsidR="00494A83" w:rsidRPr="008A1281" w:rsidRDefault="00494A83" w:rsidP="0089257F">
      <w:pPr>
        <w:pStyle w:val="BodyText"/>
        <w:ind w:left="0"/>
        <w:rPr>
          <w:rFonts w:asciiTheme="minorHAnsi" w:hAnsiTheme="minorHAnsi"/>
          <w:sz w:val="24"/>
        </w:rPr>
      </w:pPr>
      <w:r w:rsidRPr="008A1281">
        <w:rPr>
          <w:rFonts w:asciiTheme="minorHAnsi" w:hAnsiTheme="minorHAnsi"/>
          <w:sz w:val="24"/>
        </w:rPr>
        <w:t xml:space="preserve">The list above contains those null flavors that are commonly used in clinical documents. For the full list and descriptions, see the nullFlavor vocabulary domain in the CDA normative edition.  Any </w:t>
      </w:r>
      <w:r w:rsidRPr="008A1281">
        <w:rPr>
          <w:rFonts w:asciiTheme="minorHAnsi" w:hAnsiTheme="minorHAnsi"/>
          <w:b/>
          <w:sz w:val="24"/>
        </w:rPr>
        <w:t>SHALL</w:t>
      </w:r>
      <w:r w:rsidRPr="008A1281">
        <w:rPr>
          <w:rFonts w:asciiTheme="minorHAnsi" w:hAnsiTheme="minorHAnsi"/>
          <w:sz w:val="24"/>
        </w:rPr>
        <w:t xml:space="preserve">, </w:t>
      </w:r>
      <w:r w:rsidRPr="008A1281">
        <w:rPr>
          <w:rFonts w:asciiTheme="minorHAnsi" w:hAnsiTheme="minorHAnsi"/>
          <w:b/>
          <w:sz w:val="24"/>
        </w:rPr>
        <w:t>SHOULD</w:t>
      </w:r>
      <w:r w:rsidRPr="008A1281">
        <w:rPr>
          <w:rFonts w:asciiTheme="minorHAnsi" w:hAnsiTheme="minorHAnsi"/>
          <w:sz w:val="24"/>
        </w:rPr>
        <w:t xml:space="preserve"> and </w:t>
      </w:r>
      <w:r w:rsidRPr="008A1281">
        <w:rPr>
          <w:rFonts w:asciiTheme="minorHAnsi" w:hAnsiTheme="minorHAnsi"/>
          <w:b/>
          <w:sz w:val="24"/>
        </w:rPr>
        <w:t>MAY</w:t>
      </w:r>
      <w:r w:rsidRPr="008A1281">
        <w:rPr>
          <w:rFonts w:asciiTheme="minorHAnsi" w:hAnsiTheme="minorHAnsi"/>
          <w:sz w:val="24"/>
        </w:rPr>
        <w:t xml:space="preserve"> conformance statement may use nullFlavor, unless the nullFlavor is explicitly disallowed (e.g., through another conformance statement which includes a </w:t>
      </w:r>
      <w:r w:rsidRPr="008A1281">
        <w:rPr>
          <w:rFonts w:asciiTheme="minorHAnsi" w:hAnsiTheme="minorHAnsi"/>
          <w:b/>
          <w:sz w:val="24"/>
        </w:rPr>
        <w:t>SHALL</w:t>
      </w:r>
      <w:r w:rsidRPr="008A1281">
        <w:rPr>
          <w:rFonts w:asciiTheme="minorHAnsi" w:hAnsiTheme="minorHAnsi"/>
          <w:sz w:val="24"/>
        </w:rPr>
        <w:t xml:space="preserve"> conformance for a vocabulary binding to the @code attribute, or through an explicit </w:t>
      </w:r>
      <w:r w:rsidRPr="008A1281">
        <w:rPr>
          <w:rFonts w:asciiTheme="minorHAnsi" w:hAnsiTheme="minorHAnsi"/>
          <w:b/>
          <w:sz w:val="24"/>
        </w:rPr>
        <w:t>SHALL NOT</w:t>
      </w:r>
      <w:r w:rsidRPr="008A1281">
        <w:rPr>
          <w:rFonts w:asciiTheme="minorHAnsi" w:hAnsiTheme="minorHAnsi"/>
          <w:sz w:val="24"/>
        </w:rPr>
        <w:t xml:space="preserve"> allow use of nullFlavor conformance).</w:t>
      </w:r>
    </w:p>
    <w:p w14:paraId="3566B6A1" w14:textId="10C45729" w:rsidR="00494A83" w:rsidRPr="008A1281" w:rsidRDefault="00494A83" w:rsidP="00494A83">
      <w:pPr>
        <w:pStyle w:val="BodyText"/>
        <w:rPr>
          <w:rFonts w:asciiTheme="minorHAnsi" w:hAnsiTheme="minorHAnsi"/>
          <w:sz w:val="24"/>
        </w:rPr>
      </w:pPr>
      <w:r w:rsidRPr="008A1281">
        <w:rPr>
          <w:rFonts w:asciiTheme="minorHAnsi" w:hAnsiTheme="minorHAnsi"/>
          <w:sz w:val="24"/>
        </w:rPr>
        <w:t xml:space="preserve">Figure </w:t>
      </w:r>
      <w:r w:rsidR="009F7B51">
        <w:rPr>
          <w:rFonts w:asciiTheme="minorHAnsi" w:hAnsiTheme="minorHAnsi"/>
          <w:sz w:val="24"/>
        </w:rPr>
        <w:t>3</w:t>
      </w:r>
      <w:r w:rsidRPr="008A1281">
        <w:rPr>
          <w:rFonts w:asciiTheme="minorHAnsi" w:hAnsiTheme="minorHAnsi"/>
          <w:sz w:val="24"/>
        </w:rPr>
        <w:t xml:space="preserve">: Attribute Required (nullFlavor not allowed) </w:t>
      </w:r>
    </w:p>
    <w:p w14:paraId="4078FBEE" w14:textId="0ADE9A59" w:rsidR="00494A83" w:rsidRPr="008A1281" w:rsidRDefault="00494A83" w:rsidP="00494A83">
      <w:pPr>
        <w:pStyle w:val="xmlexample"/>
        <w:rPr>
          <w:rFonts w:asciiTheme="minorHAnsi" w:hAnsiTheme="minorHAnsi" w:cs="Times New Roman"/>
          <w:sz w:val="20"/>
          <w:szCs w:val="20"/>
        </w:rPr>
      </w:pPr>
      <w:r w:rsidRPr="008A1281">
        <w:rPr>
          <w:rFonts w:asciiTheme="minorHAnsi" w:hAnsiTheme="minorHAnsi" w:cs="Times New Roman"/>
          <w:sz w:val="20"/>
          <w:szCs w:val="20"/>
        </w:rPr>
        <w:t xml:space="preserve">1. </w:t>
      </w:r>
      <w:r w:rsidRPr="008A1281">
        <w:rPr>
          <w:rFonts w:asciiTheme="minorHAnsi" w:hAnsiTheme="minorHAnsi" w:cs="Times New Roman"/>
          <w:b/>
          <w:sz w:val="20"/>
          <w:szCs w:val="20"/>
        </w:rPr>
        <w:t xml:space="preserve">SHALL </w:t>
      </w:r>
      <w:r w:rsidRPr="008A1281">
        <w:rPr>
          <w:rFonts w:asciiTheme="minorHAnsi" w:hAnsiTheme="minorHAnsi" w:cs="Times New Roman"/>
          <w:sz w:val="20"/>
          <w:szCs w:val="20"/>
        </w:rPr>
        <w:t xml:space="preserve">contain exactly one [1..1]  code (CONF:15407). </w:t>
      </w:r>
    </w:p>
    <w:p w14:paraId="7C65B133" w14:textId="0EA5D4BA" w:rsidR="00494A83" w:rsidRPr="008A1281" w:rsidRDefault="006D36F1" w:rsidP="00494A83">
      <w:pPr>
        <w:pStyle w:val="xmlexample"/>
        <w:ind w:firstLine="144"/>
        <w:jc w:val="both"/>
        <w:rPr>
          <w:rFonts w:asciiTheme="minorHAnsi" w:hAnsiTheme="minorHAnsi" w:cs="Times New Roman"/>
          <w:sz w:val="20"/>
          <w:szCs w:val="20"/>
        </w:rPr>
      </w:pPr>
      <w:r>
        <w:rPr>
          <w:rFonts w:asciiTheme="minorHAnsi" w:hAnsiTheme="minorHAnsi" w:cs="Times New Roman"/>
          <w:sz w:val="20"/>
          <w:szCs w:val="20"/>
        </w:rPr>
        <w:t xml:space="preserve">a. This </w:t>
      </w:r>
      <w:r w:rsidR="00494A83" w:rsidRPr="008A1281">
        <w:rPr>
          <w:rFonts w:asciiTheme="minorHAnsi" w:hAnsiTheme="minorHAnsi" w:cs="Times New Roman"/>
          <w:sz w:val="20"/>
          <w:szCs w:val="20"/>
        </w:rPr>
        <w:t xml:space="preserve">code </w:t>
      </w:r>
      <w:r w:rsidR="00494A83" w:rsidRPr="008A1281">
        <w:rPr>
          <w:rFonts w:asciiTheme="minorHAnsi" w:hAnsiTheme="minorHAnsi" w:cs="Times New Roman"/>
          <w:b/>
          <w:sz w:val="20"/>
          <w:szCs w:val="20"/>
        </w:rPr>
        <w:t>SHALL</w:t>
      </w:r>
      <w:r w:rsidR="00133BB0">
        <w:rPr>
          <w:rFonts w:asciiTheme="minorHAnsi" w:hAnsiTheme="minorHAnsi" w:cs="Times New Roman"/>
          <w:b/>
          <w:sz w:val="20"/>
          <w:szCs w:val="20"/>
        </w:rPr>
        <w:t xml:space="preserve"> </w:t>
      </w:r>
      <w:r w:rsidR="00494A83" w:rsidRPr="008A1281">
        <w:rPr>
          <w:rFonts w:asciiTheme="minorHAnsi" w:hAnsiTheme="minorHAnsi" w:cs="Times New Roman"/>
          <w:sz w:val="20"/>
          <w:szCs w:val="20"/>
        </w:rPr>
        <w:t xml:space="preserve">contain exactly one [1..1]  @code="11450-4" Problem List (CodeSystem: LOINC           2.16.840.1.113883.6.1) (CONF:15408). </w:t>
      </w:r>
    </w:p>
    <w:p w14:paraId="644BE644" w14:textId="77777777" w:rsidR="00494A83" w:rsidRPr="008A1281" w:rsidRDefault="00494A83" w:rsidP="00494A83">
      <w:pPr>
        <w:pStyle w:val="xmlexample"/>
        <w:rPr>
          <w:rFonts w:asciiTheme="minorHAnsi" w:hAnsiTheme="minorHAnsi" w:cs="Times New Roman"/>
          <w:sz w:val="20"/>
          <w:szCs w:val="20"/>
        </w:rPr>
      </w:pPr>
      <w:r w:rsidRPr="008A1281">
        <w:rPr>
          <w:rFonts w:asciiTheme="minorHAnsi" w:hAnsiTheme="minorHAnsi" w:cs="Times New Roman"/>
          <w:sz w:val="20"/>
          <w:szCs w:val="20"/>
        </w:rPr>
        <w:t xml:space="preserve">or </w:t>
      </w:r>
    </w:p>
    <w:p w14:paraId="4ECD988B" w14:textId="18D3F358" w:rsidR="00494A83" w:rsidRPr="008A1281" w:rsidRDefault="00494A83" w:rsidP="00494A83">
      <w:pPr>
        <w:pStyle w:val="xmlexample"/>
        <w:rPr>
          <w:rFonts w:asciiTheme="minorHAnsi" w:hAnsiTheme="minorHAnsi" w:cs="Times New Roman"/>
          <w:sz w:val="20"/>
          <w:szCs w:val="20"/>
        </w:rPr>
      </w:pPr>
      <w:r w:rsidRPr="008A1281">
        <w:rPr>
          <w:rFonts w:asciiTheme="minorHAnsi" w:hAnsiTheme="minorHAnsi" w:cs="Times New Roman"/>
          <w:sz w:val="20"/>
          <w:szCs w:val="20"/>
        </w:rPr>
        <w:t>2. SHALL contain exactly one [1..1] effectiveTime/@value (CONF:5256).</w:t>
      </w:r>
    </w:p>
    <w:p w14:paraId="4061DE2B" w14:textId="77777777" w:rsidR="00494A83" w:rsidRDefault="00494A83" w:rsidP="00494A83">
      <w:pPr>
        <w:pStyle w:val="BodyText"/>
        <w:rPr>
          <w:rFonts w:ascii="Century Gothic" w:hAnsi="Century Gothic"/>
        </w:rPr>
      </w:pPr>
    </w:p>
    <w:p w14:paraId="0594F104" w14:textId="57508953" w:rsidR="00494A83" w:rsidRPr="008A1281" w:rsidRDefault="00494A83" w:rsidP="00494A83">
      <w:pPr>
        <w:pStyle w:val="BodyText"/>
        <w:rPr>
          <w:rFonts w:asciiTheme="minorHAnsi" w:hAnsiTheme="minorHAnsi"/>
          <w:sz w:val="24"/>
        </w:rPr>
      </w:pPr>
      <w:r w:rsidRPr="008A1281">
        <w:rPr>
          <w:rFonts w:asciiTheme="minorHAnsi" w:hAnsiTheme="minorHAnsi"/>
          <w:sz w:val="24"/>
        </w:rPr>
        <w:t xml:space="preserve">Figure </w:t>
      </w:r>
      <w:r w:rsidR="009F7B51">
        <w:rPr>
          <w:rFonts w:asciiTheme="minorHAnsi" w:hAnsiTheme="minorHAnsi"/>
          <w:sz w:val="24"/>
        </w:rPr>
        <w:t>4</w:t>
      </w:r>
      <w:r w:rsidRPr="008A1281">
        <w:rPr>
          <w:rFonts w:asciiTheme="minorHAnsi" w:hAnsiTheme="minorHAnsi"/>
          <w:sz w:val="24"/>
        </w:rPr>
        <w:t>: Allowed nullFlavors When Element is Required (with xml examples)</w:t>
      </w:r>
    </w:p>
    <w:p w14:paraId="3DEECE51" w14:textId="0C161B00" w:rsidR="00494A83" w:rsidRPr="0089257F" w:rsidRDefault="00494A83" w:rsidP="00494A83">
      <w:pPr>
        <w:pStyle w:val="xmlexample"/>
        <w:rPr>
          <w:rFonts w:asciiTheme="minorHAnsi" w:hAnsiTheme="minorHAnsi" w:cs="Times New Roman"/>
          <w:sz w:val="20"/>
          <w:szCs w:val="20"/>
        </w:rPr>
      </w:pPr>
      <w:r w:rsidRPr="00152841">
        <w:rPr>
          <w:rFonts w:ascii="Times New Roman" w:hAnsi="Times New Roman" w:cs="Times New Roman"/>
        </w:rPr>
        <w:t>1</w:t>
      </w:r>
      <w:r w:rsidRPr="0089257F">
        <w:rPr>
          <w:rFonts w:asciiTheme="minorHAnsi" w:hAnsiTheme="minorHAnsi" w:cs="Times New Roman"/>
          <w:sz w:val="20"/>
          <w:szCs w:val="20"/>
        </w:rPr>
        <w:t xml:space="preserve">. </w:t>
      </w:r>
      <w:r w:rsidRPr="0089257F">
        <w:rPr>
          <w:rFonts w:asciiTheme="minorHAnsi" w:hAnsiTheme="minorHAnsi" w:cs="Times New Roman"/>
          <w:b/>
          <w:sz w:val="20"/>
          <w:szCs w:val="20"/>
        </w:rPr>
        <w:t>SHALL</w:t>
      </w:r>
      <w:r w:rsidRPr="0089257F">
        <w:rPr>
          <w:rFonts w:asciiTheme="minorHAnsi" w:hAnsiTheme="minorHAnsi" w:cs="Times New Roman"/>
          <w:sz w:val="20"/>
          <w:szCs w:val="20"/>
        </w:rPr>
        <w:t xml:space="preserve"> contain at least one [1..*] id </w:t>
      </w:r>
    </w:p>
    <w:p w14:paraId="0D6DC52F" w14:textId="47168F37" w:rsidR="00494A83" w:rsidRPr="0089257F" w:rsidRDefault="00494A83" w:rsidP="00494A83">
      <w:pPr>
        <w:pStyle w:val="xmlexample"/>
        <w:rPr>
          <w:rFonts w:asciiTheme="minorHAnsi" w:hAnsiTheme="minorHAnsi" w:cs="Times New Roman"/>
          <w:sz w:val="20"/>
          <w:szCs w:val="20"/>
        </w:rPr>
      </w:pPr>
      <w:r w:rsidRPr="0089257F">
        <w:rPr>
          <w:rFonts w:asciiTheme="minorHAnsi" w:hAnsiTheme="minorHAnsi" w:cs="Times New Roman"/>
          <w:sz w:val="20"/>
          <w:szCs w:val="20"/>
        </w:rPr>
        <w:t xml:space="preserve">2. </w:t>
      </w:r>
      <w:r w:rsidRPr="0089257F">
        <w:rPr>
          <w:rFonts w:asciiTheme="minorHAnsi" w:hAnsiTheme="minorHAnsi" w:cs="Times New Roman"/>
          <w:b/>
          <w:sz w:val="20"/>
          <w:szCs w:val="20"/>
        </w:rPr>
        <w:t>SHALL</w:t>
      </w:r>
      <w:r w:rsidRPr="0089257F">
        <w:rPr>
          <w:rFonts w:asciiTheme="minorHAnsi" w:hAnsiTheme="minorHAnsi" w:cs="Times New Roman"/>
          <w:sz w:val="20"/>
          <w:szCs w:val="20"/>
        </w:rPr>
        <w:t xml:space="preserve"> contain exactly one [1..1] code </w:t>
      </w:r>
    </w:p>
    <w:p w14:paraId="473241B0" w14:textId="4780FE02" w:rsidR="00494A83" w:rsidRPr="0089257F" w:rsidRDefault="00494A83" w:rsidP="00494A83">
      <w:pPr>
        <w:pStyle w:val="xmlexample"/>
        <w:rPr>
          <w:rFonts w:asciiTheme="minorHAnsi" w:hAnsiTheme="minorHAnsi" w:cs="Times New Roman"/>
          <w:sz w:val="20"/>
          <w:szCs w:val="20"/>
        </w:rPr>
      </w:pPr>
      <w:r w:rsidRPr="0089257F">
        <w:rPr>
          <w:rFonts w:asciiTheme="minorHAnsi" w:hAnsiTheme="minorHAnsi" w:cs="Times New Roman"/>
          <w:sz w:val="20"/>
          <w:szCs w:val="20"/>
        </w:rPr>
        <w:t xml:space="preserve">3. </w:t>
      </w:r>
      <w:r w:rsidRPr="0089257F">
        <w:rPr>
          <w:rFonts w:asciiTheme="minorHAnsi" w:hAnsiTheme="minorHAnsi" w:cs="Times New Roman"/>
          <w:b/>
          <w:sz w:val="20"/>
          <w:szCs w:val="20"/>
        </w:rPr>
        <w:t>SHALL</w:t>
      </w:r>
      <w:r w:rsidRPr="0089257F">
        <w:rPr>
          <w:rFonts w:asciiTheme="minorHAnsi" w:hAnsiTheme="minorHAnsi" w:cs="Times New Roman"/>
          <w:sz w:val="20"/>
          <w:szCs w:val="20"/>
        </w:rPr>
        <w:t xml:space="preserve"> contain exactly one [1..1] effectiveTime </w:t>
      </w:r>
    </w:p>
    <w:p w14:paraId="6E0EDDD1" w14:textId="77777777" w:rsidR="00494A83" w:rsidRPr="0089257F" w:rsidRDefault="00494A83" w:rsidP="00494A83">
      <w:pPr>
        <w:pStyle w:val="xmlexample"/>
        <w:rPr>
          <w:rFonts w:asciiTheme="minorHAnsi" w:hAnsiTheme="minorHAnsi"/>
          <w:sz w:val="20"/>
          <w:szCs w:val="20"/>
        </w:rPr>
      </w:pPr>
    </w:p>
    <w:p w14:paraId="4B6095CF"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&lt;entry&gt; </w:t>
      </w:r>
    </w:p>
    <w:p w14:paraId="535FFBD7"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&lt;observation classCode="OBS" moodCode="EVN"&gt; </w:t>
      </w:r>
    </w:p>
    <w:p w14:paraId="244D588D"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&lt;id nullFlavor="NI"/&gt; </w:t>
      </w:r>
    </w:p>
    <w:p w14:paraId="464ACCD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&lt;code nullFlavor="OTH"&gt; </w:t>
      </w:r>
    </w:p>
    <w:p w14:paraId="3EA18071"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lastRenderedPageBreak/>
        <w:t xml:space="preserve">                &lt;originalText&gt;New Grading system&lt;/originalText&gt; </w:t>
      </w:r>
    </w:p>
    <w:p w14:paraId="54C94032"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&lt;/code&gt; </w:t>
      </w:r>
    </w:p>
    <w:p w14:paraId="47B0B380"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&lt;statusCode code="completed"/&gt; </w:t>
      </w:r>
    </w:p>
    <w:p w14:paraId="60E32092"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&lt;effectiveTime nullFlavor="UNK"/&gt; </w:t>
      </w:r>
    </w:p>
    <w:p w14:paraId="0465708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&lt;value xsi:type="CD" nullFlavor="OTH"&gt; </w:t>
      </w:r>
    </w:p>
    <w:p w14:paraId="429AF60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&lt;originalText&gt;Spiculated mass grade 5&lt;/originalText&gt; </w:t>
      </w:r>
    </w:p>
    <w:p w14:paraId="4DDD8EEF"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&lt;/value&gt; </w:t>
      </w:r>
    </w:p>
    <w:p w14:paraId="47C15498"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&lt;/observation&gt; </w:t>
      </w:r>
    </w:p>
    <w:p w14:paraId="5ED72907"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&lt;/entry&gt;</w:t>
      </w:r>
    </w:p>
    <w:p w14:paraId="7F4DDB43" w14:textId="77777777" w:rsidR="00494A83" w:rsidRPr="0089257F" w:rsidRDefault="00494A83" w:rsidP="00494A83">
      <w:pPr>
        <w:pStyle w:val="xmlexample"/>
        <w:rPr>
          <w:rFonts w:asciiTheme="minorHAnsi" w:hAnsiTheme="minorHAnsi"/>
          <w:sz w:val="20"/>
          <w:szCs w:val="20"/>
        </w:rPr>
      </w:pPr>
    </w:p>
    <w:p w14:paraId="68E1A4DB" w14:textId="77777777" w:rsidR="00494A83" w:rsidRDefault="00494A83" w:rsidP="00494A83">
      <w:pPr>
        <w:pStyle w:val="BodyText"/>
        <w:rPr>
          <w:rFonts w:ascii="Century Gothic" w:hAnsi="Century Gothic"/>
        </w:rPr>
      </w:pPr>
    </w:p>
    <w:p w14:paraId="337E47CA" w14:textId="47B10F4A" w:rsidR="00494A83" w:rsidRPr="0089257F" w:rsidRDefault="00494A83" w:rsidP="00494A83">
      <w:pPr>
        <w:pStyle w:val="BodyText"/>
        <w:rPr>
          <w:rFonts w:asciiTheme="minorHAnsi" w:hAnsiTheme="minorHAnsi"/>
          <w:sz w:val="24"/>
        </w:rPr>
      </w:pPr>
      <w:r w:rsidRPr="0089257F">
        <w:rPr>
          <w:rFonts w:asciiTheme="minorHAnsi" w:hAnsiTheme="minorHAnsi"/>
          <w:sz w:val="24"/>
        </w:rPr>
        <w:t xml:space="preserve">Figure </w:t>
      </w:r>
      <w:r w:rsidR="009F7B51">
        <w:rPr>
          <w:rFonts w:asciiTheme="minorHAnsi" w:hAnsiTheme="minorHAnsi"/>
          <w:sz w:val="24"/>
        </w:rPr>
        <w:t>5</w:t>
      </w:r>
      <w:r w:rsidRPr="0089257F">
        <w:rPr>
          <w:rFonts w:asciiTheme="minorHAnsi" w:hAnsiTheme="minorHAnsi"/>
          <w:sz w:val="24"/>
        </w:rPr>
        <w:t>: nullFlavor Not Allowed on Element (with XML example)</w:t>
      </w:r>
    </w:p>
    <w:p w14:paraId="0E94EF3F" w14:textId="6EA4776D" w:rsidR="00494A83" w:rsidRPr="0089257F" w:rsidRDefault="00494A83" w:rsidP="00494A83">
      <w:pPr>
        <w:pStyle w:val="xmlexample"/>
        <w:rPr>
          <w:rFonts w:asciiTheme="minorHAnsi" w:hAnsiTheme="minorHAnsi" w:cs="Times New Roman"/>
          <w:sz w:val="20"/>
          <w:szCs w:val="20"/>
        </w:rPr>
      </w:pPr>
      <w:r w:rsidRPr="0089257F">
        <w:rPr>
          <w:rFonts w:asciiTheme="minorHAnsi" w:hAnsiTheme="minorHAnsi" w:cs="Times New Roman"/>
          <w:sz w:val="20"/>
          <w:szCs w:val="20"/>
        </w:rPr>
        <w:t xml:space="preserve">1. </w:t>
      </w:r>
      <w:r w:rsidRPr="0089257F">
        <w:rPr>
          <w:rFonts w:asciiTheme="minorHAnsi" w:hAnsiTheme="minorHAnsi" w:cs="Times New Roman"/>
          <w:b/>
          <w:sz w:val="20"/>
          <w:szCs w:val="20"/>
        </w:rPr>
        <w:t>SHALL</w:t>
      </w:r>
      <w:r w:rsidRPr="0089257F">
        <w:rPr>
          <w:rFonts w:asciiTheme="minorHAnsi" w:hAnsiTheme="minorHAnsi" w:cs="Times New Roman"/>
          <w:sz w:val="20"/>
          <w:szCs w:val="20"/>
        </w:rPr>
        <w:t xml:space="preserve"> contain exactly one [1..1] targetSiteCode (CONF:11</w:t>
      </w:r>
      <w:r w:rsidR="00225F34">
        <w:rPr>
          <w:rFonts w:asciiTheme="minorHAnsi" w:hAnsiTheme="minorHAnsi" w:cs="Times New Roman"/>
          <w:sz w:val="20"/>
          <w:szCs w:val="20"/>
        </w:rPr>
        <w:t>69</w:t>
      </w:r>
      <w:r w:rsidRPr="0089257F">
        <w:rPr>
          <w:rFonts w:asciiTheme="minorHAnsi" w:hAnsiTheme="minorHAnsi" w:cs="Times New Roman"/>
          <w:sz w:val="20"/>
          <w:szCs w:val="20"/>
        </w:rPr>
        <w:t xml:space="preserve">-32487) </w:t>
      </w:r>
    </w:p>
    <w:p w14:paraId="30142387" w14:textId="749B9865" w:rsidR="00225F34" w:rsidRDefault="00494A83" w:rsidP="00225F34">
      <w:pPr>
        <w:pStyle w:val="xmlexample"/>
        <w:numPr>
          <w:ilvl w:val="0"/>
          <w:numId w:val="30"/>
        </w:numPr>
        <w:rPr>
          <w:rFonts w:asciiTheme="minorHAnsi" w:hAnsiTheme="minorHAnsi" w:cs="Times New Roman"/>
          <w:sz w:val="20"/>
          <w:szCs w:val="20"/>
        </w:rPr>
      </w:pPr>
      <w:r w:rsidRPr="0089257F">
        <w:rPr>
          <w:rFonts w:asciiTheme="minorHAnsi" w:hAnsiTheme="minorHAnsi" w:cs="Times New Roman"/>
          <w:sz w:val="20"/>
          <w:szCs w:val="20"/>
        </w:rPr>
        <w:t xml:space="preserve">This targetSiteCode </w:t>
      </w:r>
      <w:r w:rsidRPr="0089257F">
        <w:rPr>
          <w:rFonts w:asciiTheme="minorHAnsi" w:hAnsiTheme="minorHAnsi" w:cs="Times New Roman"/>
          <w:b/>
          <w:sz w:val="20"/>
          <w:szCs w:val="20"/>
        </w:rPr>
        <w:t xml:space="preserve">SHALL </w:t>
      </w:r>
      <w:r w:rsidRPr="0089257F">
        <w:rPr>
          <w:rFonts w:asciiTheme="minorHAnsi" w:hAnsiTheme="minorHAnsi" w:cs="Times New Roman"/>
          <w:sz w:val="20"/>
          <w:szCs w:val="20"/>
        </w:rPr>
        <w:t xml:space="preserve">contain </w:t>
      </w:r>
      <w:r w:rsidR="00225F34">
        <w:rPr>
          <w:rFonts w:asciiTheme="minorHAnsi" w:hAnsiTheme="minorHAnsi" w:cs="Times New Roman"/>
          <w:sz w:val="20"/>
          <w:szCs w:val="20"/>
        </w:rPr>
        <w:t xml:space="preserve">exactly one </w:t>
      </w:r>
      <w:r w:rsidRPr="0089257F">
        <w:rPr>
          <w:rFonts w:asciiTheme="minorHAnsi" w:hAnsiTheme="minorHAnsi" w:cs="Times New Roman"/>
          <w:sz w:val="20"/>
          <w:szCs w:val="20"/>
        </w:rPr>
        <w:t>[</w:t>
      </w:r>
      <w:r w:rsidR="00225F34">
        <w:rPr>
          <w:rFonts w:asciiTheme="minorHAnsi" w:hAnsiTheme="minorHAnsi" w:cs="Times New Roman"/>
          <w:sz w:val="20"/>
          <w:szCs w:val="20"/>
        </w:rPr>
        <w:t>1</w:t>
      </w:r>
      <w:r w:rsidRPr="0089257F">
        <w:rPr>
          <w:rFonts w:asciiTheme="minorHAnsi" w:hAnsiTheme="minorHAnsi" w:cs="Times New Roman"/>
          <w:sz w:val="20"/>
          <w:szCs w:val="20"/>
        </w:rPr>
        <w:t>..</w:t>
      </w:r>
      <w:r w:rsidR="00225F34">
        <w:rPr>
          <w:rFonts w:asciiTheme="minorHAnsi" w:hAnsiTheme="minorHAnsi" w:cs="Times New Roman"/>
          <w:sz w:val="20"/>
          <w:szCs w:val="20"/>
        </w:rPr>
        <w:t>1</w:t>
      </w:r>
      <w:r w:rsidRPr="0089257F">
        <w:rPr>
          <w:rFonts w:asciiTheme="minorHAnsi" w:hAnsiTheme="minorHAnsi" w:cs="Times New Roman"/>
          <w:sz w:val="20"/>
          <w:szCs w:val="20"/>
        </w:rPr>
        <w:t>] @</w:t>
      </w:r>
      <w:r w:rsidR="00225F34">
        <w:rPr>
          <w:rFonts w:asciiTheme="minorHAnsi" w:hAnsiTheme="minorHAnsi" w:cs="Times New Roman"/>
          <w:sz w:val="20"/>
          <w:szCs w:val="20"/>
        </w:rPr>
        <w:t>code (CONF:1169-32488)</w:t>
      </w:r>
      <w:hyperlink w:history="1"/>
    </w:p>
    <w:p w14:paraId="73A13F4D" w14:textId="338DEADB" w:rsidR="00494A83" w:rsidRPr="0089257F" w:rsidRDefault="00225F34" w:rsidP="00225F34">
      <w:pPr>
        <w:pStyle w:val="xmlexample"/>
        <w:numPr>
          <w:ilvl w:val="0"/>
          <w:numId w:val="30"/>
        </w:numPr>
        <w:rPr>
          <w:rFonts w:asciiTheme="minorHAnsi" w:hAnsiTheme="minorHAnsi" w:cs="Times New Roman"/>
          <w:sz w:val="20"/>
          <w:szCs w:val="20"/>
        </w:rPr>
      </w:pPr>
      <w:r>
        <w:rPr>
          <w:rFonts w:asciiTheme="minorHAnsi" w:hAnsiTheme="minorHAnsi" w:cs="Times New Roman"/>
          <w:sz w:val="20"/>
          <w:szCs w:val="20"/>
        </w:rPr>
        <w:t xml:space="preserve">This targetSiteCode </w:t>
      </w:r>
      <w:r>
        <w:rPr>
          <w:rFonts w:asciiTheme="minorHAnsi" w:hAnsiTheme="minorHAnsi" w:cs="Times New Roman"/>
          <w:b/>
          <w:sz w:val="20"/>
          <w:szCs w:val="20"/>
        </w:rPr>
        <w:t>ab</w:t>
      </w:r>
      <w:r>
        <w:rPr>
          <w:rFonts w:asciiTheme="minorHAnsi" w:hAnsiTheme="minorHAnsi" w:cs="Times New Roman"/>
          <w:sz w:val="20"/>
          <w:szCs w:val="20"/>
        </w:rPr>
        <w:t xml:space="preserve"> contain exactly one [1..1] @codeSystem (CONF:1169-33182)</w:t>
      </w:r>
      <w:r w:rsidR="00494A83" w:rsidRPr="0089257F">
        <w:rPr>
          <w:rFonts w:asciiTheme="minorHAnsi" w:hAnsiTheme="minorHAnsi" w:cs="Times New Roman"/>
          <w:sz w:val="20"/>
          <w:szCs w:val="20"/>
        </w:rPr>
        <w:t xml:space="preserve"> </w:t>
      </w:r>
    </w:p>
    <w:p w14:paraId="0C06544E" w14:textId="77777777" w:rsidR="00494A83" w:rsidRPr="0089257F" w:rsidRDefault="00494A83" w:rsidP="00494A83">
      <w:pPr>
        <w:pStyle w:val="xmlexample"/>
        <w:rPr>
          <w:rFonts w:asciiTheme="minorHAnsi" w:hAnsiTheme="minorHAnsi"/>
          <w:sz w:val="20"/>
          <w:szCs w:val="20"/>
        </w:rPr>
      </w:pPr>
    </w:p>
    <w:p w14:paraId="69DCEAF5"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&lt;targetSiteCode xsi:type="CD" code="181131000" </w:t>
      </w:r>
    </w:p>
    <w:p w14:paraId="5B2EA2CD"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codeSystem="2.16.840.1.113883.6.96" codeSystemName="SNOMED CT" </w:t>
      </w:r>
    </w:p>
    <w:p w14:paraId="27287E9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displayName="Entire breast"&gt; </w:t>
      </w:r>
    </w:p>
    <w:p w14:paraId="578D6B2D" w14:textId="77777777" w:rsidR="00494A83" w:rsidRPr="00152841" w:rsidRDefault="00494A83" w:rsidP="00494A83">
      <w:pPr>
        <w:pStyle w:val="BodyText"/>
        <w:rPr>
          <w:rFonts w:ascii="Century Gothic" w:hAnsi="Century Gothic"/>
        </w:rPr>
      </w:pPr>
    </w:p>
    <w:p w14:paraId="759E1E94" w14:textId="77777777" w:rsidR="00180455" w:rsidRDefault="008548FE" w:rsidP="0089257F">
      <w:pPr>
        <w:pStyle w:val="BodyText"/>
        <w:ind w:left="0"/>
        <w:rPr>
          <w:rFonts w:asciiTheme="minorHAnsi" w:hAnsiTheme="minorHAnsi"/>
          <w:sz w:val="24"/>
        </w:rPr>
      </w:pPr>
      <w:r w:rsidRPr="006D36F1">
        <w:rPr>
          <w:rFonts w:asciiTheme="minorHAnsi" w:hAnsiTheme="minorHAnsi"/>
          <w:b/>
          <w:sz w:val="24"/>
        </w:rPr>
        <w:t>3.2.4</w:t>
      </w:r>
      <w:r>
        <w:rPr>
          <w:rFonts w:asciiTheme="minorHAnsi" w:hAnsiTheme="minorHAnsi"/>
          <w:sz w:val="24"/>
        </w:rPr>
        <w:t xml:space="preserve"> </w:t>
      </w:r>
    </w:p>
    <w:p w14:paraId="67559502" w14:textId="10325162" w:rsidR="00494A83" w:rsidRPr="0089257F" w:rsidRDefault="00494A83" w:rsidP="0089257F">
      <w:pPr>
        <w:pStyle w:val="BodyText"/>
        <w:ind w:left="0"/>
        <w:rPr>
          <w:rFonts w:asciiTheme="minorHAnsi" w:hAnsiTheme="minorHAnsi"/>
          <w:sz w:val="24"/>
        </w:rPr>
      </w:pPr>
      <w:r w:rsidRPr="0089257F">
        <w:rPr>
          <w:rFonts w:asciiTheme="minorHAnsi" w:hAnsiTheme="minorHAnsi"/>
          <w:sz w:val="24"/>
        </w:rPr>
        <w:t xml:space="preserve">If a sender wants to state that a piece of information is unknown, </w:t>
      </w:r>
      <w:r w:rsidR="00FE7415">
        <w:rPr>
          <w:rFonts w:asciiTheme="minorHAnsi" w:hAnsiTheme="minorHAnsi"/>
          <w:sz w:val="24"/>
        </w:rPr>
        <w:t>t</w:t>
      </w:r>
      <w:r w:rsidRPr="0089257F">
        <w:rPr>
          <w:rFonts w:asciiTheme="minorHAnsi" w:hAnsiTheme="minorHAnsi"/>
          <w:sz w:val="24"/>
        </w:rPr>
        <w:t xml:space="preserve">his is an example of how an author can record a section </w:t>
      </w:r>
      <w:r w:rsidR="00FE7415">
        <w:rPr>
          <w:rFonts w:asciiTheme="minorHAnsi" w:hAnsiTheme="minorHAnsi"/>
          <w:sz w:val="24"/>
        </w:rPr>
        <w:t xml:space="preserve">that </w:t>
      </w:r>
      <w:r w:rsidRPr="0089257F">
        <w:rPr>
          <w:rFonts w:asciiTheme="minorHAnsi" w:hAnsiTheme="minorHAnsi"/>
          <w:sz w:val="24"/>
        </w:rPr>
        <w:t xml:space="preserve">contains </w:t>
      </w:r>
      <w:r w:rsidR="009916E7">
        <w:rPr>
          <w:rFonts w:asciiTheme="minorHAnsi" w:hAnsiTheme="minorHAnsi"/>
          <w:sz w:val="24"/>
        </w:rPr>
        <w:t>“</w:t>
      </w:r>
      <w:r w:rsidRPr="0089257F">
        <w:rPr>
          <w:rFonts w:asciiTheme="minorHAnsi" w:hAnsiTheme="minorHAnsi"/>
          <w:sz w:val="24"/>
        </w:rPr>
        <w:t>No Information</w:t>
      </w:r>
      <w:r w:rsidR="009916E7">
        <w:rPr>
          <w:rFonts w:asciiTheme="minorHAnsi" w:hAnsiTheme="minorHAnsi"/>
          <w:sz w:val="24"/>
        </w:rPr>
        <w:t>”</w:t>
      </w:r>
      <w:r w:rsidRPr="0089257F">
        <w:rPr>
          <w:rFonts w:asciiTheme="minorHAnsi" w:hAnsiTheme="minorHAnsi"/>
          <w:sz w:val="24"/>
        </w:rPr>
        <w:t>. This is an exceptional case and does not cover 'No Known' scenarios (see below).</w:t>
      </w:r>
    </w:p>
    <w:p w14:paraId="59424AA3" w14:textId="7568C549" w:rsidR="00494A83" w:rsidRPr="0089257F" w:rsidRDefault="00494A83" w:rsidP="00494A83">
      <w:pPr>
        <w:pStyle w:val="BodyText"/>
        <w:rPr>
          <w:rFonts w:asciiTheme="minorHAnsi" w:hAnsiTheme="minorHAnsi"/>
          <w:sz w:val="24"/>
        </w:rPr>
      </w:pPr>
      <w:r w:rsidRPr="0089257F">
        <w:rPr>
          <w:rFonts w:asciiTheme="minorHAnsi" w:hAnsiTheme="minorHAnsi"/>
          <w:sz w:val="24"/>
        </w:rPr>
        <w:t xml:space="preserve">Figure </w:t>
      </w:r>
      <w:r w:rsidR="009F7B51">
        <w:rPr>
          <w:rFonts w:asciiTheme="minorHAnsi" w:hAnsiTheme="minorHAnsi"/>
          <w:sz w:val="24"/>
        </w:rPr>
        <w:t>6</w:t>
      </w:r>
      <w:r w:rsidRPr="0089257F">
        <w:rPr>
          <w:rFonts w:asciiTheme="minorHAnsi" w:hAnsiTheme="minorHAnsi"/>
          <w:sz w:val="24"/>
        </w:rPr>
        <w:t>: No Information for Problem List</w:t>
      </w:r>
    </w:p>
    <w:p w14:paraId="5F36320B"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&lt;!-- ************************* PROBLEM LIST ****************************** --&gt;</w:t>
      </w:r>
    </w:p>
    <w:p w14:paraId="3D2AC03D"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&lt;component&gt;</w:t>
      </w:r>
    </w:p>
    <w:p w14:paraId="2C1DC1BF"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 nullFlavor of NI indicates No Information.--&gt;</w:t>
      </w:r>
    </w:p>
    <w:p w14:paraId="0C9E9136"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 Validator currently checks for entries even in case of nullFlavor - this will need to be updated if approved.--&gt;</w:t>
      </w:r>
    </w:p>
    <w:p w14:paraId="3A356968"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&lt;section nullFlavor="NI"&gt;</w:t>
      </w:r>
    </w:p>
    <w:p w14:paraId="2E199BBD"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 conforms to Problems section with entries optional --&gt;</w:t>
      </w:r>
    </w:p>
    <w:p w14:paraId="27787D26"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&lt;templateId root="2.16.840.1.113883.10.20.22.2.5.2"/&gt;</w:t>
      </w:r>
    </w:p>
    <w:p w14:paraId="5465EC53"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 conforms to Problems section with entries required --&gt;</w:t>
      </w:r>
    </w:p>
    <w:p w14:paraId="65281DF7"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&lt;templateId root="2.16.840.1.113883.10.20.22.2.5.1.2"/&gt;</w:t>
      </w:r>
    </w:p>
    <w:p w14:paraId="4F12898F"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&lt;code code="11450-4" codeSystem="2.16.840.1.113883.6.1" codeSystemName="LOINC"</w:t>
      </w:r>
    </w:p>
    <w:p w14:paraId="15342452"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displayName="PROBLEM LIST"/&gt;</w:t>
      </w:r>
    </w:p>
    <w:p w14:paraId="0C620A73"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&lt;title&gt;PROBLEMS&lt;/title&gt;</w:t>
      </w:r>
    </w:p>
    <w:p w14:paraId="28379B25"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&lt;text&gt;No Information&lt;/text&gt;</w:t>
      </w:r>
    </w:p>
    <w:p w14:paraId="7847AB36"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&lt;/section&gt;</w:t>
      </w:r>
    </w:p>
    <w:p w14:paraId="70802F7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&lt;/component&gt;</w:t>
      </w:r>
    </w:p>
    <w:p w14:paraId="00AA34B7" w14:textId="77777777" w:rsidR="00494A83" w:rsidRDefault="00494A83" w:rsidP="00494A83">
      <w:pPr>
        <w:pStyle w:val="BodyText"/>
        <w:rPr>
          <w:rFonts w:ascii="Century Gothic" w:hAnsi="Century Gothic"/>
        </w:rPr>
      </w:pPr>
    </w:p>
    <w:p w14:paraId="7B17F0E8" w14:textId="77777777" w:rsidR="00180455" w:rsidRDefault="008548FE" w:rsidP="0089257F">
      <w:pPr>
        <w:pStyle w:val="BodyText"/>
        <w:ind w:left="0"/>
        <w:rPr>
          <w:rFonts w:asciiTheme="minorHAnsi" w:hAnsiTheme="minorHAnsi"/>
          <w:sz w:val="24"/>
        </w:rPr>
      </w:pPr>
      <w:r w:rsidRPr="006D36F1">
        <w:rPr>
          <w:rFonts w:asciiTheme="minorHAnsi" w:hAnsiTheme="minorHAnsi"/>
          <w:b/>
          <w:sz w:val="24"/>
        </w:rPr>
        <w:t>3.2.5</w:t>
      </w:r>
    </w:p>
    <w:p w14:paraId="1CB4F86B" w14:textId="6081FB9A" w:rsidR="00494A83" w:rsidRPr="0089257F" w:rsidRDefault="00494A83" w:rsidP="0089257F">
      <w:pPr>
        <w:pStyle w:val="BodyText"/>
        <w:ind w:left="0"/>
        <w:rPr>
          <w:rFonts w:asciiTheme="minorHAnsi" w:hAnsiTheme="minorHAnsi"/>
          <w:sz w:val="24"/>
        </w:rPr>
      </w:pPr>
      <w:r w:rsidRPr="0089257F">
        <w:rPr>
          <w:rFonts w:asciiTheme="minorHAnsi" w:hAnsiTheme="minorHAnsi"/>
          <w:sz w:val="24"/>
        </w:rPr>
        <w:t>If the sender wants to state “no known”, a negationInd can be used on the corresponding act (substanceAdministration, Procedure, etc.)</w:t>
      </w:r>
    </w:p>
    <w:p w14:paraId="65AAF397" w14:textId="020F207A" w:rsidR="00494A83" w:rsidRPr="0089257F" w:rsidRDefault="00494A83" w:rsidP="0089257F">
      <w:pPr>
        <w:pStyle w:val="BodyText"/>
        <w:ind w:left="0"/>
        <w:rPr>
          <w:rFonts w:asciiTheme="minorHAnsi" w:hAnsiTheme="minorHAnsi"/>
          <w:sz w:val="24"/>
        </w:rPr>
      </w:pPr>
      <w:r w:rsidRPr="0089257F">
        <w:rPr>
          <w:rFonts w:asciiTheme="minorHAnsi" w:hAnsiTheme="minorHAnsi"/>
          <w:sz w:val="24"/>
        </w:rPr>
        <w:lastRenderedPageBreak/>
        <w:t xml:space="preserve">Previously </w:t>
      </w:r>
      <w:r w:rsidR="00801A19" w:rsidRPr="00801A19">
        <w:rPr>
          <w:rFonts w:asciiTheme="minorHAnsi" w:hAnsiTheme="minorHAnsi"/>
          <w:sz w:val="24"/>
        </w:rPr>
        <w:t xml:space="preserve">Continuity of Care Document (CCD), Intergrating the Healthcare Enterprise (IHE), and the Healthcare Information Technology Standards Panel (HITSP) </w:t>
      </w:r>
      <w:r w:rsidRPr="0089257F">
        <w:rPr>
          <w:rFonts w:asciiTheme="minorHAnsi" w:hAnsiTheme="minorHAnsi"/>
          <w:sz w:val="24"/>
        </w:rPr>
        <w:t xml:space="preserve"> recommended using specific codes to assert no known content, for example 160244002 No known allergies or 160245001 No current problems or disability. Specific codes are still allowed; however, use of these codes is not recommended.</w:t>
      </w:r>
    </w:p>
    <w:p w14:paraId="6A4FE193" w14:textId="77777777" w:rsidR="00494A83" w:rsidRPr="0089257F" w:rsidRDefault="00494A83" w:rsidP="00494A83">
      <w:pPr>
        <w:pStyle w:val="BodyText"/>
        <w:rPr>
          <w:rFonts w:asciiTheme="minorHAnsi" w:hAnsiTheme="minorHAnsi"/>
          <w:sz w:val="24"/>
        </w:rPr>
      </w:pPr>
    </w:p>
    <w:p w14:paraId="3549EB9E" w14:textId="77777777" w:rsidR="00180455" w:rsidRDefault="008548FE" w:rsidP="0089257F">
      <w:pPr>
        <w:pStyle w:val="BodyText"/>
        <w:ind w:left="0"/>
        <w:rPr>
          <w:rFonts w:asciiTheme="minorHAnsi" w:hAnsiTheme="minorHAnsi"/>
          <w:sz w:val="24"/>
        </w:rPr>
      </w:pPr>
      <w:r w:rsidRPr="006D36F1">
        <w:rPr>
          <w:rFonts w:asciiTheme="minorHAnsi" w:hAnsiTheme="minorHAnsi"/>
          <w:b/>
          <w:sz w:val="24"/>
        </w:rPr>
        <w:t>3.2.6</w:t>
      </w:r>
      <w:r>
        <w:rPr>
          <w:rFonts w:asciiTheme="minorHAnsi" w:hAnsiTheme="minorHAnsi"/>
          <w:sz w:val="24"/>
        </w:rPr>
        <w:t xml:space="preserve"> </w:t>
      </w:r>
      <w:r w:rsidR="00180455">
        <w:rPr>
          <w:rFonts w:asciiTheme="minorHAnsi" w:hAnsiTheme="minorHAnsi"/>
          <w:sz w:val="24"/>
        </w:rPr>
        <w:t xml:space="preserve"> </w:t>
      </w:r>
    </w:p>
    <w:p w14:paraId="158DB459" w14:textId="3531E9AD" w:rsidR="00494A83" w:rsidRPr="0089257F" w:rsidRDefault="00494A83" w:rsidP="0089257F">
      <w:pPr>
        <w:pStyle w:val="BodyText"/>
        <w:ind w:left="0"/>
        <w:rPr>
          <w:rFonts w:asciiTheme="minorHAnsi" w:hAnsiTheme="minorHAnsi"/>
          <w:sz w:val="24"/>
        </w:rPr>
      </w:pPr>
      <w:r w:rsidRPr="0089257F">
        <w:rPr>
          <w:rFonts w:asciiTheme="minorHAnsi" w:hAnsiTheme="minorHAnsi"/>
          <w:sz w:val="24"/>
        </w:rPr>
        <w:t>The next example illustrate</w:t>
      </w:r>
      <w:r w:rsidR="00FE7415">
        <w:rPr>
          <w:rFonts w:asciiTheme="minorHAnsi" w:hAnsiTheme="minorHAnsi"/>
          <w:sz w:val="24"/>
        </w:rPr>
        <w:t>s</w:t>
      </w:r>
      <w:r w:rsidRPr="0089257F">
        <w:rPr>
          <w:rFonts w:asciiTheme="minorHAnsi" w:hAnsiTheme="minorHAnsi"/>
          <w:sz w:val="24"/>
        </w:rPr>
        <w:t xml:space="preserve"> additional nuances of representing information that is a negative assertion, where for example, it is not th</w:t>
      </w:r>
      <w:r w:rsidR="00FE7415">
        <w:rPr>
          <w:rFonts w:asciiTheme="minorHAnsi" w:hAnsiTheme="minorHAnsi"/>
          <w:sz w:val="24"/>
        </w:rPr>
        <w:t>e</w:t>
      </w:r>
      <w:r w:rsidRPr="0089257F">
        <w:rPr>
          <w:rFonts w:asciiTheme="minorHAnsi" w:hAnsiTheme="minorHAnsi"/>
          <w:sz w:val="24"/>
        </w:rPr>
        <w:t xml:space="preserve"> case that the patient has an allergy or it is not th</w:t>
      </w:r>
      <w:r w:rsidR="00FE7415">
        <w:rPr>
          <w:rFonts w:asciiTheme="minorHAnsi" w:hAnsiTheme="minorHAnsi"/>
          <w:sz w:val="24"/>
        </w:rPr>
        <w:t>e</w:t>
      </w:r>
      <w:r w:rsidRPr="0089257F">
        <w:rPr>
          <w:rFonts w:asciiTheme="minorHAnsi" w:hAnsiTheme="minorHAnsi"/>
          <w:sz w:val="24"/>
        </w:rPr>
        <w:t xml:space="preserve"> case that a patient takes a medication. The phrases "no known allergies" or "no known medications" are typically associated with this type of negative assertion. </w:t>
      </w:r>
    </w:p>
    <w:p w14:paraId="784C7C0B" w14:textId="77777777" w:rsidR="00494A83" w:rsidRPr="0089257F" w:rsidRDefault="00494A83" w:rsidP="00494A83">
      <w:pPr>
        <w:pStyle w:val="BodyText"/>
        <w:rPr>
          <w:rFonts w:asciiTheme="minorHAnsi" w:hAnsiTheme="minorHAnsi"/>
          <w:sz w:val="24"/>
        </w:rPr>
      </w:pPr>
    </w:p>
    <w:p w14:paraId="293F974D" w14:textId="282BA85E" w:rsidR="00494A83" w:rsidRPr="0089257F" w:rsidRDefault="00494A83" w:rsidP="00494A83">
      <w:pPr>
        <w:pStyle w:val="BodyText"/>
        <w:rPr>
          <w:rFonts w:asciiTheme="minorHAnsi" w:hAnsiTheme="minorHAnsi"/>
          <w:sz w:val="24"/>
        </w:rPr>
      </w:pPr>
      <w:r w:rsidRPr="0089257F">
        <w:rPr>
          <w:rFonts w:asciiTheme="minorHAnsi" w:hAnsiTheme="minorHAnsi"/>
          <w:sz w:val="24"/>
        </w:rPr>
        <w:t xml:space="preserve">Figure </w:t>
      </w:r>
      <w:r w:rsidR="009F7B51">
        <w:rPr>
          <w:rFonts w:asciiTheme="minorHAnsi" w:hAnsiTheme="minorHAnsi"/>
          <w:sz w:val="24"/>
        </w:rPr>
        <w:t>7</w:t>
      </w:r>
      <w:r w:rsidRPr="0089257F">
        <w:rPr>
          <w:rFonts w:asciiTheme="minorHAnsi" w:hAnsiTheme="minorHAnsi"/>
          <w:sz w:val="24"/>
        </w:rPr>
        <w:t xml:space="preserve">: No Known Medications Example </w:t>
      </w:r>
    </w:p>
    <w:p w14:paraId="079C2EA2"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&lt;entry&gt; </w:t>
      </w:r>
    </w:p>
    <w:p w14:paraId="0DB59F2C"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&lt;substanceAdministration moodCode="EVN" classCode="SBADM" negationInd=”true”&gt; </w:t>
      </w:r>
    </w:p>
    <w:p w14:paraId="0BA815CE"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&lt;text&gt;No known medications&lt;/text&gt; </w:t>
      </w:r>
    </w:p>
    <w:p w14:paraId="4A5949DD"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&lt;consumable&gt; </w:t>
      </w:r>
    </w:p>
    <w:p w14:paraId="5E738ECE"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&lt;manufacturedProduct&gt; </w:t>
      </w:r>
    </w:p>
    <w:p w14:paraId="123A67C7"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&lt;manufacturedLabeledDrug&gt; </w:t>
      </w:r>
    </w:p>
    <w:p w14:paraId="65AC0931"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&lt;code code="410942007" displayName="drug or medication" </w:t>
      </w:r>
    </w:p>
    <w:p w14:paraId="13E99D15"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codeSystem="2.16.840.1.113883.6.96" </w:t>
      </w:r>
    </w:p>
    <w:p w14:paraId="043BE0E9"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codeSystemName="SNOMED CT"/&gt; </w:t>
      </w:r>
    </w:p>
    <w:p w14:paraId="082FF98E"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&lt;/manufacturedLabeledDrug&gt; </w:t>
      </w:r>
    </w:p>
    <w:p w14:paraId="338564D3"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&lt;/manufacturedProduct&gt; </w:t>
      </w:r>
    </w:p>
    <w:p w14:paraId="1F79BAE3"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&lt;/consumable&gt; </w:t>
      </w:r>
    </w:p>
    <w:p w14:paraId="1C034DD7"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 xml:space="preserve">  &lt;/substanceAdministration&gt; </w:t>
      </w:r>
    </w:p>
    <w:p w14:paraId="45CDED7F" w14:textId="77777777" w:rsidR="00494A83" w:rsidRPr="0089257F" w:rsidRDefault="00494A83" w:rsidP="00494A83">
      <w:pPr>
        <w:pStyle w:val="xmlexample"/>
        <w:rPr>
          <w:rFonts w:asciiTheme="minorHAnsi" w:hAnsiTheme="minorHAnsi"/>
          <w:sz w:val="20"/>
          <w:szCs w:val="20"/>
        </w:rPr>
      </w:pPr>
      <w:r w:rsidRPr="0089257F">
        <w:rPr>
          <w:rFonts w:asciiTheme="minorHAnsi" w:hAnsiTheme="minorHAnsi"/>
          <w:sz w:val="20"/>
          <w:szCs w:val="20"/>
        </w:rPr>
        <w:t>&lt;/entry&gt;</w:t>
      </w:r>
    </w:p>
    <w:p w14:paraId="081D0A6A" w14:textId="36513F2C" w:rsidR="00494A83" w:rsidRPr="0089257F" w:rsidRDefault="00212B92" w:rsidP="00212B92">
      <w:pPr>
        <w:pStyle w:val="Heading2nospace"/>
        <w:numPr>
          <w:ilvl w:val="0"/>
          <w:numId w:val="0"/>
        </w:numPr>
        <w:spacing w:line="240" w:lineRule="auto"/>
        <w:rPr>
          <w:rFonts w:asciiTheme="minorHAnsi" w:hAnsiTheme="minorHAnsi"/>
          <w:i w:val="0"/>
        </w:rPr>
      </w:pPr>
      <w:bookmarkStart w:id="491" w:name="_Toc436033863"/>
      <w:r>
        <w:rPr>
          <w:rFonts w:asciiTheme="minorHAnsi" w:hAnsiTheme="minorHAnsi"/>
          <w:i w:val="0"/>
        </w:rPr>
        <w:t xml:space="preserve">3.3 </w:t>
      </w:r>
      <w:r w:rsidR="00494A83" w:rsidRPr="0089257F">
        <w:rPr>
          <w:rFonts w:asciiTheme="minorHAnsi" w:hAnsiTheme="minorHAnsi"/>
          <w:i w:val="0"/>
        </w:rPr>
        <w:t>Use of vocabulary standards</w:t>
      </w:r>
      <w:bookmarkEnd w:id="486"/>
      <w:bookmarkEnd w:id="487"/>
      <w:bookmarkEnd w:id="488"/>
      <w:bookmarkEnd w:id="490"/>
      <w:bookmarkEnd w:id="491"/>
    </w:p>
    <w:p w14:paraId="5D253FD9" w14:textId="2A1278A2" w:rsidR="00494A83" w:rsidRPr="009F7B51" w:rsidRDefault="00494A83" w:rsidP="00075A5C">
      <w:pPr>
        <w:pStyle w:val="BodyText"/>
        <w:spacing w:before="240" w:after="0" w:line="240" w:lineRule="auto"/>
        <w:ind w:left="0"/>
        <w:rPr>
          <w:rFonts w:asciiTheme="minorHAnsi" w:hAnsiTheme="minorHAnsi"/>
          <w:sz w:val="24"/>
        </w:rPr>
      </w:pPr>
      <w:r w:rsidRPr="009F7B51">
        <w:rPr>
          <w:rFonts w:asciiTheme="minorHAnsi" w:hAnsiTheme="minorHAnsi"/>
          <w:sz w:val="24"/>
        </w:rPr>
        <w:t xml:space="preserve">Value set bindings adhere to HL7 Vocabulary Working Group best practices, and include both a conformance verb (SHALL , SHOULD , MAY, etc.) and an indication of DYNAMIC vs. STATIC binding.  The use of SHALL requires that the component be valued with a member from the cited value set; however, in every case any HL7 "null" value such as other (OTH) or unknown (UNK) may be used.   </w:t>
      </w:r>
      <w:r w:rsidR="009B6E55" w:rsidRPr="009F7B51">
        <w:rPr>
          <w:rFonts w:asciiTheme="minorHAnsi" w:hAnsiTheme="minorHAnsi"/>
          <w:sz w:val="24"/>
        </w:rPr>
        <w:t xml:space="preserve">DYNAMIC binding means that the  allowed values </w:t>
      </w:r>
      <w:r w:rsidR="00801A19" w:rsidRPr="009F7B51">
        <w:rPr>
          <w:rFonts w:asciiTheme="minorHAnsi" w:hAnsiTheme="minorHAnsi"/>
          <w:sz w:val="24"/>
        </w:rPr>
        <w:t xml:space="preserve">bind to the most current version of the value set. </w:t>
      </w:r>
      <w:r w:rsidRPr="009F7B51">
        <w:rPr>
          <w:rFonts w:asciiTheme="minorHAnsi" w:hAnsiTheme="minorHAnsi"/>
          <w:sz w:val="24"/>
        </w:rPr>
        <w:t xml:space="preserve">STATIC binding means that the allowed values of the value set </w:t>
      </w:r>
      <w:r w:rsidR="00801A19" w:rsidRPr="009F7B51">
        <w:rPr>
          <w:rFonts w:asciiTheme="minorHAnsi" w:hAnsiTheme="minorHAnsi"/>
          <w:sz w:val="24"/>
        </w:rPr>
        <w:t xml:space="preserve">are bound to a specifc version of </w:t>
      </w:r>
      <w:r w:rsidRPr="009F7B51">
        <w:rPr>
          <w:rFonts w:asciiTheme="minorHAnsi" w:hAnsiTheme="minorHAnsi"/>
          <w:sz w:val="24"/>
        </w:rPr>
        <w:t xml:space="preserve">a value set. </w:t>
      </w:r>
      <w:r w:rsidR="00686D1B" w:rsidRPr="009F7B51">
        <w:rPr>
          <w:rFonts w:asciiTheme="minorHAnsi" w:hAnsiTheme="minorHAnsi"/>
          <w:sz w:val="24"/>
        </w:rPr>
        <w:t xml:space="preserve">If a STATIC binding is specified, a date SHALL be included to indicate the value set version. </w:t>
      </w:r>
    </w:p>
    <w:p w14:paraId="5E47FC40" w14:textId="21AA98C6" w:rsidR="00494A83" w:rsidRPr="00212B92" w:rsidRDefault="00075A5C" w:rsidP="00075A5C">
      <w:pPr>
        <w:pBdr>
          <w:top w:val="single" w:sz="4" w:space="1" w:color="auto"/>
          <w:left w:val="single" w:sz="4" w:space="4" w:color="auto"/>
          <w:bottom w:val="single" w:sz="4" w:space="1" w:color="auto"/>
          <w:right w:val="single" w:sz="4" w:space="4" w:color="auto"/>
        </w:pBdr>
        <w:spacing w:before="120" w:after="120" w:line="240" w:lineRule="auto"/>
        <w:ind w:left="1296"/>
        <w:rPr>
          <w:szCs w:val="20"/>
        </w:rPr>
      </w:pPr>
      <w:r w:rsidRPr="009F7B51">
        <w:rPr>
          <w:sz w:val="24"/>
        </w:rPr>
        <w:t xml:space="preserve">Figure </w:t>
      </w:r>
      <w:r w:rsidR="009F7B51">
        <w:rPr>
          <w:sz w:val="24"/>
        </w:rPr>
        <w:t>8</w:t>
      </w:r>
      <w:r w:rsidRPr="009F7B51">
        <w:rPr>
          <w:sz w:val="24"/>
        </w:rPr>
        <w:t xml:space="preserve">:  </w:t>
      </w:r>
      <w:r w:rsidR="00494A83" w:rsidRPr="009F7B51">
        <w:rPr>
          <w:sz w:val="24"/>
        </w:rPr>
        <w:t>Vocabulary bindings are specified as a reference to the value set name followed by the value set OID; for example:</w:t>
      </w:r>
      <w:r w:rsidR="00BD6E08" w:rsidRPr="009F7B51">
        <w:rPr>
          <w:sz w:val="24"/>
        </w:rPr>
        <w:t xml:space="preserve"> </w:t>
      </w:r>
      <w:r w:rsidR="00494A83" w:rsidRPr="00212B92">
        <w:rPr>
          <w:szCs w:val="20"/>
        </w:rPr>
        <w:t xml:space="preserve">This patient </w:t>
      </w:r>
      <w:r w:rsidR="00494A83" w:rsidRPr="00212B92">
        <w:rPr>
          <w:rStyle w:val="keyword"/>
          <w:rFonts w:asciiTheme="minorHAnsi" w:hAnsiTheme="minorHAnsi"/>
          <w:sz w:val="20"/>
          <w:szCs w:val="20"/>
        </w:rPr>
        <w:t>SHALL</w:t>
      </w:r>
      <w:r w:rsidR="00494A83" w:rsidRPr="00212B92">
        <w:rPr>
          <w:szCs w:val="20"/>
        </w:rPr>
        <w:t xml:space="preserve"> contain exactly one [1..1] </w:t>
      </w:r>
      <w:r w:rsidR="00494A83" w:rsidRPr="00212B92">
        <w:rPr>
          <w:rStyle w:val="XMLnameBold"/>
          <w:rFonts w:asciiTheme="minorHAnsi" w:hAnsiTheme="minorHAnsi"/>
          <w:szCs w:val="20"/>
        </w:rPr>
        <w:t>administrativeGenderCode</w:t>
      </w:r>
      <w:r w:rsidR="00494A83" w:rsidRPr="00212B92">
        <w:rPr>
          <w:szCs w:val="20"/>
        </w:rPr>
        <w:t xml:space="preserve">, which </w:t>
      </w:r>
      <w:r w:rsidR="00494A83" w:rsidRPr="00212B92">
        <w:rPr>
          <w:rStyle w:val="keyword"/>
          <w:rFonts w:asciiTheme="minorHAnsi" w:hAnsiTheme="minorHAnsi"/>
          <w:sz w:val="20"/>
          <w:szCs w:val="20"/>
        </w:rPr>
        <w:t>SHALL</w:t>
      </w:r>
      <w:r w:rsidR="00494A83" w:rsidRPr="00212B92">
        <w:rPr>
          <w:szCs w:val="20"/>
        </w:rPr>
        <w:t xml:space="preserve"> be selected from </w:t>
      </w:r>
      <w:r w:rsidR="00494A83" w:rsidRPr="00212B92">
        <w:rPr>
          <w:szCs w:val="20"/>
          <w:highlight w:val="yellow"/>
        </w:rPr>
        <w:t xml:space="preserve">ValueSet </w:t>
      </w:r>
      <w:hyperlink w:anchor="Administrative_Gender_HL7_V3">
        <w:r w:rsidR="00494A83" w:rsidRPr="00212B92">
          <w:rPr>
            <w:rStyle w:val="HyperlinkCourierBold"/>
            <w:rFonts w:asciiTheme="minorHAnsi" w:hAnsiTheme="minorHAnsi"/>
            <w:szCs w:val="20"/>
            <w:highlight w:val="yellow"/>
          </w:rPr>
          <w:t>Administrative Gender (HL7 V3)</w:t>
        </w:r>
      </w:hyperlink>
      <w:r w:rsidR="00494A83" w:rsidRPr="00212B92">
        <w:rPr>
          <w:rStyle w:val="XMLname"/>
          <w:rFonts w:asciiTheme="minorHAnsi" w:hAnsiTheme="minorHAnsi"/>
          <w:szCs w:val="20"/>
          <w:highlight w:val="yellow"/>
        </w:rPr>
        <w:t xml:space="preserve"> urn:oid:2.16.840.1.113883.1.11.1</w:t>
      </w:r>
      <w:r w:rsidR="00494A83" w:rsidRPr="00212B92">
        <w:rPr>
          <w:rStyle w:val="keyword"/>
          <w:rFonts w:asciiTheme="minorHAnsi" w:hAnsiTheme="minorHAnsi"/>
          <w:sz w:val="20"/>
          <w:szCs w:val="20"/>
          <w:highlight w:val="yellow"/>
        </w:rPr>
        <w:t xml:space="preserve"> DYNAMIC</w:t>
      </w:r>
      <w:r w:rsidR="00494A83" w:rsidRPr="00212B92">
        <w:rPr>
          <w:szCs w:val="20"/>
        </w:rPr>
        <w:t xml:space="preserve"> (CONF:1198-6394).</w:t>
      </w:r>
    </w:p>
    <w:p w14:paraId="0AA518F7" w14:textId="28B3A711" w:rsidR="00494A83" w:rsidRPr="00075A5C" w:rsidRDefault="00494A83" w:rsidP="00075A5C">
      <w:pPr>
        <w:pStyle w:val="BodyText"/>
        <w:spacing w:before="240" w:after="0" w:line="240" w:lineRule="auto"/>
        <w:ind w:left="0"/>
        <w:rPr>
          <w:rFonts w:asciiTheme="minorHAnsi" w:hAnsiTheme="minorHAnsi"/>
          <w:sz w:val="22"/>
        </w:rPr>
      </w:pPr>
      <w:r w:rsidRPr="00075A5C">
        <w:rPr>
          <w:rFonts w:asciiTheme="minorHAnsi" w:hAnsiTheme="minorHAnsi"/>
          <w:sz w:val="22"/>
        </w:rPr>
        <w:t>Value sets specifications are included in the section entitled “Value Sets In This Guide”</w:t>
      </w:r>
      <w:r w:rsidR="00801A19" w:rsidRPr="00075A5C">
        <w:rPr>
          <w:rFonts w:asciiTheme="minorHAnsi" w:hAnsiTheme="minorHAnsi"/>
          <w:sz w:val="22"/>
        </w:rPr>
        <w:t>(Section 9, Volume 2)</w:t>
      </w:r>
      <w:r w:rsidRPr="00075A5C">
        <w:rPr>
          <w:rFonts w:asciiTheme="minorHAnsi" w:hAnsiTheme="minorHAnsi"/>
          <w:sz w:val="22"/>
        </w:rPr>
        <w:t xml:space="preserve">.  Each value set includes a value set member list including the code, code system name, and </w:t>
      </w:r>
      <w:r w:rsidRPr="00075A5C">
        <w:rPr>
          <w:rFonts w:asciiTheme="minorHAnsi" w:hAnsiTheme="minorHAnsi"/>
          <w:sz w:val="22"/>
        </w:rPr>
        <w:lastRenderedPageBreak/>
        <w:t>print name for each member of the value set.  The name of the value set, along with its OID is included in the table header</w:t>
      </w:r>
      <w:r w:rsidR="009F7B51">
        <w:rPr>
          <w:rFonts w:asciiTheme="minorHAnsi" w:hAnsiTheme="minorHAnsi"/>
          <w:sz w:val="22"/>
        </w:rPr>
        <w:t xml:space="preserve">. </w:t>
      </w:r>
    </w:p>
    <w:p w14:paraId="25B90494" w14:textId="58096A0E" w:rsidR="00E01F1E" w:rsidRDefault="009F7B51" w:rsidP="00E01F1E">
      <w:pPr>
        <w:pStyle w:val="Caption"/>
      </w:pPr>
      <w:bookmarkStart w:id="492" w:name="_Toc435181207"/>
      <w:r>
        <w:rPr>
          <w:rFonts w:asciiTheme="minorHAnsi" w:hAnsiTheme="minorHAnsi"/>
          <w:sz w:val="24"/>
          <w:szCs w:val="24"/>
        </w:rPr>
        <w:t xml:space="preserve">Example from Volume 2: </w:t>
      </w:r>
      <w:bookmarkStart w:id="493" w:name="_Toc449459701"/>
      <w:r w:rsidR="00E01F1E" w:rsidRPr="00E01F1E">
        <w:rPr>
          <w:sz w:val="22"/>
        </w:rPr>
        <w:t xml:space="preserve">Table </w:t>
      </w:r>
      <w:r w:rsidR="00E01F1E" w:rsidRPr="00E01F1E">
        <w:rPr>
          <w:sz w:val="22"/>
        </w:rPr>
        <w:fldChar w:fldCharType="begin"/>
      </w:r>
      <w:r w:rsidR="00E01F1E" w:rsidRPr="00E01F1E">
        <w:rPr>
          <w:sz w:val="22"/>
        </w:rPr>
        <w:instrText>SEQ Table \* ARABIC</w:instrText>
      </w:r>
      <w:r w:rsidR="00E01F1E" w:rsidRPr="00E01F1E">
        <w:rPr>
          <w:sz w:val="22"/>
        </w:rPr>
        <w:fldChar w:fldCharType="separate"/>
      </w:r>
      <w:bookmarkStart w:id="494" w:name="Administrative_Gender_HL7_V3"/>
      <w:bookmarkEnd w:id="494"/>
      <w:r w:rsidR="00E01F1E" w:rsidRPr="00E01F1E">
        <w:rPr>
          <w:sz w:val="22"/>
        </w:rPr>
        <w:t>30</w:t>
      </w:r>
      <w:r w:rsidR="00E01F1E" w:rsidRPr="00E01F1E">
        <w:rPr>
          <w:sz w:val="22"/>
        </w:rPr>
        <w:fldChar w:fldCharType="end"/>
      </w:r>
      <w:r w:rsidR="00E01F1E" w:rsidRPr="00E01F1E">
        <w:rPr>
          <w:sz w:val="22"/>
        </w:rPr>
        <w:t>: Administrative Gender (HL7 V3)</w:t>
      </w:r>
      <w:bookmarkEnd w:id="4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1649"/>
        <w:gridCol w:w="2466"/>
        <w:gridCol w:w="3068"/>
        <w:gridCol w:w="2393"/>
      </w:tblGrid>
      <w:tr w:rsidR="00494A83" w:rsidRPr="00212B92" w14:paraId="6178CA62" w14:textId="77777777" w:rsidTr="00494A83">
        <w:trPr>
          <w:jc w:val="center"/>
        </w:trPr>
        <w:tc>
          <w:tcPr>
            <w:tcW w:w="5000" w:type="pct"/>
            <w:gridSpan w:val="4"/>
          </w:tcPr>
          <w:bookmarkEnd w:id="492"/>
          <w:p w14:paraId="05B41E43"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Value Set: Administrative Gender (HL7 V3) urn:oid:2.16.840.1.113883.1.11.1</w:t>
            </w:r>
          </w:p>
          <w:p w14:paraId="69F9B08D"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Administrative Gender based upon HL7 V3 vocabulary. This value set contains only male, female and undifferentiated concepts.</w:t>
            </w:r>
          </w:p>
          <w:p w14:paraId="2AF7049D"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 xml:space="preserve">Value Set Source: </w:t>
            </w:r>
            <w:hyperlink r:id="rId10" w:history="1">
              <w:r w:rsidRPr="00212B92">
                <w:rPr>
                  <w:rStyle w:val="HyperlinkCourierBold"/>
                  <w:rFonts w:asciiTheme="minorHAnsi" w:hAnsiTheme="minorHAnsi"/>
                  <w:szCs w:val="20"/>
                </w:rPr>
                <w:t>http://www.hl7.org/documentcenter/public/standards/vocabulary/vocabulary_tables/infrastructure/vocabulary/vocabulary.html</w:t>
              </w:r>
            </w:hyperlink>
          </w:p>
        </w:tc>
      </w:tr>
      <w:tr w:rsidR="00494A83" w:rsidRPr="00212B92" w14:paraId="3D2A3B3D" w14:textId="77777777" w:rsidTr="00494A83">
        <w:trPr>
          <w:cantSplit/>
          <w:tblHeader/>
          <w:jc w:val="center"/>
        </w:trPr>
        <w:tc>
          <w:tcPr>
            <w:tcW w:w="855" w:type="pct"/>
            <w:shd w:val="clear" w:color="auto" w:fill="E6E6E6"/>
          </w:tcPr>
          <w:p w14:paraId="71F8F926" w14:textId="77777777" w:rsidR="00494A83" w:rsidRPr="00212B92" w:rsidRDefault="00494A83" w:rsidP="00494A83">
            <w:pPr>
              <w:pStyle w:val="TableHead"/>
              <w:rPr>
                <w:rFonts w:asciiTheme="minorHAnsi" w:hAnsiTheme="minorHAnsi"/>
                <w:sz w:val="20"/>
                <w:szCs w:val="20"/>
              </w:rPr>
            </w:pPr>
            <w:r w:rsidRPr="00212B92">
              <w:rPr>
                <w:rFonts w:asciiTheme="minorHAnsi" w:hAnsiTheme="minorHAnsi"/>
                <w:sz w:val="20"/>
                <w:szCs w:val="20"/>
              </w:rPr>
              <w:t>Code</w:t>
            </w:r>
          </w:p>
        </w:tc>
        <w:tc>
          <w:tcPr>
            <w:tcW w:w="1288" w:type="pct"/>
            <w:shd w:val="clear" w:color="auto" w:fill="E6E6E6"/>
          </w:tcPr>
          <w:p w14:paraId="777B280E" w14:textId="77777777" w:rsidR="00494A83" w:rsidRPr="00212B92" w:rsidRDefault="00494A83" w:rsidP="00494A83">
            <w:pPr>
              <w:pStyle w:val="TableHead"/>
              <w:rPr>
                <w:rFonts w:asciiTheme="minorHAnsi" w:hAnsiTheme="minorHAnsi"/>
                <w:sz w:val="20"/>
                <w:szCs w:val="20"/>
              </w:rPr>
            </w:pPr>
            <w:r w:rsidRPr="00212B92">
              <w:rPr>
                <w:rFonts w:asciiTheme="minorHAnsi" w:hAnsiTheme="minorHAnsi"/>
                <w:sz w:val="20"/>
                <w:szCs w:val="20"/>
              </w:rPr>
              <w:t>Code System</w:t>
            </w:r>
          </w:p>
        </w:tc>
        <w:tc>
          <w:tcPr>
            <w:tcW w:w="1607" w:type="pct"/>
            <w:shd w:val="clear" w:color="auto" w:fill="E6E6E6"/>
          </w:tcPr>
          <w:p w14:paraId="4ABC87AA" w14:textId="77777777" w:rsidR="00494A83" w:rsidRPr="00212B92" w:rsidRDefault="00494A83" w:rsidP="00494A83">
            <w:pPr>
              <w:pStyle w:val="TableHead"/>
              <w:rPr>
                <w:rFonts w:asciiTheme="minorHAnsi" w:hAnsiTheme="minorHAnsi"/>
                <w:sz w:val="20"/>
                <w:szCs w:val="20"/>
              </w:rPr>
            </w:pPr>
            <w:r w:rsidRPr="00212B92">
              <w:rPr>
                <w:rFonts w:asciiTheme="minorHAnsi" w:hAnsiTheme="minorHAnsi"/>
                <w:sz w:val="20"/>
                <w:szCs w:val="20"/>
              </w:rPr>
              <w:t>Code System OID</w:t>
            </w:r>
          </w:p>
        </w:tc>
        <w:tc>
          <w:tcPr>
            <w:tcW w:w="1250" w:type="pct"/>
            <w:shd w:val="clear" w:color="auto" w:fill="E6E6E6"/>
          </w:tcPr>
          <w:p w14:paraId="3DAD51DC" w14:textId="77777777" w:rsidR="00494A83" w:rsidRPr="00212B92" w:rsidRDefault="00494A83" w:rsidP="00494A83">
            <w:pPr>
              <w:pStyle w:val="TableHead"/>
              <w:rPr>
                <w:rFonts w:asciiTheme="minorHAnsi" w:hAnsiTheme="minorHAnsi"/>
                <w:sz w:val="20"/>
                <w:szCs w:val="20"/>
              </w:rPr>
            </w:pPr>
            <w:r w:rsidRPr="00212B92">
              <w:rPr>
                <w:rFonts w:asciiTheme="minorHAnsi" w:hAnsiTheme="minorHAnsi"/>
                <w:sz w:val="20"/>
                <w:szCs w:val="20"/>
              </w:rPr>
              <w:t>Print Name</w:t>
            </w:r>
          </w:p>
        </w:tc>
      </w:tr>
      <w:tr w:rsidR="00494A83" w:rsidRPr="00212B92" w14:paraId="6455DACC" w14:textId="77777777" w:rsidTr="00494A83">
        <w:trPr>
          <w:jc w:val="center"/>
        </w:trPr>
        <w:tc>
          <w:tcPr>
            <w:tcW w:w="855" w:type="pct"/>
          </w:tcPr>
          <w:p w14:paraId="182F7698"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F</w:t>
            </w:r>
          </w:p>
        </w:tc>
        <w:tc>
          <w:tcPr>
            <w:tcW w:w="1288" w:type="pct"/>
          </w:tcPr>
          <w:p w14:paraId="6FE55A1E"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AdministrativeGender</w:t>
            </w:r>
          </w:p>
        </w:tc>
        <w:tc>
          <w:tcPr>
            <w:tcW w:w="1607" w:type="pct"/>
          </w:tcPr>
          <w:p w14:paraId="4CBF13E1"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urn:oid:2.16.840.1.113883.5.1</w:t>
            </w:r>
          </w:p>
        </w:tc>
        <w:tc>
          <w:tcPr>
            <w:tcW w:w="1250" w:type="pct"/>
          </w:tcPr>
          <w:p w14:paraId="596A76A1"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Female</w:t>
            </w:r>
          </w:p>
        </w:tc>
      </w:tr>
      <w:tr w:rsidR="00494A83" w:rsidRPr="00212B92" w14:paraId="7DF98AAE" w14:textId="77777777" w:rsidTr="00494A83">
        <w:trPr>
          <w:jc w:val="center"/>
        </w:trPr>
        <w:tc>
          <w:tcPr>
            <w:tcW w:w="855" w:type="pct"/>
          </w:tcPr>
          <w:p w14:paraId="4CB7BBEB" w14:textId="10AC5E1B"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M</w:t>
            </w:r>
          </w:p>
        </w:tc>
        <w:tc>
          <w:tcPr>
            <w:tcW w:w="1288" w:type="pct"/>
          </w:tcPr>
          <w:p w14:paraId="3FB11138"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AdministrativeGender</w:t>
            </w:r>
          </w:p>
        </w:tc>
        <w:tc>
          <w:tcPr>
            <w:tcW w:w="1607" w:type="pct"/>
          </w:tcPr>
          <w:p w14:paraId="06EE6BF0"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urn:oid:2.16.840.1.113883.5.1</w:t>
            </w:r>
          </w:p>
        </w:tc>
        <w:tc>
          <w:tcPr>
            <w:tcW w:w="1250" w:type="pct"/>
          </w:tcPr>
          <w:p w14:paraId="03AF7A75"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Male</w:t>
            </w:r>
          </w:p>
        </w:tc>
      </w:tr>
      <w:tr w:rsidR="00494A83" w:rsidRPr="00212B92" w14:paraId="1247DAFA" w14:textId="77777777" w:rsidTr="00494A83">
        <w:trPr>
          <w:jc w:val="center"/>
        </w:trPr>
        <w:tc>
          <w:tcPr>
            <w:tcW w:w="855" w:type="pct"/>
          </w:tcPr>
          <w:p w14:paraId="694A2D8B"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UN</w:t>
            </w:r>
          </w:p>
        </w:tc>
        <w:tc>
          <w:tcPr>
            <w:tcW w:w="1288" w:type="pct"/>
          </w:tcPr>
          <w:p w14:paraId="5DC222E8"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AdministrativeGender</w:t>
            </w:r>
          </w:p>
        </w:tc>
        <w:tc>
          <w:tcPr>
            <w:tcW w:w="1607" w:type="pct"/>
          </w:tcPr>
          <w:p w14:paraId="7BC21052"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urn:oid:2.16.840.1.113883.5.1</w:t>
            </w:r>
          </w:p>
        </w:tc>
        <w:tc>
          <w:tcPr>
            <w:tcW w:w="1250" w:type="pct"/>
          </w:tcPr>
          <w:p w14:paraId="5EF90529" w14:textId="77777777" w:rsidR="00494A83" w:rsidRPr="00212B92" w:rsidRDefault="00494A83" w:rsidP="00494A83">
            <w:pPr>
              <w:pStyle w:val="TableText"/>
              <w:rPr>
                <w:rFonts w:asciiTheme="minorHAnsi" w:hAnsiTheme="minorHAnsi"/>
                <w:sz w:val="20"/>
                <w:szCs w:val="20"/>
              </w:rPr>
            </w:pPr>
            <w:r w:rsidRPr="00212B92">
              <w:rPr>
                <w:rFonts w:asciiTheme="minorHAnsi" w:hAnsiTheme="minorHAnsi"/>
                <w:sz w:val="20"/>
                <w:szCs w:val="20"/>
              </w:rPr>
              <w:t>Undifferentiated</w:t>
            </w:r>
          </w:p>
        </w:tc>
      </w:tr>
    </w:tbl>
    <w:p w14:paraId="69A85D91" w14:textId="30C02397" w:rsidR="00494A83" w:rsidRPr="00212B92" w:rsidRDefault="00494A83" w:rsidP="00494A83">
      <w:pPr>
        <w:pStyle w:val="BodyText"/>
        <w:rPr>
          <w:rFonts w:asciiTheme="minorHAnsi" w:hAnsiTheme="minorHAnsi"/>
          <w:szCs w:val="20"/>
        </w:rPr>
      </w:pPr>
    </w:p>
    <w:p w14:paraId="6D7BED45" w14:textId="395848B8" w:rsidR="00010BDF" w:rsidRDefault="00E70C43" w:rsidP="009F7B51">
      <w:pPr>
        <w:spacing w:after="0" w:line="240" w:lineRule="auto"/>
        <w:rPr>
          <w:b/>
          <w:sz w:val="28"/>
          <w:szCs w:val="28"/>
        </w:rPr>
      </w:pPr>
      <w:bookmarkStart w:id="495" w:name="_Toc436033864"/>
      <w:r>
        <w:rPr>
          <w:b/>
          <w:sz w:val="28"/>
          <w:szCs w:val="28"/>
        </w:rPr>
        <w:t xml:space="preserve">3.4  </w:t>
      </w:r>
      <w:r w:rsidR="00010BDF" w:rsidRPr="00E70C43">
        <w:rPr>
          <w:b/>
          <w:sz w:val="28"/>
          <w:szCs w:val="28"/>
        </w:rPr>
        <w:t>CSTE Identified Data Requirements</w:t>
      </w:r>
      <w:bookmarkEnd w:id="480"/>
      <w:bookmarkEnd w:id="495"/>
    </w:p>
    <w:p w14:paraId="1AD6860E" w14:textId="211BAC59" w:rsidR="0012370B" w:rsidRPr="0012370B" w:rsidRDefault="009F7B51" w:rsidP="0012370B">
      <w:r>
        <w:t xml:space="preserve">Table 3 </w:t>
      </w:r>
      <w:r w:rsidR="0012370B" w:rsidRPr="0012370B">
        <w:t>below contains a set of data element requirements proposed by the CSTE and used to map data for this standard. The following sections contain reference tables and graphics of the data model used in this document.</w:t>
      </w:r>
    </w:p>
    <w:tbl>
      <w:tblPr>
        <w:tblW w:w="4601" w:type="pct"/>
        <w:tblLook w:val="04A0" w:firstRow="1" w:lastRow="0" w:firstColumn="1" w:lastColumn="0" w:noHBand="0" w:noVBand="1"/>
      </w:tblPr>
      <w:tblGrid>
        <w:gridCol w:w="2296"/>
        <w:gridCol w:w="3259"/>
        <w:gridCol w:w="3257"/>
      </w:tblGrid>
      <w:tr w:rsidR="009004C7" w:rsidRPr="00B1681B" w14:paraId="5BE4E41C" w14:textId="77777777" w:rsidTr="00075A5C">
        <w:trPr>
          <w:cantSplit/>
          <w:tblHeader/>
        </w:trPr>
        <w:tc>
          <w:tcPr>
            <w:tcW w:w="1303" w:type="pct"/>
            <w:tcBorders>
              <w:top w:val="double" w:sz="6" w:space="0" w:color="auto"/>
              <w:left w:val="double" w:sz="6" w:space="0" w:color="auto"/>
              <w:bottom w:val="single" w:sz="4" w:space="0" w:color="auto"/>
              <w:right w:val="single" w:sz="8" w:space="0" w:color="auto"/>
            </w:tcBorders>
            <w:shd w:val="clear" w:color="000000" w:fill="00B0F0"/>
            <w:hideMark/>
          </w:tcPr>
          <w:p w14:paraId="2C4F8C07" w14:textId="77777777" w:rsidR="009004C7" w:rsidRPr="00B1681B" w:rsidRDefault="009004C7" w:rsidP="00010BDF">
            <w:pPr>
              <w:spacing w:after="0" w:line="240" w:lineRule="auto"/>
              <w:rPr>
                <w:b/>
                <w:bCs/>
                <w:color w:val="000000"/>
              </w:rPr>
            </w:pPr>
            <w:r w:rsidRPr="00B1681B">
              <w:rPr>
                <w:b/>
                <w:bCs/>
                <w:color w:val="000000"/>
              </w:rPr>
              <w:t>CSTE ELEMENT NAME</w:t>
            </w:r>
          </w:p>
        </w:tc>
        <w:tc>
          <w:tcPr>
            <w:tcW w:w="1849" w:type="pct"/>
            <w:tcBorders>
              <w:top w:val="double" w:sz="6" w:space="0" w:color="auto"/>
              <w:left w:val="nil"/>
              <w:bottom w:val="single" w:sz="4" w:space="0" w:color="auto"/>
              <w:right w:val="single" w:sz="8" w:space="0" w:color="auto"/>
            </w:tcBorders>
            <w:shd w:val="clear" w:color="000000" w:fill="00B0F0"/>
            <w:hideMark/>
          </w:tcPr>
          <w:p w14:paraId="02BBB739" w14:textId="77777777" w:rsidR="009004C7" w:rsidRPr="00B1681B" w:rsidRDefault="009004C7" w:rsidP="00010BDF">
            <w:pPr>
              <w:spacing w:after="0" w:line="240" w:lineRule="auto"/>
              <w:rPr>
                <w:b/>
                <w:bCs/>
                <w:color w:val="000000"/>
              </w:rPr>
            </w:pPr>
            <w:r w:rsidRPr="00B1681B">
              <w:rPr>
                <w:b/>
                <w:bCs/>
                <w:color w:val="000000"/>
              </w:rPr>
              <w:t>CSTE DESCRIPTION</w:t>
            </w:r>
          </w:p>
        </w:tc>
        <w:tc>
          <w:tcPr>
            <w:tcW w:w="1848" w:type="pct"/>
            <w:tcBorders>
              <w:top w:val="double" w:sz="6" w:space="0" w:color="auto"/>
              <w:left w:val="nil"/>
              <w:bottom w:val="single" w:sz="4" w:space="0" w:color="auto"/>
              <w:right w:val="double" w:sz="6" w:space="0" w:color="auto"/>
            </w:tcBorders>
            <w:shd w:val="clear" w:color="000000" w:fill="00B0F0"/>
            <w:hideMark/>
          </w:tcPr>
          <w:p w14:paraId="7670AE8A" w14:textId="77777777" w:rsidR="009004C7" w:rsidRPr="00B1681B" w:rsidRDefault="009004C7" w:rsidP="00010BDF">
            <w:pPr>
              <w:spacing w:after="0" w:line="240" w:lineRule="auto"/>
              <w:rPr>
                <w:b/>
                <w:bCs/>
                <w:color w:val="000000"/>
              </w:rPr>
            </w:pPr>
            <w:r w:rsidRPr="00B1681B">
              <w:rPr>
                <w:b/>
                <w:bCs/>
                <w:color w:val="000000"/>
              </w:rPr>
              <w:t>RATIONALE / JUSTIFICATION</w:t>
            </w:r>
          </w:p>
        </w:tc>
      </w:tr>
      <w:tr w:rsidR="009004C7" w:rsidRPr="00B1681B" w14:paraId="0D43A957"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BEB6CE5" w14:textId="77777777" w:rsidR="009004C7" w:rsidRPr="00B1681B" w:rsidRDefault="009004C7" w:rsidP="00010BDF">
            <w:pPr>
              <w:spacing w:after="0" w:line="240" w:lineRule="auto"/>
              <w:rPr>
                <w:color w:val="000000"/>
              </w:rPr>
            </w:pPr>
            <w:r w:rsidRPr="00B1681B">
              <w:rPr>
                <w:color w:val="000000"/>
              </w:rPr>
              <w:t>Date of the Report</w:t>
            </w:r>
          </w:p>
        </w:tc>
        <w:tc>
          <w:tcPr>
            <w:tcW w:w="1849" w:type="pct"/>
            <w:tcBorders>
              <w:top w:val="nil"/>
              <w:left w:val="nil"/>
              <w:bottom w:val="single" w:sz="4" w:space="0" w:color="auto"/>
              <w:right w:val="single" w:sz="8" w:space="0" w:color="auto"/>
            </w:tcBorders>
            <w:shd w:val="clear" w:color="auto" w:fill="auto"/>
            <w:hideMark/>
          </w:tcPr>
          <w:p w14:paraId="51BD5725" w14:textId="77777777" w:rsidR="009004C7" w:rsidRPr="00B1681B" w:rsidRDefault="009004C7" w:rsidP="00010BDF">
            <w:pPr>
              <w:spacing w:after="0" w:line="240" w:lineRule="auto"/>
              <w:rPr>
                <w:color w:val="000000"/>
              </w:rPr>
            </w:pPr>
            <w:r w:rsidRPr="00B1681B">
              <w:rPr>
                <w:color w:val="000000"/>
              </w:rPr>
              <w:t>The date on which the reporting party (e.g., physician, nurse practitioner, physician assistant, etc.), completes collection of minimum data for the eICR</w:t>
            </w:r>
          </w:p>
        </w:tc>
        <w:tc>
          <w:tcPr>
            <w:tcW w:w="1848" w:type="pct"/>
            <w:tcBorders>
              <w:top w:val="single" w:sz="4" w:space="0" w:color="auto"/>
              <w:left w:val="nil"/>
              <w:bottom w:val="single" w:sz="4" w:space="0" w:color="auto"/>
              <w:right w:val="double" w:sz="6" w:space="0" w:color="auto"/>
            </w:tcBorders>
            <w:shd w:val="clear" w:color="auto" w:fill="auto"/>
            <w:hideMark/>
          </w:tcPr>
          <w:p w14:paraId="67C50AFE" w14:textId="6D770A63" w:rsidR="009004C7" w:rsidRPr="00B1681B" w:rsidRDefault="009004C7" w:rsidP="00010BDF">
            <w:pPr>
              <w:spacing w:after="0" w:line="240" w:lineRule="auto"/>
              <w:rPr>
                <w:color w:val="000000"/>
              </w:rPr>
            </w:pPr>
            <w:r w:rsidRPr="00B1681B">
              <w:rPr>
                <w:color w:val="000000"/>
              </w:rPr>
              <w:t>Used to assess timelines of eICR data provisioning, and other quality assurance tasks</w:t>
            </w:r>
          </w:p>
        </w:tc>
      </w:tr>
      <w:tr w:rsidR="009004C7" w:rsidRPr="00B1681B" w14:paraId="12904F42"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8374A01" w14:textId="77777777" w:rsidR="009004C7" w:rsidRPr="00B1681B" w:rsidRDefault="009004C7" w:rsidP="00010BDF">
            <w:pPr>
              <w:spacing w:after="0" w:line="240" w:lineRule="auto"/>
              <w:rPr>
                <w:color w:val="000000"/>
              </w:rPr>
            </w:pPr>
            <w:r w:rsidRPr="00B1681B">
              <w:rPr>
                <w:color w:val="000000"/>
              </w:rPr>
              <w:t>Report Submission Date/Time</w:t>
            </w:r>
          </w:p>
        </w:tc>
        <w:tc>
          <w:tcPr>
            <w:tcW w:w="1849" w:type="pct"/>
            <w:tcBorders>
              <w:top w:val="nil"/>
              <w:left w:val="nil"/>
              <w:bottom w:val="single" w:sz="4" w:space="0" w:color="auto"/>
              <w:right w:val="single" w:sz="8" w:space="0" w:color="auto"/>
            </w:tcBorders>
            <w:shd w:val="clear" w:color="auto" w:fill="auto"/>
            <w:hideMark/>
          </w:tcPr>
          <w:p w14:paraId="3C1ECF52" w14:textId="0AD65E65" w:rsidR="009004C7" w:rsidRPr="00B1681B" w:rsidRDefault="009004C7" w:rsidP="00010BDF">
            <w:pPr>
              <w:spacing w:after="0" w:line="240" w:lineRule="auto"/>
              <w:rPr>
                <w:color w:val="000000"/>
              </w:rPr>
            </w:pPr>
            <w:r w:rsidRPr="00B1681B">
              <w:rPr>
                <w:color w:val="000000"/>
              </w:rPr>
              <w:t>The date and time at which the EHR system sends the eICR data to the jurisdictional public health agency or designee</w:t>
            </w:r>
          </w:p>
        </w:tc>
        <w:tc>
          <w:tcPr>
            <w:tcW w:w="1848" w:type="pct"/>
            <w:tcBorders>
              <w:top w:val="single" w:sz="4" w:space="0" w:color="auto"/>
              <w:left w:val="nil"/>
              <w:bottom w:val="single" w:sz="4" w:space="0" w:color="auto"/>
              <w:right w:val="double" w:sz="6" w:space="0" w:color="auto"/>
            </w:tcBorders>
            <w:shd w:val="clear" w:color="auto" w:fill="auto"/>
            <w:hideMark/>
          </w:tcPr>
          <w:p w14:paraId="05045728" w14:textId="77777777" w:rsidR="009004C7" w:rsidRPr="00B1681B" w:rsidRDefault="009004C7" w:rsidP="00010BDF">
            <w:pPr>
              <w:spacing w:after="0" w:line="240" w:lineRule="auto"/>
              <w:rPr>
                <w:color w:val="000000"/>
              </w:rPr>
            </w:pPr>
            <w:r w:rsidRPr="00B1681B">
              <w:rPr>
                <w:color w:val="000000"/>
              </w:rPr>
              <w:t>Used to ensure timeliness of report and to identify time lags between date of the report and when the EHR sends the report</w:t>
            </w:r>
          </w:p>
        </w:tc>
      </w:tr>
      <w:tr w:rsidR="009004C7" w:rsidRPr="00B1681B" w14:paraId="5AD88F0C"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CB9E62A" w14:textId="77777777" w:rsidR="009004C7" w:rsidRPr="00B1681B" w:rsidRDefault="009004C7" w:rsidP="00010BDF">
            <w:pPr>
              <w:spacing w:after="0" w:line="240" w:lineRule="auto"/>
              <w:rPr>
                <w:color w:val="000000"/>
              </w:rPr>
            </w:pPr>
            <w:r w:rsidRPr="00B1681B">
              <w:rPr>
                <w:color w:val="000000"/>
              </w:rPr>
              <w:t>Sending Application</w:t>
            </w:r>
          </w:p>
        </w:tc>
        <w:tc>
          <w:tcPr>
            <w:tcW w:w="1849" w:type="pct"/>
            <w:tcBorders>
              <w:top w:val="nil"/>
              <w:left w:val="nil"/>
              <w:bottom w:val="single" w:sz="4" w:space="0" w:color="auto"/>
              <w:right w:val="single" w:sz="8" w:space="0" w:color="auto"/>
            </w:tcBorders>
            <w:shd w:val="clear" w:color="auto" w:fill="auto"/>
            <w:hideMark/>
          </w:tcPr>
          <w:p w14:paraId="62BFB2B8" w14:textId="77777777" w:rsidR="009004C7" w:rsidRPr="00B1681B" w:rsidRDefault="009004C7" w:rsidP="00010BDF">
            <w:pPr>
              <w:spacing w:after="0" w:line="240" w:lineRule="auto"/>
              <w:rPr>
                <w:color w:val="000000"/>
              </w:rPr>
            </w:pPr>
            <w:r w:rsidRPr="00B1681B">
              <w:rPr>
                <w:color w:val="000000"/>
              </w:rPr>
              <w:t>The name of the sending application</w:t>
            </w:r>
          </w:p>
        </w:tc>
        <w:tc>
          <w:tcPr>
            <w:tcW w:w="1848" w:type="pct"/>
            <w:tcBorders>
              <w:top w:val="single" w:sz="4" w:space="0" w:color="auto"/>
              <w:left w:val="nil"/>
              <w:bottom w:val="single" w:sz="4" w:space="0" w:color="auto"/>
              <w:right w:val="double" w:sz="6" w:space="0" w:color="auto"/>
            </w:tcBorders>
            <w:shd w:val="clear" w:color="auto" w:fill="auto"/>
            <w:hideMark/>
          </w:tcPr>
          <w:p w14:paraId="6F383866" w14:textId="77777777" w:rsidR="009004C7" w:rsidRPr="00B1681B" w:rsidRDefault="009004C7" w:rsidP="00010BDF">
            <w:pPr>
              <w:spacing w:after="0" w:line="240" w:lineRule="auto"/>
              <w:rPr>
                <w:color w:val="000000"/>
              </w:rPr>
            </w:pPr>
            <w:r w:rsidRPr="00B1681B">
              <w:rPr>
                <w:color w:val="000000"/>
              </w:rPr>
              <w:t>Used to ensure quality and integrity of eICR data</w:t>
            </w:r>
          </w:p>
        </w:tc>
      </w:tr>
      <w:tr w:rsidR="009004C7" w:rsidRPr="00B1681B" w14:paraId="322034D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06606044" w14:textId="77777777" w:rsidR="009004C7" w:rsidRPr="00B1681B" w:rsidRDefault="009004C7" w:rsidP="00010BDF">
            <w:pPr>
              <w:spacing w:after="0" w:line="240" w:lineRule="auto"/>
              <w:rPr>
                <w:color w:val="000000"/>
              </w:rPr>
            </w:pPr>
            <w:r w:rsidRPr="00B1681B">
              <w:rPr>
                <w:color w:val="000000"/>
              </w:rPr>
              <w:t>Provider ID</w:t>
            </w:r>
          </w:p>
        </w:tc>
        <w:tc>
          <w:tcPr>
            <w:tcW w:w="1849" w:type="pct"/>
            <w:tcBorders>
              <w:top w:val="nil"/>
              <w:left w:val="nil"/>
              <w:bottom w:val="single" w:sz="4" w:space="0" w:color="auto"/>
              <w:right w:val="single" w:sz="8" w:space="0" w:color="auto"/>
            </w:tcBorders>
            <w:shd w:val="clear" w:color="auto" w:fill="auto"/>
            <w:hideMark/>
          </w:tcPr>
          <w:p w14:paraId="3A59D09E" w14:textId="77777777" w:rsidR="009004C7" w:rsidRPr="00B1681B" w:rsidRDefault="009004C7" w:rsidP="00010BDF">
            <w:pPr>
              <w:spacing w:after="0" w:line="240" w:lineRule="auto"/>
              <w:rPr>
                <w:color w:val="000000"/>
              </w:rPr>
            </w:pPr>
            <w:r w:rsidRPr="00B1681B">
              <w:rPr>
                <w:color w:val="000000"/>
              </w:rPr>
              <w:t>Identification code for the care provider (e.g., NPI)</w:t>
            </w:r>
          </w:p>
        </w:tc>
        <w:tc>
          <w:tcPr>
            <w:tcW w:w="1848" w:type="pct"/>
            <w:tcBorders>
              <w:top w:val="single" w:sz="4" w:space="0" w:color="auto"/>
              <w:left w:val="nil"/>
              <w:bottom w:val="single" w:sz="4" w:space="0" w:color="auto"/>
              <w:right w:val="double" w:sz="6" w:space="0" w:color="auto"/>
            </w:tcBorders>
            <w:shd w:val="clear" w:color="auto" w:fill="auto"/>
            <w:hideMark/>
          </w:tcPr>
          <w:p w14:paraId="22A514EB"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78019869"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A97A182" w14:textId="77777777" w:rsidR="009004C7" w:rsidRPr="00B1681B" w:rsidRDefault="009004C7" w:rsidP="00010BDF">
            <w:pPr>
              <w:spacing w:after="0" w:line="240" w:lineRule="auto"/>
              <w:rPr>
                <w:color w:val="000000"/>
              </w:rPr>
            </w:pPr>
            <w:r w:rsidRPr="00B1681B">
              <w:rPr>
                <w:color w:val="000000"/>
              </w:rPr>
              <w:t>Provider Name</w:t>
            </w:r>
          </w:p>
        </w:tc>
        <w:tc>
          <w:tcPr>
            <w:tcW w:w="1849" w:type="pct"/>
            <w:tcBorders>
              <w:top w:val="nil"/>
              <w:left w:val="nil"/>
              <w:bottom w:val="single" w:sz="4" w:space="0" w:color="auto"/>
              <w:right w:val="single" w:sz="8" w:space="0" w:color="auto"/>
            </w:tcBorders>
            <w:shd w:val="clear" w:color="auto" w:fill="auto"/>
            <w:hideMark/>
          </w:tcPr>
          <w:p w14:paraId="461BBE0F" w14:textId="77777777" w:rsidR="009004C7" w:rsidRPr="00B1681B" w:rsidRDefault="009004C7" w:rsidP="00010BDF">
            <w:pPr>
              <w:spacing w:after="0" w:line="240" w:lineRule="auto"/>
              <w:rPr>
                <w:color w:val="000000"/>
              </w:rPr>
            </w:pPr>
            <w:r w:rsidRPr="00B1681B">
              <w:rPr>
                <w:color w:val="000000"/>
              </w:rPr>
              <w:t>The first and last name of the healthcare provider</w:t>
            </w:r>
          </w:p>
        </w:tc>
        <w:tc>
          <w:tcPr>
            <w:tcW w:w="1848" w:type="pct"/>
            <w:tcBorders>
              <w:top w:val="single" w:sz="4" w:space="0" w:color="auto"/>
              <w:left w:val="nil"/>
              <w:bottom w:val="single" w:sz="4" w:space="0" w:color="auto"/>
              <w:right w:val="double" w:sz="6" w:space="0" w:color="auto"/>
            </w:tcBorders>
            <w:shd w:val="clear" w:color="auto" w:fill="auto"/>
            <w:hideMark/>
          </w:tcPr>
          <w:p w14:paraId="31572A61"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19C5076E"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076F0622" w14:textId="77777777" w:rsidR="009004C7" w:rsidRPr="00B1681B" w:rsidRDefault="009004C7" w:rsidP="00010BDF">
            <w:pPr>
              <w:spacing w:after="0" w:line="240" w:lineRule="auto"/>
              <w:rPr>
                <w:color w:val="000000"/>
              </w:rPr>
            </w:pPr>
            <w:r w:rsidRPr="00B1681B">
              <w:rPr>
                <w:color w:val="000000"/>
              </w:rPr>
              <w:lastRenderedPageBreak/>
              <w:t>Provider Phone</w:t>
            </w:r>
          </w:p>
        </w:tc>
        <w:tc>
          <w:tcPr>
            <w:tcW w:w="1849" w:type="pct"/>
            <w:tcBorders>
              <w:top w:val="nil"/>
              <w:left w:val="nil"/>
              <w:bottom w:val="single" w:sz="4" w:space="0" w:color="auto"/>
              <w:right w:val="single" w:sz="8" w:space="0" w:color="auto"/>
            </w:tcBorders>
            <w:shd w:val="clear" w:color="auto" w:fill="auto"/>
            <w:hideMark/>
          </w:tcPr>
          <w:p w14:paraId="494B02AB" w14:textId="77777777" w:rsidR="009004C7" w:rsidRPr="00B1681B" w:rsidRDefault="009004C7" w:rsidP="00010BDF">
            <w:pPr>
              <w:spacing w:after="0" w:line="240" w:lineRule="auto"/>
              <w:rPr>
                <w:color w:val="000000"/>
              </w:rPr>
            </w:pPr>
            <w:r w:rsidRPr="00B1681B">
              <w:rPr>
                <w:color w:val="000000"/>
              </w:rPr>
              <w:t>The provider's phone number with area code</w:t>
            </w:r>
          </w:p>
        </w:tc>
        <w:tc>
          <w:tcPr>
            <w:tcW w:w="1848" w:type="pct"/>
            <w:tcBorders>
              <w:top w:val="single" w:sz="4" w:space="0" w:color="auto"/>
              <w:left w:val="nil"/>
              <w:bottom w:val="single" w:sz="4" w:space="0" w:color="auto"/>
              <w:right w:val="double" w:sz="6" w:space="0" w:color="auto"/>
            </w:tcBorders>
            <w:shd w:val="clear" w:color="auto" w:fill="auto"/>
            <w:hideMark/>
          </w:tcPr>
          <w:p w14:paraId="5DB23C6D"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7768CCB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3B1D652" w14:textId="77777777" w:rsidR="009004C7" w:rsidRPr="00B1681B" w:rsidRDefault="009004C7" w:rsidP="00010BDF">
            <w:pPr>
              <w:spacing w:after="0" w:line="240" w:lineRule="auto"/>
              <w:rPr>
                <w:color w:val="000000"/>
              </w:rPr>
            </w:pPr>
            <w:r w:rsidRPr="00B1681B">
              <w:rPr>
                <w:color w:val="000000"/>
              </w:rPr>
              <w:t>Provider Fax</w:t>
            </w:r>
          </w:p>
        </w:tc>
        <w:tc>
          <w:tcPr>
            <w:tcW w:w="1849" w:type="pct"/>
            <w:tcBorders>
              <w:top w:val="nil"/>
              <w:left w:val="nil"/>
              <w:bottom w:val="single" w:sz="4" w:space="0" w:color="auto"/>
              <w:right w:val="single" w:sz="8" w:space="0" w:color="auto"/>
            </w:tcBorders>
            <w:shd w:val="clear" w:color="auto" w:fill="auto"/>
            <w:hideMark/>
          </w:tcPr>
          <w:p w14:paraId="4877C53B" w14:textId="77777777" w:rsidR="009004C7" w:rsidRPr="00B1681B" w:rsidRDefault="009004C7" w:rsidP="00010BDF">
            <w:pPr>
              <w:spacing w:after="0" w:line="240" w:lineRule="auto"/>
              <w:rPr>
                <w:color w:val="000000"/>
              </w:rPr>
            </w:pPr>
            <w:r w:rsidRPr="00B1681B">
              <w:rPr>
                <w:color w:val="000000"/>
              </w:rPr>
              <w:t>The provider's fax number with area code</w:t>
            </w:r>
          </w:p>
        </w:tc>
        <w:tc>
          <w:tcPr>
            <w:tcW w:w="1848" w:type="pct"/>
            <w:tcBorders>
              <w:top w:val="single" w:sz="4" w:space="0" w:color="auto"/>
              <w:left w:val="nil"/>
              <w:bottom w:val="single" w:sz="4" w:space="0" w:color="auto"/>
              <w:right w:val="double" w:sz="6" w:space="0" w:color="auto"/>
            </w:tcBorders>
            <w:shd w:val="clear" w:color="auto" w:fill="auto"/>
            <w:hideMark/>
          </w:tcPr>
          <w:p w14:paraId="35D6402D" w14:textId="5CF007DB" w:rsidR="009004C7" w:rsidRPr="00B1681B" w:rsidRDefault="009004C7" w:rsidP="00010BDF">
            <w:pPr>
              <w:spacing w:after="0" w:line="240" w:lineRule="auto"/>
              <w:rPr>
                <w:color w:val="000000"/>
              </w:rPr>
            </w:pPr>
            <w:r w:rsidRPr="00B1681B">
              <w:rPr>
                <w:color w:val="000000"/>
              </w:rPr>
              <w:t>Necessary to obtain additional info during case follow-up phase or to submit supplemental information</w:t>
            </w:r>
          </w:p>
        </w:tc>
      </w:tr>
      <w:tr w:rsidR="009004C7" w:rsidRPr="00B1681B" w14:paraId="46FDACF6"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27C715D" w14:textId="77777777" w:rsidR="009004C7" w:rsidRPr="00B1681B" w:rsidRDefault="009004C7" w:rsidP="00010BDF">
            <w:pPr>
              <w:spacing w:after="0" w:line="240" w:lineRule="auto"/>
              <w:rPr>
                <w:color w:val="000000"/>
              </w:rPr>
            </w:pPr>
            <w:r w:rsidRPr="00B1681B">
              <w:rPr>
                <w:color w:val="000000"/>
              </w:rPr>
              <w:t>Provider Email</w:t>
            </w:r>
          </w:p>
        </w:tc>
        <w:tc>
          <w:tcPr>
            <w:tcW w:w="1849" w:type="pct"/>
            <w:tcBorders>
              <w:top w:val="nil"/>
              <w:left w:val="nil"/>
              <w:bottom w:val="single" w:sz="4" w:space="0" w:color="auto"/>
              <w:right w:val="single" w:sz="8" w:space="0" w:color="auto"/>
            </w:tcBorders>
            <w:shd w:val="clear" w:color="auto" w:fill="auto"/>
            <w:hideMark/>
          </w:tcPr>
          <w:p w14:paraId="0B15E563" w14:textId="77777777" w:rsidR="009004C7" w:rsidRPr="00B1681B" w:rsidRDefault="009004C7" w:rsidP="00010BDF">
            <w:pPr>
              <w:spacing w:after="0" w:line="240" w:lineRule="auto"/>
              <w:rPr>
                <w:color w:val="000000"/>
              </w:rPr>
            </w:pPr>
            <w:r w:rsidRPr="00B1681B">
              <w:rPr>
                <w:color w:val="000000"/>
              </w:rPr>
              <w:t>The provider's email address</w:t>
            </w:r>
          </w:p>
        </w:tc>
        <w:tc>
          <w:tcPr>
            <w:tcW w:w="1848" w:type="pct"/>
            <w:tcBorders>
              <w:top w:val="single" w:sz="4" w:space="0" w:color="auto"/>
              <w:left w:val="nil"/>
              <w:bottom w:val="single" w:sz="4" w:space="0" w:color="auto"/>
              <w:right w:val="double" w:sz="6" w:space="0" w:color="auto"/>
            </w:tcBorders>
            <w:shd w:val="clear" w:color="auto" w:fill="auto"/>
            <w:hideMark/>
          </w:tcPr>
          <w:p w14:paraId="620DD051" w14:textId="77777777" w:rsidR="009004C7" w:rsidRPr="00B1681B" w:rsidRDefault="009004C7" w:rsidP="00010BDF">
            <w:pPr>
              <w:spacing w:after="0" w:line="240" w:lineRule="auto"/>
              <w:rPr>
                <w:color w:val="000000"/>
              </w:rPr>
            </w:pPr>
            <w:r w:rsidRPr="00B1681B">
              <w:rPr>
                <w:color w:val="000000"/>
              </w:rPr>
              <w:t>If secure email is available; used for  sharing secure links to health data if allowed by state regulations</w:t>
            </w:r>
          </w:p>
        </w:tc>
      </w:tr>
      <w:tr w:rsidR="009004C7" w:rsidRPr="00B1681B" w14:paraId="33063A62"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448A304" w14:textId="77777777" w:rsidR="009004C7" w:rsidRPr="00B1681B" w:rsidRDefault="009004C7" w:rsidP="00010BDF">
            <w:pPr>
              <w:spacing w:after="0" w:line="240" w:lineRule="auto"/>
              <w:rPr>
                <w:color w:val="000000"/>
              </w:rPr>
            </w:pPr>
            <w:r w:rsidRPr="00B1681B">
              <w:rPr>
                <w:color w:val="000000"/>
              </w:rPr>
              <w:t>Provider Facility/Office Name</w:t>
            </w:r>
          </w:p>
        </w:tc>
        <w:tc>
          <w:tcPr>
            <w:tcW w:w="1849" w:type="pct"/>
            <w:tcBorders>
              <w:top w:val="nil"/>
              <w:left w:val="nil"/>
              <w:bottom w:val="single" w:sz="4" w:space="0" w:color="auto"/>
              <w:right w:val="single" w:sz="8" w:space="0" w:color="auto"/>
            </w:tcBorders>
            <w:shd w:val="clear" w:color="auto" w:fill="auto"/>
            <w:hideMark/>
          </w:tcPr>
          <w:p w14:paraId="61A2A3B2" w14:textId="77777777" w:rsidR="009004C7" w:rsidRPr="00B1681B" w:rsidRDefault="009004C7" w:rsidP="00010BDF">
            <w:pPr>
              <w:spacing w:after="0" w:line="240" w:lineRule="auto"/>
              <w:rPr>
                <w:color w:val="000000"/>
              </w:rPr>
            </w:pPr>
            <w:r w:rsidRPr="00B1681B">
              <w:rPr>
                <w:color w:val="000000"/>
              </w:rPr>
              <w:t>The provider facility's full name, not necessarily where care was provided to patient</w:t>
            </w:r>
          </w:p>
        </w:tc>
        <w:tc>
          <w:tcPr>
            <w:tcW w:w="1848" w:type="pct"/>
            <w:tcBorders>
              <w:top w:val="single" w:sz="4" w:space="0" w:color="auto"/>
              <w:left w:val="nil"/>
              <w:bottom w:val="single" w:sz="4" w:space="0" w:color="auto"/>
              <w:right w:val="double" w:sz="6" w:space="0" w:color="auto"/>
            </w:tcBorders>
            <w:shd w:val="clear" w:color="auto" w:fill="auto"/>
            <w:hideMark/>
          </w:tcPr>
          <w:p w14:paraId="376EDC4D"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69F79910"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783B7A74" w14:textId="77777777" w:rsidR="009004C7" w:rsidRPr="00B1681B" w:rsidRDefault="009004C7" w:rsidP="00010BDF">
            <w:pPr>
              <w:spacing w:after="0" w:line="240" w:lineRule="auto"/>
              <w:rPr>
                <w:color w:val="000000"/>
              </w:rPr>
            </w:pPr>
            <w:r w:rsidRPr="00B1681B">
              <w:rPr>
                <w:color w:val="000000"/>
              </w:rPr>
              <w:t>Provider Address</w:t>
            </w:r>
          </w:p>
        </w:tc>
        <w:tc>
          <w:tcPr>
            <w:tcW w:w="1849" w:type="pct"/>
            <w:tcBorders>
              <w:top w:val="nil"/>
              <w:left w:val="nil"/>
              <w:bottom w:val="single" w:sz="4" w:space="0" w:color="auto"/>
              <w:right w:val="single" w:sz="8" w:space="0" w:color="auto"/>
            </w:tcBorders>
            <w:shd w:val="clear" w:color="auto" w:fill="auto"/>
            <w:hideMark/>
          </w:tcPr>
          <w:p w14:paraId="1CD5B0AD" w14:textId="7F6A3B1D" w:rsidR="009004C7" w:rsidRPr="00B1681B" w:rsidRDefault="009004C7" w:rsidP="00010BDF">
            <w:pPr>
              <w:spacing w:after="0" w:line="240" w:lineRule="auto"/>
              <w:rPr>
                <w:color w:val="000000"/>
              </w:rPr>
            </w:pPr>
            <w:r w:rsidRPr="00B1681B">
              <w:rPr>
                <w:color w:val="000000"/>
              </w:rPr>
              <w:t>The geographical location or mailing address of the provider's office or facility. Address must include street address, office or suite number (if applicable), city or town, state, and zip code</w:t>
            </w:r>
          </w:p>
        </w:tc>
        <w:tc>
          <w:tcPr>
            <w:tcW w:w="1848" w:type="pct"/>
            <w:tcBorders>
              <w:top w:val="single" w:sz="4" w:space="0" w:color="auto"/>
              <w:left w:val="nil"/>
              <w:bottom w:val="single" w:sz="4" w:space="0" w:color="auto"/>
              <w:right w:val="double" w:sz="6" w:space="0" w:color="auto"/>
            </w:tcBorders>
            <w:shd w:val="clear" w:color="auto" w:fill="auto"/>
            <w:hideMark/>
          </w:tcPr>
          <w:p w14:paraId="4CE78C20"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064887B5"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F2B59DD" w14:textId="77777777" w:rsidR="009004C7" w:rsidRPr="00B1681B" w:rsidRDefault="009004C7" w:rsidP="00010BDF">
            <w:pPr>
              <w:spacing w:after="0" w:line="240" w:lineRule="auto"/>
              <w:rPr>
                <w:color w:val="000000"/>
              </w:rPr>
            </w:pPr>
            <w:r w:rsidRPr="00B1681B">
              <w:rPr>
                <w:color w:val="000000"/>
              </w:rPr>
              <w:t>Facility ID Number</w:t>
            </w:r>
          </w:p>
        </w:tc>
        <w:tc>
          <w:tcPr>
            <w:tcW w:w="1849" w:type="pct"/>
            <w:tcBorders>
              <w:top w:val="nil"/>
              <w:left w:val="nil"/>
              <w:bottom w:val="single" w:sz="4" w:space="0" w:color="auto"/>
              <w:right w:val="single" w:sz="8" w:space="0" w:color="auto"/>
            </w:tcBorders>
            <w:shd w:val="clear" w:color="auto" w:fill="auto"/>
            <w:hideMark/>
          </w:tcPr>
          <w:p w14:paraId="1D236ACC" w14:textId="77777777" w:rsidR="009004C7" w:rsidRPr="00B1681B" w:rsidRDefault="009004C7" w:rsidP="00010BDF">
            <w:pPr>
              <w:spacing w:after="0" w:line="240" w:lineRule="auto"/>
              <w:rPr>
                <w:color w:val="000000"/>
              </w:rPr>
            </w:pPr>
            <w:r w:rsidRPr="00B1681B">
              <w:rPr>
                <w:color w:val="000000"/>
              </w:rPr>
              <w:t>Identification code for the facility (e.g., Facility NPI)</w:t>
            </w:r>
          </w:p>
        </w:tc>
        <w:tc>
          <w:tcPr>
            <w:tcW w:w="1848" w:type="pct"/>
            <w:tcBorders>
              <w:top w:val="single" w:sz="4" w:space="0" w:color="auto"/>
              <w:left w:val="nil"/>
              <w:bottom w:val="single" w:sz="4" w:space="0" w:color="auto"/>
              <w:right w:val="double" w:sz="6" w:space="0" w:color="auto"/>
            </w:tcBorders>
            <w:shd w:val="clear" w:color="auto" w:fill="auto"/>
            <w:hideMark/>
          </w:tcPr>
          <w:p w14:paraId="72C4E315"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7582B5F2"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2FE2BD2" w14:textId="77777777" w:rsidR="009004C7" w:rsidRPr="00B1681B" w:rsidRDefault="009004C7" w:rsidP="00010BDF">
            <w:pPr>
              <w:spacing w:after="0" w:line="240" w:lineRule="auto"/>
              <w:rPr>
                <w:color w:val="000000"/>
              </w:rPr>
            </w:pPr>
            <w:r w:rsidRPr="00B1681B">
              <w:rPr>
                <w:color w:val="000000"/>
              </w:rPr>
              <w:t>Facility Name</w:t>
            </w:r>
          </w:p>
        </w:tc>
        <w:tc>
          <w:tcPr>
            <w:tcW w:w="1849" w:type="pct"/>
            <w:tcBorders>
              <w:top w:val="nil"/>
              <w:left w:val="nil"/>
              <w:bottom w:val="single" w:sz="4" w:space="0" w:color="auto"/>
              <w:right w:val="single" w:sz="8" w:space="0" w:color="auto"/>
            </w:tcBorders>
            <w:shd w:val="clear" w:color="auto" w:fill="auto"/>
            <w:hideMark/>
          </w:tcPr>
          <w:p w14:paraId="3BE3C479" w14:textId="77777777" w:rsidR="009004C7" w:rsidRPr="00B1681B" w:rsidRDefault="009004C7" w:rsidP="00010BDF">
            <w:pPr>
              <w:spacing w:after="0" w:line="240" w:lineRule="auto"/>
              <w:rPr>
                <w:color w:val="000000"/>
              </w:rPr>
            </w:pPr>
            <w:r w:rsidRPr="00B1681B">
              <w:rPr>
                <w:color w:val="000000"/>
              </w:rPr>
              <w:t>The facility's name</w:t>
            </w:r>
          </w:p>
        </w:tc>
        <w:tc>
          <w:tcPr>
            <w:tcW w:w="1848" w:type="pct"/>
            <w:tcBorders>
              <w:top w:val="single" w:sz="4" w:space="0" w:color="auto"/>
              <w:left w:val="nil"/>
              <w:bottom w:val="single" w:sz="4" w:space="0" w:color="auto"/>
              <w:right w:val="double" w:sz="6" w:space="0" w:color="auto"/>
            </w:tcBorders>
            <w:shd w:val="clear" w:color="auto" w:fill="auto"/>
            <w:hideMark/>
          </w:tcPr>
          <w:p w14:paraId="2BF51DBD"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340D8E05"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99B09B8" w14:textId="77777777" w:rsidR="009004C7" w:rsidRPr="00B1681B" w:rsidRDefault="009004C7" w:rsidP="00010BDF">
            <w:pPr>
              <w:spacing w:after="0" w:line="240" w:lineRule="auto"/>
              <w:rPr>
                <w:color w:val="000000"/>
              </w:rPr>
            </w:pPr>
            <w:r w:rsidRPr="00B1681B">
              <w:rPr>
                <w:color w:val="000000"/>
              </w:rPr>
              <w:t>Facility Type</w:t>
            </w:r>
          </w:p>
        </w:tc>
        <w:tc>
          <w:tcPr>
            <w:tcW w:w="1849" w:type="pct"/>
            <w:tcBorders>
              <w:top w:val="nil"/>
              <w:left w:val="nil"/>
              <w:bottom w:val="single" w:sz="4" w:space="0" w:color="auto"/>
              <w:right w:val="single" w:sz="8" w:space="0" w:color="auto"/>
            </w:tcBorders>
            <w:shd w:val="clear" w:color="auto" w:fill="auto"/>
            <w:hideMark/>
          </w:tcPr>
          <w:p w14:paraId="6BD0A850" w14:textId="77777777" w:rsidR="009004C7" w:rsidRPr="00B1681B" w:rsidRDefault="009004C7" w:rsidP="00010BDF">
            <w:pPr>
              <w:spacing w:after="0" w:line="240" w:lineRule="auto"/>
              <w:rPr>
                <w:color w:val="000000"/>
              </w:rPr>
            </w:pPr>
            <w:r w:rsidRPr="00B1681B">
              <w:rPr>
                <w:color w:val="000000"/>
              </w:rPr>
              <w:t>The type of facility where patient received or is receiving healthcare for the reportable condition (e.g., hospital, ambulatory, urgent care, etc.)</w:t>
            </w:r>
          </w:p>
        </w:tc>
        <w:tc>
          <w:tcPr>
            <w:tcW w:w="1848" w:type="pct"/>
            <w:tcBorders>
              <w:top w:val="single" w:sz="4" w:space="0" w:color="auto"/>
              <w:left w:val="nil"/>
              <w:bottom w:val="single" w:sz="4" w:space="0" w:color="auto"/>
              <w:right w:val="double" w:sz="6" w:space="0" w:color="auto"/>
            </w:tcBorders>
            <w:shd w:val="clear" w:color="auto" w:fill="auto"/>
            <w:hideMark/>
          </w:tcPr>
          <w:p w14:paraId="3ED6086A" w14:textId="296AD095" w:rsidR="009004C7" w:rsidRPr="00B1681B" w:rsidRDefault="009004C7" w:rsidP="00010BDF">
            <w:pPr>
              <w:spacing w:after="0" w:line="240" w:lineRule="auto"/>
              <w:rPr>
                <w:color w:val="000000"/>
              </w:rPr>
            </w:pPr>
            <w:r w:rsidRPr="00B1681B">
              <w:rPr>
                <w:color w:val="000000"/>
              </w:rPr>
              <w:t>Used to determine the type of care setting in which patient is receiving care for the reportable condition</w:t>
            </w:r>
          </w:p>
        </w:tc>
      </w:tr>
      <w:tr w:rsidR="009004C7" w:rsidRPr="00B1681B" w14:paraId="1922954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44500856" w14:textId="77777777" w:rsidR="009004C7" w:rsidRPr="00B1681B" w:rsidRDefault="009004C7" w:rsidP="00010BDF">
            <w:pPr>
              <w:spacing w:after="0" w:line="240" w:lineRule="auto"/>
              <w:rPr>
                <w:color w:val="000000"/>
              </w:rPr>
            </w:pPr>
            <w:r w:rsidRPr="00B1681B">
              <w:rPr>
                <w:color w:val="000000"/>
              </w:rPr>
              <w:lastRenderedPageBreak/>
              <w:t>Facility Phone</w:t>
            </w:r>
          </w:p>
        </w:tc>
        <w:tc>
          <w:tcPr>
            <w:tcW w:w="1849" w:type="pct"/>
            <w:tcBorders>
              <w:top w:val="nil"/>
              <w:left w:val="nil"/>
              <w:bottom w:val="single" w:sz="4" w:space="0" w:color="auto"/>
              <w:right w:val="single" w:sz="8" w:space="0" w:color="auto"/>
            </w:tcBorders>
            <w:shd w:val="clear" w:color="auto" w:fill="auto"/>
            <w:hideMark/>
          </w:tcPr>
          <w:p w14:paraId="4D5C9CEA" w14:textId="77777777" w:rsidR="009004C7" w:rsidRPr="00B1681B" w:rsidRDefault="009004C7" w:rsidP="00010BDF">
            <w:pPr>
              <w:spacing w:after="0" w:line="240" w:lineRule="auto"/>
              <w:rPr>
                <w:color w:val="000000"/>
              </w:rPr>
            </w:pPr>
            <w:r w:rsidRPr="00B1681B">
              <w:rPr>
                <w:color w:val="000000"/>
              </w:rPr>
              <w:t>The facility's phone number with area code</w:t>
            </w:r>
          </w:p>
        </w:tc>
        <w:tc>
          <w:tcPr>
            <w:tcW w:w="1848" w:type="pct"/>
            <w:tcBorders>
              <w:top w:val="single" w:sz="4" w:space="0" w:color="auto"/>
              <w:left w:val="nil"/>
              <w:bottom w:val="single" w:sz="4" w:space="0" w:color="auto"/>
              <w:right w:val="double" w:sz="6" w:space="0" w:color="auto"/>
            </w:tcBorders>
            <w:shd w:val="clear" w:color="auto" w:fill="auto"/>
            <w:hideMark/>
          </w:tcPr>
          <w:p w14:paraId="74FC9665"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3B4E9283"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6206D49F" w14:textId="77777777" w:rsidR="009004C7" w:rsidRPr="00B1681B" w:rsidRDefault="009004C7" w:rsidP="00010BDF">
            <w:pPr>
              <w:spacing w:after="0" w:line="240" w:lineRule="auto"/>
              <w:rPr>
                <w:color w:val="000000"/>
              </w:rPr>
            </w:pPr>
            <w:r w:rsidRPr="00B1681B">
              <w:rPr>
                <w:color w:val="000000"/>
              </w:rPr>
              <w:t>Facility Address</w:t>
            </w:r>
          </w:p>
        </w:tc>
        <w:tc>
          <w:tcPr>
            <w:tcW w:w="1849" w:type="pct"/>
            <w:tcBorders>
              <w:top w:val="nil"/>
              <w:left w:val="nil"/>
              <w:bottom w:val="single" w:sz="4" w:space="0" w:color="auto"/>
              <w:right w:val="single" w:sz="8" w:space="0" w:color="auto"/>
            </w:tcBorders>
            <w:shd w:val="clear" w:color="auto" w:fill="auto"/>
            <w:hideMark/>
          </w:tcPr>
          <w:p w14:paraId="3B17B8A5" w14:textId="01D0A027" w:rsidR="009004C7" w:rsidRPr="00B1681B" w:rsidRDefault="009004C7" w:rsidP="00010BDF">
            <w:pPr>
              <w:spacing w:after="0" w:line="240" w:lineRule="auto"/>
              <w:rPr>
                <w:color w:val="000000"/>
              </w:rPr>
            </w:pPr>
            <w:r w:rsidRPr="00B1681B">
              <w:rPr>
                <w:color w:val="000000"/>
              </w:rPr>
              <w:t>The mailing address for the facility where patient received or is receiving healthcare for the reportable condition. Must include street address, city/town, county, state, and zip code</w:t>
            </w:r>
          </w:p>
        </w:tc>
        <w:tc>
          <w:tcPr>
            <w:tcW w:w="1848" w:type="pct"/>
            <w:tcBorders>
              <w:top w:val="single" w:sz="4" w:space="0" w:color="auto"/>
              <w:left w:val="nil"/>
              <w:bottom w:val="single" w:sz="4" w:space="0" w:color="auto"/>
              <w:right w:val="double" w:sz="6" w:space="0" w:color="auto"/>
            </w:tcBorders>
            <w:shd w:val="clear" w:color="auto" w:fill="auto"/>
            <w:hideMark/>
          </w:tcPr>
          <w:p w14:paraId="18136677" w14:textId="77777777" w:rsidR="009004C7" w:rsidRPr="00B1681B" w:rsidRDefault="009004C7" w:rsidP="00010BDF">
            <w:pPr>
              <w:spacing w:after="0" w:line="240" w:lineRule="auto"/>
              <w:rPr>
                <w:color w:val="000000"/>
              </w:rPr>
            </w:pPr>
            <w:r w:rsidRPr="00B1681B">
              <w:rPr>
                <w:color w:val="000000"/>
              </w:rPr>
              <w:t xml:space="preserve">Need provider's contact information in order to follow up appropriately for reportable event to ensure appropriate treatment, identify contact exposures, etc. </w:t>
            </w:r>
          </w:p>
        </w:tc>
      </w:tr>
      <w:tr w:rsidR="009004C7" w:rsidRPr="00B1681B" w14:paraId="0971C3D0"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4670581C" w14:textId="77777777" w:rsidR="009004C7" w:rsidRPr="00B1681B" w:rsidRDefault="009004C7" w:rsidP="00010BDF">
            <w:pPr>
              <w:spacing w:after="0" w:line="240" w:lineRule="auto"/>
              <w:rPr>
                <w:color w:val="000000"/>
              </w:rPr>
            </w:pPr>
            <w:r w:rsidRPr="00B1681B">
              <w:rPr>
                <w:color w:val="000000"/>
              </w:rPr>
              <w:t>Patient ID Number</w:t>
            </w:r>
          </w:p>
        </w:tc>
        <w:tc>
          <w:tcPr>
            <w:tcW w:w="1849" w:type="pct"/>
            <w:tcBorders>
              <w:top w:val="nil"/>
              <w:left w:val="nil"/>
              <w:bottom w:val="single" w:sz="4" w:space="0" w:color="auto"/>
              <w:right w:val="single" w:sz="8" w:space="0" w:color="auto"/>
            </w:tcBorders>
            <w:shd w:val="clear" w:color="auto" w:fill="auto"/>
            <w:hideMark/>
          </w:tcPr>
          <w:p w14:paraId="5EF109C7" w14:textId="3B9C983D" w:rsidR="009004C7" w:rsidRPr="00B1681B" w:rsidRDefault="009004C7" w:rsidP="00010BDF">
            <w:pPr>
              <w:spacing w:after="0" w:line="240" w:lineRule="auto"/>
              <w:rPr>
                <w:color w:val="000000"/>
              </w:rPr>
            </w:pPr>
            <w:r w:rsidRPr="00B1681B">
              <w:rPr>
                <w:color w:val="000000"/>
              </w:rPr>
              <w:t>Patient social security number, medical record number, or other identifying value as required or allowed under jurisdictional laws governing health data exchange</w:t>
            </w:r>
          </w:p>
        </w:tc>
        <w:tc>
          <w:tcPr>
            <w:tcW w:w="1848" w:type="pct"/>
            <w:tcBorders>
              <w:top w:val="single" w:sz="4" w:space="0" w:color="auto"/>
              <w:left w:val="nil"/>
              <w:bottom w:val="single" w:sz="4" w:space="0" w:color="auto"/>
              <w:right w:val="double" w:sz="6" w:space="0" w:color="auto"/>
            </w:tcBorders>
            <w:shd w:val="clear" w:color="auto" w:fill="auto"/>
            <w:hideMark/>
          </w:tcPr>
          <w:p w14:paraId="60110ECD" w14:textId="77777777" w:rsidR="009004C7" w:rsidRPr="00B1681B" w:rsidRDefault="009004C7" w:rsidP="00010BDF">
            <w:pPr>
              <w:spacing w:after="0" w:line="240" w:lineRule="auto"/>
              <w:rPr>
                <w:color w:val="000000"/>
              </w:rPr>
            </w:pPr>
            <w:r w:rsidRPr="00B1681B">
              <w:rPr>
                <w:color w:val="000000"/>
              </w:rPr>
              <w:t>Identification and contact; jurisdictions may select which they can receive based on laws governing  public health data exchange</w:t>
            </w:r>
          </w:p>
        </w:tc>
      </w:tr>
      <w:tr w:rsidR="009004C7" w:rsidRPr="00B1681B" w14:paraId="142971BC"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63F6918F" w14:textId="77777777" w:rsidR="009004C7" w:rsidRPr="00B1681B" w:rsidRDefault="009004C7" w:rsidP="00010BDF">
            <w:pPr>
              <w:spacing w:after="0" w:line="240" w:lineRule="auto"/>
              <w:rPr>
                <w:color w:val="000000"/>
              </w:rPr>
            </w:pPr>
            <w:r w:rsidRPr="00B1681B">
              <w:rPr>
                <w:color w:val="000000"/>
              </w:rPr>
              <w:t>Patient Name</w:t>
            </w:r>
          </w:p>
        </w:tc>
        <w:tc>
          <w:tcPr>
            <w:tcW w:w="1849" w:type="pct"/>
            <w:tcBorders>
              <w:top w:val="nil"/>
              <w:left w:val="nil"/>
              <w:bottom w:val="single" w:sz="4" w:space="0" w:color="auto"/>
              <w:right w:val="single" w:sz="8" w:space="0" w:color="auto"/>
            </w:tcBorders>
            <w:shd w:val="clear" w:color="auto" w:fill="auto"/>
            <w:hideMark/>
          </w:tcPr>
          <w:p w14:paraId="053AFF95" w14:textId="01892C1D" w:rsidR="009004C7" w:rsidRPr="00B1681B" w:rsidRDefault="009004C7" w:rsidP="00010BDF">
            <w:pPr>
              <w:spacing w:after="0" w:line="240" w:lineRule="auto"/>
              <w:rPr>
                <w:color w:val="000000"/>
              </w:rPr>
            </w:pPr>
            <w:r w:rsidRPr="00B1681B">
              <w:rPr>
                <w:color w:val="000000"/>
              </w:rPr>
              <w:t>All names for the patient, including legal names and aliases. Must include the name type (i.e., legal or alias), first name, middle name, and last name</w:t>
            </w:r>
          </w:p>
        </w:tc>
        <w:tc>
          <w:tcPr>
            <w:tcW w:w="1848" w:type="pct"/>
            <w:tcBorders>
              <w:top w:val="single" w:sz="4" w:space="0" w:color="auto"/>
              <w:left w:val="nil"/>
              <w:bottom w:val="single" w:sz="4" w:space="0" w:color="auto"/>
              <w:right w:val="double" w:sz="6" w:space="0" w:color="auto"/>
            </w:tcBorders>
            <w:shd w:val="clear" w:color="auto" w:fill="auto"/>
            <w:hideMark/>
          </w:tcPr>
          <w:p w14:paraId="436BA86F" w14:textId="77777777" w:rsidR="009004C7" w:rsidRPr="00B1681B" w:rsidRDefault="009004C7" w:rsidP="00010BDF">
            <w:pPr>
              <w:spacing w:after="0" w:line="240" w:lineRule="auto"/>
              <w:rPr>
                <w:color w:val="000000"/>
              </w:rPr>
            </w:pPr>
            <w:r w:rsidRPr="00B1681B">
              <w:rPr>
                <w:color w:val="000000"/>
              </w:rPr>
              <w:t>Identification and contact</w:t>
            </w:r>
          </w:p>
        </w:tc>
      </w:tr>
      <w:tr w:rsidR="009004C7" w:rsidRPr="00B1681B" w14:paraId="7121DCE6"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46AC92BF" w14:textId="77777777" w:rsidR="009004C7" w:rsidRPr="00B1681B" w:rsidRDefault="009004C7" w:rsidP="00010BDF">
            <w:pPr>
              <w:spacing w:after="0" w:line="240" w:lineRule="auto"/>
              <w:rPr>
                <w:color w:val="000000"/>
              </w:rPr>
            </w:pPr>
            <w:r w:rsidRPr="00B1681B">
              <w:rPr>
                <w:color w:val="000000"/>
              </w:rPr>
              <w:t>Parent/Guardian Name</w:t>
            </w:r>
          </w:p>
        </w:tc>
        <w:tc>
          <w:tcPr>
            <w:tcW w:w="1849" w:type="pct"/>
            <w:tcBorders>
              <w:top w:val="nil"/>
              <w:left w:val="nil"/>
              <w:bottom w:val="single" w:sz="4" w:space="0" w:color="auto"/>
              <w:right w:val="single" w:sz="8" w:space="0" w:color="auto"/>
            </w:tcBorders>
            <w:shd w:val="clear" w:color="auto" w:fill="auto"/>
            <w:hideMark/>
          </w:tcPr>
          <w:p w14:paraId="65868E8A" w14:textId="066E17C0" w:rsidR="009004C7" w:rsidRPr="00B1681B" w:rsidRDefault="009004C7" w:rsidP="00010BDF">
            <w:pPr>
              <w:spacing w:after="0" w:line="240" w:lineRule="auto"/>
              <w:rPr>
                <w:color w:val="000000"/>
              </w:rPr>
            </w:pPr>
            <w:r w:rsidRPr="00B1681B">
              <w:rPr>
                <w:color w:val="000000"/>
              </w:rPr>
              <w:t>All names for the patient’s parent or guardian, including legal names and aliases (if patient age is &lt; 18 years). Must include name type (i.e., legal or alias), first name, middle name, and last name</w:t>
            </w:r>
          </w:p>
        </w:tc>
        <w:tc>
          <w:tcPr>
            <w:tcW w:w="1848" w:type="pct"/>
            <w:tcBorders>
              <w:top w:val="single" w:sz="4" w:space="0" w:color="auto"/>
              <w:left w:val="nil"/>
              <w:bottom w:val="single" w:sz="4" w:space="0" w:color="auto"/>
              <w:right w:val="double" w:sz="6" w:space="0" w:color="auto"/>
            </w:tcBorders>
            <w:shd w:val="clear" w:color="auto" w:fill="auto"/>
            <w:hideMark/>
          </w:tcPr>
          <w:p w14:paraId="76172636" w14:textId="77777777" w:rsidR="009004C7" w:rsidRPr="00B1681B" w:rsidRDefault="009004C7" w:rsidP="00010BDF">
            <w:pPr>
              <w:spacing w:after="0" w:line="240" w:lineRule="auto"/>
              <w:rPr>
                <w:color w:val="000000"/>
              </w:rPr>
            </w:pPr>
            <w:r w:rsidRPr="00B1681B">
              <w:rPr>
                <w:color w:val="000000"/>
              </w:rPr>
              <w:t>For appropriate contact with minors</w:t>
            </w:r>
          </w:p>
        </w:tc>
      </w:tr>
      <w:tr w:rsidR="009004C7" w:rsidRPr="00B1681B" w14:paraId="6108E67F"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7F10CFD7" w14:textId="22909060" w:rsidR="009004C7" w:rsidRPr="00B1681B" w:rsidRDefault="009004C7" w:rsidP="005F6E5A">
            <w:pPr>
              <w:spacing w:after="0" w:line="240" w:lineRule="auto"/>
              <w:rPr>
                <w:color w:val="000000"/>
              </w:rPr>
            </w:pPr>
            <w:r w:rsidRPr="00B1681B">
              <w:rPr>
                <w:color w:val="000000"/>
              </w:rPr>
              <w:t>Patient or Parent/Guardian Phone</w:t>
            </w:r>
          </w:p>
        </w:tc>
        <w:tc>
          <w:tcPr>
            <w:tcW w:w="1849" w:type="pct"/>
            <w:tcBorders>
              <w:top w:val="nil"/>
              <w:left w:val="nil"/>
              <w:bottom w:val="single" w:sz="4" w:space="0" w:color="auto"/>
              <w:right w:val="single" w:sz="8" w:space="0" w:color="auto"/>
            </w:tcBorders>
            <w:shd w:val="clear" w:color="auto" w:fill="auto"/>
            <w:hideMark/>
          </w:tcPr>
          <w:p w14:paraId="43026071" w14:textId="78038F59" w:rsidR="009004C7" w:rsidRPr="00B1681B" w:rsidRDefault="009004C7" w:rsidP="005F6E5A">
            <w:pPr>
              <w:spacing w:after="0" w:line="240" w:lineRule="auto"/>
              <w:rPr>
                <w:color w:val="000000"/>
              </w:rPr>
            </w:pPr>
            <w:r w:rsidRPr="00B1681B">
              <w:rPr>
                <w:color w:val="000000"/>
              </w:rPr>
              <w:t>All phone numbers and phone number types for the patient or parent/guardian</w:t>
            </w:r>
          </w:p>
        </w:tc>
        <w:tc>
          <w:tcPr>
            <w:tcW w:w="1848" w:type="pct"/>
            <w:tcBorders>
              <w:top w:val="single" w:sz="4" w:space="0" w:color="auto"/>
              <w:left w:val="nil"/>
              <w:bottom w:val="single" w:sz="4" w:space="0" w:color="auto"/>
              <w:right w:val="double" w:sz="6" w:space="0" w:color="auto"/>
            </w:tcBorders>
            <w:shd w:val="clear" w:color="auto" w:fill="auto"/>
            <w:hideMark/>
          </w:tcPr>
          <w:p w14:paraId="4D3ABA46" w14:textId="77777777" w:rsidR="009004C7" w:rsidRPr="00B1681B" w:rsidRDefault="009004C7" w:rsidP="00010BDF">
            <w:pPr>
              <w:spacing w:after="0" w:line="240" w:lineRule="auto"/>
              <w:rPr>
                <w:color w:val="000000"/>
              </w:rPr>
            </w:pPr>
            <w:r w:rsidRPr="00B1681B">
              <w:rPr>
                <w:color w:val="000000"/>
              </w:rPr>
              <w:t>Contact Patient</w:t>
            </w:r>
          </w:p>
        </w:tc>
      </w:tr>
      <w:tr w:rsidR="009004C7" w:rsidRPr="00B1681B" w14:paraId="5908EA5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0D595719" w14:textId="72998FA2" w:rsidR="009004C7" w:rsidRPr="00B1681B" w:rsidRDefault="009004C7" w:rsidP="005F6E5A">
            <w:pPr>
              <w:spacing w:after="0" w:line="240" w:lineRule="auto"/>
              <w:rPr>
                <w:color w:val="000000"/>
              </w:rPr>
            </w:pPr>
            <w:r w:rsidRPr="00B1681B">
              <w:rPr>
                <w:color w:val="000000"/>
              </w:rPr>
              <w:t>Patient or Parent/Guardian Email</w:t>
            </w:r>
          </w:p>
        </w:tc>
        <w:tc>
          <w:tcPr>
            <w:tcW w:w="1849" w:type="pct"/>
            <w:tcBorders>
              <w:top w:val="nil"/>
              <w:left w:val="nil"/>
              <w:bottom w:val="single" w:sz="4" w:space="0" w:color="auto"/>
              <w:right w:val="single" w:sz="8" w:space="0" w:color="auto"/>
            </w:tcBorders>
            <w:shd w:val="clear" w:color="auto" w:fill="auto"/>
            <w:hideMark/>
          </w:tcPr>
          <w:p w14:paraId="376F1A72" w14:textId="6513EBD3" w:rsidR="009004C7" w:rsidRPr="00B1681B" w:rsidRDefault="009004C7" w:rsidP="005F6E5A">
            <w:pPr>
              <w:spacing w:after="0" w:line="240" w:lineRule="auto"/>
              <w:rPr>
                <w:color w:val="000000"/>
              </w:rPr>
            </w:pPr>
            <w:r w:rsidRPr="00B1681B">
              <w:rPr>
                <w:color w:val="000000"/>
              </w:rPr>
              <w:t>The email address for the patient or the patient’s parent/guardian.</w:t>
            </w:r>
          </w:p>
        </w:tc>
        <w:tc>
          <w:tcPr>
            <w:tcW w:w="1848" w:type="pct"/>
            <w:tcBorders>
              <w:top w:val="single" w:sz="4" w:space="0" w:color="auto"/>
              <w:left w:val="nil"/>
              <w:bottom w:val="single" w:sz="4" w:space="0" w:color="auto"/>
              <w:right w:val="double" w:sz="6" w:space="0" w:color="auto"/>
            </w:tcBorders>
            <w:shd w:val="clear" w:color="auto" w:fill="auto"/>
            <w:hideMark/>
          </w:tcPr>
          <w:p w14:paraId="3C566261" w14:textId="77777777" w:rsidR="009004C7" w:rsidRPr="00B1681B" w:rsidRDefault="009004C7" w:rsidP="00010BDF">
            <w:pPr>
              <w:spacing w:after="0" w:line="240" w:lineRule="auto"/>
              <w:rPr>
                <w:color w:val="000000"/>
              </w:rPr>
            </w:pPr>
            <w:r w:rsidRPr="00B1681B">
              <w:rPr>
                <w:color w:val="000000"/>
              </w:rPr>
              <w:t>Contact Patient</w:t>
            </w:r>
          </w:p>
        </w:tc>
      </w:tr>
      <w:tr w:rsidR="009004C7" w:rsidRPr="00B1681B" w14:paraId="6A7DA473"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EF9BFC7" w14:textId="77777777" w:rsidR="009004C7" w:rsidRPr="00B1681B" w:rsidRDefault="009004C7" w:rsidP="00010BDF">
            <w:pPr>
              <w:spacing w:after="0" w:line="240" w:lineRule="auto"/>
              <w:rPr>
                <w:color w:val="000000"/>
              </w:rPr>
            </w:pPr>
            <w:r w:rsidRPr="00B1681B">
              <w:rPr>
                <w:color w:val="000000"/>
              </w:rPr>
              <w:t>Street Address</w:t>
            </w:r>
          </w:p>
        </w:tc>
        <w:tc>
          <w:tcPr>
            <w:tcW w:w="1849" w:type="pct"/>
            <w:tcBorders>
              <w:top w:val="nil"/>
              <w:left w:val="nil"/>
              <w:bottom w:val="single" w:sz="4" w:space="0" w:color="auto"/>
              <w:right w:val="single" w:sz="8" w:space="0" w:color="auto"/>
            </w:tcBorders>
            <w:shd w:val="clear" w:color="auto" w:fill="auto"/>
            <w:hideMark/>
          </w:tcPr>
          <w:p w14:paraId="2E3F1CEC" w14:textId="4891D19B" w:rsidR="009004C7" w:rsidRPr="00B1681B" w:rsidRDefault="009004C7" w:rsidP="00010BDF">
            <w:pPr>
              <w:spacing w:after="0" w:line="240" w:lineRule="auto"/>
              <w:rPr>
                <w:color w:val="000000"/>
              </w:rPr>
            </w:pPr>
            <w:r w:rsidRPr="00B1681B">
              <w:rPr>
                <w:color w:val="000000"/>
              </w:rPr>
              <w:t>All addresses for the patient, including current and residential addresses. Must include street address, apartment or suite number, city or town, county, state, zip code, and country</w:t>
            </w:r>
          </w:p>
        </w:tc>
        <w:tc>
          <w:tcPr>
            <w:tcW w:w="1848" w:type="pct"/>
            <w:tcBorders>
              <w:top w:val="single" w:sz="4" w:space="0" w:color="auto"/>
              <w:left w:val="nil"/>
              <w:bottom w:val="single" w:sz="4" w:space="0" w:color="auto"/>
              <w:right w:val="double" w:sz="6" w:space="0" w:color="auto"/>
            </w:tcBorders>
            <w:shd w:val="clear" w:color="auto" w:fill="auto"/>
            <w:hideMark/>
          </w:tcPr>
          <w:p w14:paraId="4645453A" w14:textId="1D22F6C5" w:rsidR="009004C7" w:rsidRPr="00B1681B" w:rsidRDefault="009004C7" w:rsidP="007811AB">
            <w:pPr>
              <w:spacing w:after="0" w:line="240" w:lineRule="auto"/>
              <w:rPr>
                <w:color w:val="000000"/>
              </w:rPr>
            </w:pPr>
            <w:r w:rsidRPr="00B1681B">
              <w:rPr>
                <w:color w:val="000000"/>
              </w:rPr>
              <w:t xml:space="preserve">Case Assignment, analysis and visualization, </w:t>
            </w:r>
            <w:r>
              <w:rPr>
                <w:color w:val="000000"/>
              </w:rPr>
              <w:t>m</w:t>
            </w:r>
            <w:r w:rsidRPr="00B1681B">
              <w:rPr>
                <w:color w:val="000000"/>
              </w:rPr>
              <w:t>atching</w:t>
            </w:r>
          </w:p>
        </w:tc>
      </w:tr>
      <w:tr w:rsidR="009004C7" w:rsidRPr="00B1681B" w14:paraId="7F529D15"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29C1235A" w14:textId="77777777" w:rsidR="009004C7" w:rsidRPr="00B1681B" w:rsidRDefault="009004C7" w:rsidP="00010BDF">
            <w:pPr>
              <w:spacing w:after="0" w:line="240" w:lineRule="auto"/>
              <w:rPr>
                <w:color w:val="000000"/>
              </w:rPr>
            </w:pPr>
            <w:r w:rsidRPr="00B1681B">
              <w:rPr>
                <w:color w:val="000000"/>
              </w:rPr>
              <w:t>Birth Date</w:t>
            </w:r>
          </w:p>
        </w:tc>
        <w:tc>
          <w:tcPr>
            <w:tcW w:w="1849" w:type="pct"/>
            <w:tcBorders>
              <w:top w:val="nil"/>
              <w:left w:val="nil"/>
              <w:bottom w:val="single" w:sz="4" w:space="0" w:color="auto"/>
              <w:right w:val="single" w:sz="8" w:space="0" w:color="auto"/>
            </w:tcBorders>
            <w:shd w:val="clear" w:color="auto" w:fill="auto"/>
            <w:hideMark/>
          </w:tcPr>
          <w:p w14:paraId="71760657" w14:textId="77777777" w:rsidR="009004C7" w:rsidRPr="00B1681B" w:rsidRDefault="009004C7" w:rsidP="00010BDF">
            <w:pPr>
              <w:spacing w:after="0" w:line="240" w:lineRule="auto"/>
              <w:rPr>
                <w:color w:val="000000"/>
              </w:rPr>
            </w:pPr>
            <w:r w:rsidRPr="00B1681B">
              <w:rPr>
                <w:color w:val="000000"/>
              </w:rPr>
              <w:t>The patient's date of birth</w:t>
            </w:r>
          </w:p>
        </w:tc>
        <w:tc>
          <w:tcPr>
            <w:tcW w:w="1848" w:type="pct"/>
            <w:tcBorders>
              <w:top w:val="single" w:sz="4" w:space="0" w:color="auto"/>
              <w:left w:val="nil"/>
              <w:bottom w:val="single" w:sz="4" w:space="0" w:color="auto"/>
              <w:right w:val="double" w:sz="6" w:space="0" w:color="auto"/>
            </w:tcBorders>
            <w:shd w:val="clear" w:color="auto" w:fill="auto"/>
            <w:hideMark/>
          </w:tcPr>
          <w:p w14:paraId="57DE1EDB" w14:textId="00EA38CD" w:rsidR="009004C7" w:rsidRPr="00B1681B" w:rsidRDefault="009004C7" w:rsidP="00010BDF">
            <w:pPr>
              <w:spacing w:after="0" w:line="240" w:lineRule="auto"/>
              <w:rPr>
                <w:color w:val="000000"/>
              </w:rPr>
            </w:pPr>
            <w:r w:rsidRPr="00B1681B">
              <w:rPr>
                <w:color w:val="000000"/>
              </w:rPr>
              <w:t xml:space="preserve">Appropriate identification, appropriate identification of minors, risk; Necessary to determine patient age; matching </w:t>
            </w:r>
            <w:r>
              <w:rPr>
                <w:color w:val="000000"/>
              </w:rPr>
              <w:t>electronic laboratory reports (</w:t>
            </w:r>
            <w:r w:rsidRPr="00B1681B">
              <w:rPr>
                <w:color w:val="000000"/>
              </w:rPr>
              <w:t>ELR</w:t>
            </w:r>
            <w:r>
              <w:rPr>
                <w:color w:val="000000"/>
              </w:rPr>
              <w:t>)</w:t>
            </w:r>
          </w:p>
        </w:tc>
      </w:tr>
      <w:tr w:rsidR="009004C7" w:rsidRPr="00B1681B" w14:paraId="3DD69E10"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6F038B0D" w14:textId="77777777" w:rsidR="009004C7" w:rsidRPr="00B1681B" w:rsidRDefault="009004C7" w:rsidP="00010BDF">
            <w:pPr>
              <w:spacing w:after="0" w:line="240" w:lineRule="auto"/>
              <w:rPr>
                <w:color w:val="000000"/>
              </w:rPr>
            </w:pPr>
            <w:r w:rsidRPr="00B1681B">
              <w:rPr>
                <w:color w:val="000000"/>
              </w:rPr>
              <w:lastRenderedPageBreak/>
              <w:t>Patient Sex</w:t>
            </w:r>
          </w:p>
        </w:tc>
        <w:tc>
          <w:tcPr>
            <w:tcW w:w="1849" w:type="pct"/>
            <w:tcBorders>
              <w:top w:val="nil"/>
              <w:left w:val="nil"/>
              <w:bottom w:val="single" w:sz="4" w:space="0" w:color="auto"/>
              <w:right w:val="single" w:sz="8" w:space="0" w:color="auto"/>
            </w:tcBorders>
            <w:shd w:val="clear" w:color="auto" w:fill="auto"/>
            <w:hideMark/>
          </w:tcPr>
          <w:p w14:paraId="75FA61F6" w14:textId="77777777" w:rsidR="009004C7" w:rsidRPr="00B1681B" w:rsidRDefault="009004C7" w:rsidP="00010BDF">
            <w:pPr>
              <w:spacing w:after="0" w:line="240" w:lineRule="auto"/>
              <w:rPr>
                <w:color w:val="000000"/>
              </w:rPr>
            </w:pPr>
            <w:r w:rsidRPr="00B1681B">
              <w:rPr>
                <w:color w:val="000000"/>
              </w:rPr>
              <w:t>The patient's biological sex (not gender)</w:t>
            </w:r>
          </w:p>
        </w:tc>
        <w:tc>
          <w:tcPr>
            <w:tcW w:w="1848" w:type="pct"/>
            <w:tcBorders>
              <w:top w:val="single" w:sz="4" w:space="0" w:color="auto"/>
              <w:left w:val="nil"/>
              <w:bottom w:val="single" w:sz="4" w:space="0" w:color="auto"/>
              <w:right w:val="double" w:sz="6" w:space="0" w:color="auto"/>
            </w:tcBorders>
            <w:shd w:val="clear" w:color="auto" w:fill="auto"/>
            <w:hideMark/>
          </w:tcPr>
          <w:p w14:paraId="218D1E78" w14:textId="77777777" w:rsidR="009004C7" w:rsidRPr="00B1681B" w:rsidRDefault="009004C7" w:rsidP="00010BDF">
            <w:pPr>
              <w:spacing w:after="0" w:line="240" w:lineRule="auto"/>
              <w:rPr>
                <w:color w:val="000000"/>
              </w:rPr>
            </w:pPr>
            <w:r w:rsidRPr="00B1681B">
              <w:rPr>
                <w:color w:val="000000"/>
              </w:rPr>
              <w:t>Demographic reporting</w:t>
            </w:r>
          </w:p>
        </w:tc>
      </w:tr>
      <w:tr w:rsidR="009004C7" w:rsidRPr="00B1681B" w14:paraId="74EEF554"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2CD84E4" w14:textId="77777777" w:rsidR="009004C7" w:rsidRPr="00B1681B" w:rsidRDefault="009004C7" w:rsidP="00010BDF">
            <w:pPr>
              <w:spacing w:after="0" w:line="240" w:lineRule="auto"/>
              <w:rPr>
                <w:color w:val="000000"/>
              </w:rPr>
            </w:pPr>
            <w:r w:rsidRPr="00B1681B">
              <w:rPr>
                <w:color w:val="000000"/>
              </w:rPr>
              <w:t>Race</w:t>
            </w:r>
          </w:p>
        </w:tc>
        <w:tc>
          <w:tcPr>
            <w:tcW w:w="1849" w:type="pct"/>
            <w:tcBorders>
              <w:top w:val="nil"/>
              <w:left w:val="nil"/>
              <w:bottom w:val="single" w:sz="4" w:space="0" w:color="auto"/>
              <w:right w:val="single" w:sz="8" w:space="0" w:color="auto"/>
            </w:tcBorders>
            <w:shd w:val="clear" w:color="auto" w:fill="auto"/>
            <w:hideMark/>
          </w:tcPr>
          <w:p w14:paraId="716FCD5B" w14:textId="77777777" w:rsidR="009004C7" w:rsidRPr="00B1681B" w:rsidRDefault="009004C7" w:rsidP="00010BDF">
            <w:pPr>
              <w:spacing w:after="0" w:line="240" w:lineRule="auto"/>
              <w:rPr>
                <w:color w:val="000000"/>
              </w:rPr>
            </w:pPr>
            <w:r w:rsidRPr="00B1681B">
              <w:rPr>
                <w:color w:val="000000"/>
              </w:rPr>
              <w:t>The patient's race</w:t>
            </w:r>
          </w:p>
        </w:tc>
        <w:tc>
          <w:tcPr>
            <w:tcW w:w="1848" w:type="pct"/>
            <w:tcBorders>
              <w:top w:val="single" w:sz="4" w:space="0" w:color="auto"/>
              <w:left w:val="nil"/>
              <w:bottom w:val="single" w:sz="4" w:space="0" w:color="auto"/>
              <w:right w:val="double" w:sz="6" w:space="0" w:color="auto"/>
            </w:tcBorders>
            <w:shd w:val="clear" w:color="auto" w:fill="auto"/>
            <w:hideMark/>
          </w:tcPr>
          <w:p w14:paraId="6926148B" w14:textId="77777777" w:rsidR="009004C7" w:rsidRPr="00B1681B" w:rsidRDefault="009004C7" w:rsidP="00010BDF">
            <w:pPr>
              <w:spacing w:after="0" w:line="240" w:lineRule="auto"/>
              <w:rPr>
                <w:color w:val="000000"/>
              </w:rPr>
            </w:pPr>
            <w:r w:rsidRPr="00B1681B">
              <w:rPr>
                <w:color w:val="000000"/>
              </w:rPr>
              <w:t>Demographic reporting</w:t>
            </w:r>
          </w:p>
        </w:tc>
      </w:tr>
      <w:tr w:rsidR="009004C7" w:rsidRPr="00B1681B" w14:paraId="7B908B4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4584DC2C" w14:textId="77777777" w:rsidR="009004C7" w:rsidRPr="00B1681B" w:rsidRDefault="009004C7" w:rsidP="00010BDF">
            <w:pPr>
              <w:spacing w:after="0" w:line="240" w:lineRule="auto"/>
              <w:rPr>
                <w:color w:val="000000"/>
              </w:rPr>
            </w:pPr>
            <w:r w:rsidRPr="00B1681B">
              <w:rPr>
                <w:color w:val="000000"/>
              </w:rPr>
              <w:t>Ethnicity</w:t>
            </w:r>
          </w:p>
        </w:tc>
        <w:tc>
          <w:tcPr>
            <w:tcW w:w="1849" w:type="pct"/>
            <w:tcBorders>
              <w:top w:val="nil"/>
              <w:left w:val="nil"/>
              <w:bottom w:val="single" w:sz="4" w:space="0" w:color="auto"/>
              <w:right w:val="single" w:sz="8" w:space="0" w:color="auto"/>
            </w:tcBorders>
            <w:shd w:val="clear" w:color="auto" w:fill="auto"/>
            <w:hideMark/>
          </w:tcPr>
          <w:p w14:paraId="14FF6F23" w14:textId="77777777" w:rsidR="009004C7" w:rsidRPr="00B1681B" w:rsidRDefault="009004C7" w:rsidP="00010BDF">
            <w:pPr>
              <w:spacing w:after="0" w:line="240" w:lineRule="auto"/>
              <w:rPr>
                <w:color w:val="000000"/>
              </w:rPr>
            </w:pPr>
            <w:r w:rsidRPr="00B1681B">
              <w:rPr>
                <w:color w:val="000000"/>
              </w:rPr>
              <w:t>The patient's ethnicity</w:t>
            </w:r>
          </w:p>
        </w:tc>
        <w:tc>
          <w:tcPr>
            <w:tcW w:w="1848" w:type="pct"/>
            <w:tcBorders>
              <w:top w:val="single" w:sz="4" w:space="0" w:color="auto"/>
              <w:left w:val="nil"/>
              <w:bottom w:val="single" w:sz="4" w:space="0" w:color="auto"/>
              <w:right w:val="double" w:sz="6" w:space="0" w:color="auto"/>
            </w:tcBorders>
            <w:shd w:val="clear" w:color="auto" w:fill="auto"/>
            <w:hideMark/>
          </w:tcPr>
          <w:p w14:paraId="26573B74" w14:textId="77777777" w:rsidR="009004C7" w:rsidRPr="00B1681B" w:rsidRDefault="009004C7" w:rsidP="00010BDF">
            <w:pPr>
              <w:spacing w:after="0" w:line="240" w:lineRule="auto"/>
              <w:rPr>
                <w:color w:val="000000"/>
              </w:rPr>
            </w:pPr>
            <w:r w:rsidRPr="00B1681B">
              <w:rPr>
                <w:color w:val="000000"/>
              </w:rPr>
              <w:t>Demographic reporting</w:t>
            </w:r>
          </w:p>
        </w:tc>
      </w:tr>
      <w:tr w:rsidR="009004C7" w:rsidRPr="00B1681B" w14:paraId="420EC00C"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6A922345" w14:textId="77777777" w:rsidR="009004C7" w:rsidRPr="00B1681B" w:rsidRDefault="009004C7" w:rsidP="00010BDF">
            <w:pPr>
              <w:spacing w:after="0" w:line="240" w:lineRule="auto"/>
              <w:rPr>
                <w:color w:val="000000"/>
              </w:rPr>
            </w:pPr>
            <w:r w:rsidRPr="00B1681B">
              <w:rPr>
                <w:color w:val="000000"/>
              </w:rPr>
              <w:t>Preferred Language</w:t>
            </w:r>
          </w:p>
        </w:tc>
        <w:tc>
          <w:tcPr>
            <w:tcW w:w="1849" w:type="pct"/>
            <w:tcBorders>
              <w:top w:val="nil"/>
              <w:left w:val="nil"/>
              <w:bottom w:val="single" w:sz="4" w:space="0" w:color="auto"/>
              <w:right w:val="single" w:sz="8" w:space="0" w:color="auto"/>
            </w:tcBorders>
            <w:shd w:val="clear" w:color="auto" w:fill="auto"/>
            <w:hideMark/>
          </w:tcPr>
          <w:p w14:paraId="036004AF" w14:textId="77777777" w:rsidR="009004C7" w:rsidRPr="00B1681B" w:rsidRDefault="009004C7" w:rsidP="00010BDF">
            <w:pPr>
              <w:spacing w:after="0" w:line="240" w:lineRule="auto"/>
              <w:rPr>
                <w:color w:val="000000"/>
              </w:rPr>
            </w:pPr>
            <w:r w:rsidRPr="00B1681B">
              <w:rPr>
                <w:color w:val="000000"/>
              </w:rPr>
              <w:t>The patient's preferred language</w:t>
            </w:r>
          </w:p>
        </w:tc>
        <w:tc>
          <w:tcPr>
            <w:tcW w:w="1848" w:type="pct"/>
            <w:tcBorders>
              <w:top w:val="single" w:sz="4" w:space="0" w:color="auto"/>
              <w:left w:val="nil"/>
              <w:bottom w:val="single" w:sz="4" w:space="0" w:color="auto"/>
              <w:right w:val="double" w:sz="6" w:space="0" w:color="auto"/>
            </w:tcBorders>
            <w:shd w:val="clear" w:color="auto" w:fill="auto"/>
            <w:hideMark/>
          </w:tcPr>
          <w:p w14:paraId="15A04F4B" w14:textId="77777777" w:rsidR="009004C7" w:rsidRPr="00B1681B" w:rsidRDefault="009004C7" w:rsidP="00010BDF">
            <w:pPr>
              <w:spacing w:after="0" w:line="240" w:lineRule="auto"/>
              <w:rPr>
                <w:color w:val="000000"/>
              </w:rPr>
            </w:pPr>
            <w:r w:rsidRPr="00B1681B">
              <w:rPr>
                <w:color w:val="000000"/>
              </w:rPr>
              <w:t>Communication with Patient</w:t>
            </w:r>
          </w:p>
        </w:tc>
      </w:tr>
      <w:tr w:rsidR="009004C7" w:rsidRPr="00B1681B" w14:paraId="6CE22DE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A3208CD" w14:textId="77777777" w:rsidR="009004C7" w:rsidRPr="00B1681B" w:rsidRDefault="009004C7" w:rsidP="00010BDF">
            <w:pPr>
              <w:spacing w:after="0" w:line="240" w:lineRule="auto"/>
              <w:rPr>
                <w:color w:val="000000"/>
              </w:rPr>
            </w:pPr>
            <w:r w:rsidRPr="00B1681B">
              <w:rPr>
                <w:color w:val="000000"/>
              </w:rPr>
              <w:t>Occupation</w:t>
            </w:r>
          </w:p>
        </w:tc>
        <w:tc>
          <w:tcPr>
            <w:tcW w:w="1849" w:type="pct"/>
            <w:tcBorders>
              <w:top w:val="nil"/>
              <w:left w:val="nil"/>
              <w:bottom w:val="single" w:sz="4" w:space="0" w:color="auto"/>
              <w:right w:val="single" w:sz="8" w:space="0" w:color="auto"/>
            </w:tcBorders>
            <w:shd w:val="clear" w:color="auto" w:fill="auto"/>
            <w:hideMark/>
          </w:tcPr>
          <w:p w14:paraId="0C8862DD" w14:textId="77777777" w:rsidR="009004C7" w:rsidRPr="00B1681B" w:rsidRDefault="009004C7" w:rsidP="00010BDF">
            <w:pPr>
              <w:spacing w:after="0" w:line="240" w:lineRule="auto"/>
              <w:rPr>
                <w:color w:val="000000"/>
              </w:rPr>
            </w:pPr>
            <w:r w:rsidRPr="00B1681B">
              <w:rPr>
                <w:color w:val="000000"/>
              </w:rPr>
              <w:t>The patient's occupation</w:t>
            </w:r>
          </w:p>
        </w:tc>
        <w:tc>
          <w:tcPr>
            <w:tcW w:w="1848" w:type="pct"/>
            <w:tcBorders>
              <w:top w:val="single" w:sz="4" w:space="0" w:color="auto"/>
              <w:left w:val="nil"/>
              <w:bottom w:val="single" w:sz="4" w:space="0" w:color="auto"/>
              <w:right w:val="double" w:sz="6" w:space="0" w:color="auto"/>
            </w:tcBorders>
            <w:shd w:val="clear" w:color="auto" w:fill="auto"/>
            <w:hideMark/>
          </w:tcPr>
          <w:p w14:paraId="67456936" w14:textId="77777777" w:rsidR="009004C7" w:rsidRPr="00B1681B" w:rsidRDefault="009004C7" w:rsidP="00010BDF">
            <w:pPr>
              <w:spacing w:after="0" w:line="240" w:lineRule="auto"/>
              <w:rPr>
                <w:color w:val="000000"/>
              </w:rPr>
            </w:pPr>
            <w:r w:rsidRPr="00B1681B">
              <w:rPr>
                <w:color w:val="000000"/>
              </w:rPr>
              <w:t>Identification of potential risk, transmission risk</w:t>
            </w:r>
          </w:p>
        </w:tc>
      </w:tr>
      <w:tr w:rsidR="009004C7" w:rsidRPr="00B1681B" w14:paraId="3402C93E"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C4F0798" w14:textId="77777777" w:rsidR="009004C7" w:rsidRPr="00B1681B" w:rsidRDefault="009004C7" w:rsidP="00010BDF">
            <w:pPr>
              <w:spacing w:after="0" w:line="240" w:lineRule="auto"/>
              <w:rPr>
                <w:color w:val="000000"/>
              </w:rPr>
            </w:pPr>
            <w:r w:rsidRPr="00B1681B">
              <w:rPr>
                <w:color w:val="000000"/>
              </w:rPr>
              <w:t>Pregnant</w:t>
            </w:r>
          </w:p>
        </w:tc>
        <w:tc>
          <w:tcPr>
            <w:tcW w:w="1849" w:type="pct"/>
            <w:tcBorders>
              <w:top w:val="nil"/>
              <w:left w:val="nil"/>
              <w:bottom w:val="single" w:sz="4" w:space="0" w:color="auto"/>
              <w:right w:val="single" w:sz="8" w:space="0" w:color="auto"/>
            </w:tcBorders>
            <w:shd w:val="clear" w:color="auto" w:fill="auto"/>
            <w:hideMark/>
          </w:tcPr>
          <w:p w14:paraId="1EE30339" w14:textId="77777777" w:rsidR="009004C7" w:rsidRPr="00B1681B" w:rsidRDefault="009004C7" w:rsidP="00010BDF">
            <w:pPr>
              <w:spacing w:after="0" w:line="240" w:lineRule="auto"/>
              <w:rPr>
                <w:color w:val="000000"/>
              </w:rPr>
            </w:pPr>
            <w:r w:rsidRPr="00B1681B">
              <w:rPr>
                <w:color w:val="000000"/>
              </w:rPr>
              <w:t>The patient's pregnancy status</w:t>
            </w:r>
          </w:p>
        </w:tc>
        <w:tc>
          <w:tcPr>
            <w:tcW w:w="1848" w:type="pct"/>
            <w:tcBorders>
              <w:top w:val="single" w:sz="4" w:space="0" w:color="auto"/>
              <w:left w:val="nil"/>
              <w:bottom w:val="single" w:sz="4" w:space="0" w:color="auto"/>
              <w:right w:val="double" w:sz="6" w:space="0" w:color="auto"/>
            </w:tcBorders>
            <w:shd w:val="clear" w:color="auto" w:fill="auto"/>
            <w:hideMark/>
          </w:tcPr>
          <w:p w14:paraId="05FF739C" w14:textId="77777777" w:rsidR="009004C7" w:rsidRPr="00B1681B" w:rsidRDefault="009004C7" w:rsidP="00010BDF">
            <w:pPr>
              <w:spacing w:after="0" w:line="240" w:lineRule="auto"/>
              <w:rPr>
                <w:color w:val="000000"/>
              </w:rPr>
            </w:pPr>
            <w:r w:rsidRPr="00B1681B">
              <w:rPr>
                <w:color w:val="000000"/>
              </w:rPr>
              <w:t>Appropriate treatment, follow-up, appropriate for scoring/risk ascertainment</w:t>
            </w:r>
          </w:p>
        </w:tc>
      </w:tr>
      <w:tr w:rsidR="009004C7" w:rsidRPr="00B1681B" w14:paraId="1F4C488C"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37ACFD8" w14:textId="77777777" w:rsidR="009004C7" w:rsidRPr="00B1681B" w:rsidRDefault="009004C7" w:rsidP="00010BDF">
            <w:pPr>
              <w:spacing w:after="0" w:line="240" w:lineRule="auto"/>
              <w:rPr>
                <w:color w:val="000000"/>
              </w:rPr>
            </w:pPr>
            <w:r w:rsidRPr="00B1681B">
              <w:rPr>
                <w:color w:val="000000"/>
              </w:rPr>
              <w:t>Visit Date/Time</w:t>
            </w:r>
          </w:p>
        </w:tc>
        <w:tc>
          <w:tcPr>
            <w:tcW w:w="1849" w:type="pct"/>
            <w:tcBorders>
              <w:top w:val="nil"/>
              <w:left w:val="nil"/>
              <w:bottom w:val="single" w:sz="4" w:space="0" w:color="auto"/>
              <w:right w:val="single" w:sz="8" w:space="0" w:color="auto"/>
            </w:tcBorders>
            <w:shd w:val="clear" w:color="auto" w:fill="auto"/>
            <w:hideMark/>
          </w:tcPr>
          <w:p w14:paraId="698452E1" w14:textId="77777777" w:rsidR="009004C7" w:rsidRPr="00B1681B" w:rsidRDefault="009004C7" w:rsidP="00010BDF">
            <w:pPr>
              <w:spacing w:after="0" w:line="240" w:lineRule="auto"/>
              <w:rPr>
                <w:color w:val="000000"/>
              </w:rPr>
            </w:pPr>
            <w:r w:rsidRPr="00B1681B">
              <w:rPr>
                <w:color w:val="000000"/>
              </w:rPr>
              <w:t>Date and time of the provider's most recent encounter with the patient regarding the reportable condition</w:t>
            </w:r>
          </w:p>
        </w:tc>
        <w:tc>
          <w:tcPr>
            <w:tcW w:w="1848" w:type="pct"/>
            <w:tcBorders>
              <w:top w:val="single" w:sz="4" w:space="0" w:color="auto"/>
              <w:left w:val="nil"/>
              <w:bottom w:val="single" w:sz="4" w:space="0" w:color="auto"/>
              <w:right w:val="double" w:sz="6" w:space="0" w:color="auto"/>
            </w:tcBorders>
            <w:shd w:val="clear" w:color="auto" w:fill="auto"/>
            <w:hideMark/>
          </w:tcPr>
          <w:p w14:paraId="146C7189" w14:textId="6161946B" w:rsidR="009004C7" w:rsidRPr="00B1681B" w:rsidRDefault="009004C7" w:rsidP="00010BDF">
            <w:pPr>
              <w:spacing w:after="0" w:line="240" w:lineRule="auto"/>
              <w:rPr>
                <w:color w:val="000000"/>
              </w:rPr>
            </w:pPr>
            <w:r w:rsidRPr="00B1681B">
              <w:rPr>
                <w:color w:val="000000"/>
              </w:rPr>
              <w:t>Defines when the individual may have been ill; a point in time to which can link other potential cases of reportable event; necessary to ensure follow-up within key time frames/helps triage priority follow-up and ensure control measures are implemented in a timely way</w:t>
            </w:r>
          </w:p>
        </w:tc>
      </w:tr>
      <w:tr w:rsidR="009004C7" w:rsidRPr="00B1681B" w14:paraId="177426F5"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152A70E7" w14:textId="77777777" w:rsidR="009004C7" w:rsidRPr="00B1681B" w:rsidRDefault="009004C7" w:rsidP="00010BDF">
            <w:pPr>
              <w:spacing w:after="0" w:line="240" w:lineRule="auto"/>
              <w:rPr>
                <w:color w:val="000000"/>
              </w:rPr>
            </w:pPr>
            <w:r w:rsidRPr="00B1681B">
              <w:rPr>
                <w:color w:val="000000"/>
              </w:rPr>
              <w:t>Admission Date/Time</w:t>
            </w:r>
          </w:p>
        </w:tc>
        <w:tc>
          <w:tcPr>
            <w:tcW w:w="1849" w:type="pct"/>
            <w:tcBorders>
              <w:top w:val="nil"/>
              <w:left w:val="nil"/>
              <w:bottom w:val="single" w:sz="4" w:space="0" w:color="auto"/>
              <w:right w:val="single" w:sz="8" w:space="0" w:color="auto"/>
            </w:tcBorders>
            <w:shd w:val="clear" w:color="auto" w:fill="auto"/>
            <w:hideMark/>
          </w:tcPr>
          <w:p w14:paraId="183A1DA5" w14:textId="7787B731" w:rsidR="009004C7" w:rsidRPr="00B1681B" w:rsidRDefault="009004C7" w:rsidP="00010BDF">
            <w:pPr>
              <w:spacing w:after="0" w:line="240" w:lineRule="auto"/>
              <w:rPr>
                <w:color w:val="000000"/>
              </w:rPr>
            </w:pPr>
            <w:r w:rsidRPr="00B1681B">
              <w:rPr>
                <w:color w:val="000000"/>
              </w:rPr>
              <w:t>Date and time when the patient was admitted to the treatment facility; e.g., hospital</w:t>
            </w:r>
          </w:p>
        </w:tc>
        <w:tc>
          <w:tcPr>
            <w:tcW w:w="1848" w:type="pct"/>
            <w:tcBorders>
              <w:top w:val="single" w:sz="4" w:space="0" w:color="auto"/>
              <w:left w:val="nil"/>
              <w:bottom w:val="single" w:sz="4" w:space="0" w:color="auto"/>
              <w:right w:val="double" w:sz="6" w:space="0" w:color="auto"/>
            </w:tcBorders>
            <w:shd w:val="clear" w:color="auto" w:fill="auto"/>
            <w:hideMark/>
          </w:tcPr>
          <w:p w14:paraId="0890009C" w14:textId="2C8BC957" w:rsidR="009004C7" w:rsidRPr="00B1681B" w:rsidRDefault="009004C7" w:rsidP="00010BDF">
            <w:pPr>
              <w:spacing w:after="0" w:line="240" w:lineRule="auto"/>
              <w:rPr>
                <w:color w:val="000000"/>
              </w:rPr>
            </w:pPr>
            <w:r w:rsidRPr="00B1681B">
              <w:rPr>
                <w:color w:val="000000"/>
              </w:rPr>
              <w:t>Key for epidemiologic investigation - important to know if hospitalized for severity of condition and to triage priority follow-up</w:t>
            </w:r>
          </w:p>
        </w:tc>
      </w:tr>
      <w:tr w:rsidR="009004C7" w:rsidRPr="00B1681B" w14:paraId="26B61DB4"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83C3F44" w14:textId="77777777" w:rsidR="009004C7" w:rsidRPr="00B1681B" w:rsidRDefault="009004C7" w:rsidP="00010BDF">
            <w:pPr>
              <w:spacing w:after="0" w:line="240" w:lineRule="auto"/>
              <w:rPr>
                <w:color w:val="000000"/>
              </w:rPr>
            </w:pPr>
            <w:r w:rsidRPr="00B1681B">
              <w:rPr>
                <w:color w:val="000000"/>
              </w:rPr>
              <w:t>History of Present Illness</w:t>
            </w:r>
          </w:p>
        </w:tc>
        <w:tc>
          <w:tcPr>
            <w:tcW w:w="1849" w:type="pct"/>
            <w:tcBorders>
              <w:top w:val="nil"/>
              <w:left w:val="nil"/>
              <w:bottom w:val="single" w:sz="4" w:space="0" w:color="auto"/>
              <w:right w:val="single" w:sz="8" w:space="0" w:color="auto"/>
            </w:tcBorders>
            <w:shd w:val="clear" w:color="auto" w:fill="auto"/>
            <w:hideMark/>
          </w:tcPr>
          <w:p w14:paraId="1A53F33D" w14:textId="09B7CFDF" w:rsidR="009004C7" w:rsidRPr="00B1681B" w:rsidRDefault="009004C7" w:rsidP="00010BDF">
            <w:pPr>
              <w:spacing w:after="0" w:line="240" w:lineRule="auto"/>
              <w:rPr>
                <w:color w:val="000000"/>
              </w:rPr>
            </w:pPr>
            <w:r w:rsidRPr="00B1681B">
              <w:rPr>
                <w:color w:val="000000"/>
              </w:rPr>
              <w:t>Physician’s narrative of the history of the reportable event. Hopefully a place where we can get information such as travel, contacts, etc. if captured</w:t>
            </w:r>
          </w:p>
        </w:tc>
        <w:tc>
          <w:tcPr>
            <w:tcW w:w="1848" w:type="pct"/>
            <w:tcBorders>
              <w:top w:val="single" w:sz="4" w:space="0" w:color="auto"/>
              <w:left w:val="nil"/>
              <w:bottom w:val="single" w:sz="4" w:space="0" w:color="auto"/>
              <w:right w:val="double" w:sz="6" w:space="0" w:color="auto"/>
            </w:tcBorders>
            <w:shd w:val="clear" w:color="auto" w:fill="auto"/>
            <w:hideMark/>
          </w:tcPr>
          <w:p w14:paraId="21A73557" w14:textId="4DEF82A5" w:rsidR="009004C7" w:rsidRPr="00B1681B" w:rsidRDefault="009004C7" w:rsidP="00010BDF">
            <w:pPr>
              <w:spacing w:after="0" w:line="240" w:lineRule="auto"/>
              <w:rPr>
                <w:color w:val="000000"/>
              </w:rPr>
            </w:pPr>
            <w:r w:rsidRPr="00B1681B">
              <w:rPr>
                <w:color w:val="000000"/>
              </w:rPr>
              <w:t>Indicator of reportable condition - most important descriptor of condition/ epi</w:t>
            </w:r>
            <w:r>
              <w:rPr>
                <w:color w:val="000000"/>
              </w:rPr>
              <w:t>demiologic</w:t>
            </w:r>
            <w:r w:rsidRPr="00B1681B">
              <w:rPr>
                <w:color w:val="000000"/>
              </w:rPr>
              <w:t xml:space="preserve"> information - supports epi</w:t>
            </w:r>
            <w:r>
              <w:rPr>
                <w:color w:val="000000"/>
              </w:rPr>
              <w:t>demiologic</w:t>
            </w:r>
            <w:r w:rsidRPr="00B1681B">
              <w:rPr>
                <w:color w:val="000000"/>
              </w:rPr>
              <w:t xml:space="preserve"> investigation ; epidemiologic relevant information </w:t>
            </w:r>
          </w:p>
        </w:tc>
      </w:tr>
      <w:tr w:rsidR="009004C7" w:rsidRPr="00B1681B" w14:paraId="3A47E4F7"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A0C1A38" w14:textId="77777777" w:rsidR="009004C7" w:rsidRPr="00B1681B" w:rsidRDefault="009004C7" w:rsidP="00010BDF">
            <w:pPr>
              <w:spacing w:after="0" w:line="240" w:lineRule="auto"/>
              <w:rPr>
                <w:color w:val="000000"/>
              </w:rPr>
            </w:pPr>
            <w:r w:rsidRPr="00B1681B">
              <w:rPr>
                <w:color w:val="000000"/>
              </w:rPr>
              <w:t>Reason for Visit</w:t>
            </w:r>
          </w:p>
        </w:tc>
        <w:tc>
          <w:tcPr>
            <w:tcW w:w="1849" w:type="pct"/>
            <w:tcBorders>
              <w:top w:val="nil"/>
              <w:left w:val="nil"/>
              <w:bottom w:val="single" w:sz="4" w:space="0" w:color="auto"/>
              <w:right w:val="single" w:sz="8" w:space="0" w:color="auto"/>
            </w:tcBorders>
            <w:shd w:val="clear" w:color="auto" w:fill="auto"/>
            <w:hideMark/>
          </w:tcPr>
          <w:p w14:paraId="1D56CF95" w14:textId="6BAE5981" w:rsidR="009004C7" w:rsidRPr="00B1681B" w:rsidRDefault="009004C7" w:rsidP="00010BDF">
            <w:pPr>
              <w:spacing w:after="0" w:line="240" w:lineRule="auto"/>
              <w:rPr>
                <w:color w:val="000000"/>
              </w:rPr>
            </w:pPr>
            <w:r w:rsidRPr="00B1681B">
              <w:rPr>
                <w:color w:val="000000"/>
              </w:rPr>
              <w:t>Provider’s interpretation for the patient’s visit for the reportable event</w:t>
            </w:r>
          </w:p>
        </w:tc>
        <w:tc>
          <w:tcPr>
            <w:tcW w:w="1848" w:type="pct"/>
            <w:tcBorders>
              <w:top w:val="single" w:sz="4" w:space="0" w:color="auto"/>
              <w:left w:val="nil"/>
              <w:bottom w:val="single" w:sz="4" w:space="0" w:color="auto"/>
              <w:right w:val="double" w:sz="6" w:space="0" w:color="auto"/>
            </w:tcBorders>
            <w:shd w:val="clear" w:color="auto" w:fill="auto"/>
            <w:hideMark/>
          </w:tcPr>
          <w:p w14:paraId="2666368F" w14:textId="4BD64A68" w:rsidR="009004C7" w:rsidRPr="00B1681B" w:rsidRDefault="009004C7" w:rsidP="00010BDF">
            <w:pPr>
              <w:spacing w:after="0" w:line="240" w:lineRule="auto"/>
              <w:rPr>
                <w:color w:val="000000"/>
              </w:rPr>
            </w:pPr>
            <w:r w:rsidRPr="00B1681B">
              <w:rPr>
                <w:color w:val="000000"/>
              </w:rPr>
              <w:t>Indicator of reportable condition - most important descriptor of condition/ epi</w:t>
            </w:r>
            <w:r>
              <w:rPr>
                <w:color w:val="000000"/>
              </w:rPr>
              <w:t>demiologic</w:t>
            </w:r>
            <w:r w:rsidRPr="00B1681B">
              <w:rPr>
                <w:color w:val="000000"/>
              </w:rPr>
              <w:t xml:space="preserve"> information - supports epi</w:t>
            </w:r>
            <w:r>
              <w:rPr>
                <w:color w:val="000000"/>
              </w:rPr>
              <w:t>demiologic</w:t>
            </w:r>
            <w:r w:rsidRPr="00B1681B">
              <w:rPr>
                <w:color w:val="000000"/>
              </w:rPr>
              <w:t xml:space="preserve"> investigation </w:t>
            </w:r>
          </w:p>
        </w:tc>
      </w:tr>
      <w:tr w:rsidR="009004C7" w:rsidRPr="00B1681B" w14:paraId="581FFCD2"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39D8DAD" w14:textId="77777777" w:rsidR="009004C7" w:rsidRPr="00B1681B" w:rsidRDefault="009004C7" w:rsidP="00010BDF">
            <w:pPr>
              <w:spacing w:after="0" w:line="240" w:lineRule="auto"/>
              <w:rPr>
                <w:color w:val="000000"/>
              </w:rPr>
            </w:pPr>
            <w:r w:rsidRPr="00B1681B">
              <w:rPr>
                <w:color w:val="000000"/>
              </w:rPr>
              <w:t>Date of Onset</w:t>
            </w:r>
          </w:p>
        </w:tc>
        <w:tc>
          <w:tcPr>
            <w:tcW w:w="1849" w:type="pct"/>
            <w:tcBorders>
              <w:top w:val="nil"/>
              <w:left w:val="nil"/>
              <w:bottom w:val="single" w:sz="4" w:space="0" w:color="auto"/>
              <w:right w:val="single" w:sz="8" w:space="0" w:color="auto"/>
            </w:tcBorders>
            <w:shd w:val="clear" w:color="auto" w:fill="auto"/>
            <w:hideMark/>
          </w:tcPr>
          <w:p w14:paraId="5E511677" w14:textId="1AAC8C3F" w:rsidR="009004C7" w:rsidRPr="00B1681B" w:rsidRDefault="009004C7" w:rsidP="00010BDF">
            <w:pPr>
              <w:spacing w:after="0" w:line="240" w:lineRule="auto"/>
              <w:rPr>
                <w:color w:val="000000"/>
              </w:rPr>
            </w:pPr>
            <w:r w:rsidRPr="00B1681B">
              <w:rPr>
                <w:color w:val="000000"/>
              </w:rPr>
              <w:t>The date of symptoms for the reportable event</w:t>
            </w:r>
          </w:p>
        </w:tc>
        <w:tc>
          <w:tcPr>
            <w:tcW w:w="1848" w:type="pct"/>
            <w:tcBorders>
              <w:top w:val="single" w:sz="4" w:space="0" w:color="auto"/>
              <w:left w:val="nil"/>
              <w:bottom w:val="single" w:sz="4" w:space="0" w:color="auto"/>
              <w:right w:val="double" w:sz="6" w:space="0" w:color="auto"/>
            </w:tcBorders>
            <w:shd w:val="clear" w:color="auto" w:fill="auto"/>
            <w:hideMark/>
          </w:tcPr>
          <w:p w14:paraId="67D7AD4B" w14:textId="77777777" w:rsidR="009004C7" w:rsidRPr="00B1681B" w:rsidRDefault="009004C7" w:rsidP="00010BDF">
            <w:pPr>
              <w:spacing w:after="0" w:line="240" w:lineRule="auto"/>
              <w:rPr>
                <w:color w:val="000000"/>
              </w:rPr>
            </w:pPr>
            <w:r w:rsidRPr="00B1681B">
              <w:rPr>
                <w:color w:val="000000"/>
              </w:rPr>
              <w:t xml:space="preserve">Helps determine possible exposure and illness- calculate incubation period </w:t>
            </w:r>
          </w:p>
        </w:tc>
      </w:tr>
      <w:tr w:rsidR="009004C7" w:rsidRPr="00B1681B" w14:paraId="4019CF7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64549D8F" w14:textId="77777777" w:rsidR="009004C7" w:rsidRPr="00B1681B" w:rsidRDefault="009004C7" w:rsidP="00010BDF">
            <w:pPr>
              <w:spacing w:after="0" w:line="240" w:lineRule="auto"/>
              <w:rPr>
                <w:color w:val="000000"/>
              </w:rPr>
            </w:pPr>
            <w:r w:rsidRPr="00B1681B">
              <w:rPr>
                <w:color w:val="000000"/>
              </w:rPr>
              <w:t>Symptoms (list)</w:t>
            </w:r>
          </w:p>
        </w:tc>
        <w:tc>
          <w:tcPr>
            <w:tcW w:w="1849" w:type="pct"/>
            <w:tcBorders>
              <w:top w:val="nil"/>
              <w:left w:val="nil"/>
              <w:bottom w:val="single" w:sz="4" w:space="0" w:color="auto"/>
              <w:right w:val="single" w:sz="8" w:space="0" w:color="auto"/>
            </w:tcBorders>
            <w:shd w:val="clear" w:color="auto" w:fill="auto"/>
            <w:hideMark/>
          </w:tcPr>
          <w:p w14:paraId="1D2D5E81" w14:textId="688D1364" w:rsidR="009004C7" w:rsidRPr="00B1681B" w:rsidRDefault="009004C7" w:rsidP="00010BDF">
            <w:pPr>
              <w:spacing w:after="0" w:line="240" w:lineRule="auto"/>
              <w:rPr>
                <w:color w:val="000000"/>
              </w:rPr>
            </w:pPr>
            <w:r w:rsidRPr="00B1681B">
              <w:rPr>
                <w:color w:val="000000"/>
              </w:rPr>
              <w:t>List of patient symptoms (structured) for the reportable event</w:t>
            </w:r>
          </w:p>
        </w:tc>
        <w:tc>
          <w:tcPr>
            <w:tcW w:w="1848" w:type="pct"/>
            <w:tcBorders>
              <w:top w:val="single" w:sz="4" w:space="0" w:color="auto"/>
              <w:left w:val="nil"/>
              <w:bottom w:val="single" w:sz="4" w:space="0" w:color="auto"/>
              <w:right w:val="double" w:sz="6" w:space="0" w:color="auto"/>
            </w:tcBorders>
            <w:shd w:val="clear" w:color="auto" w:fill="auto"/>
            <w:hideMark/>
          </w:tcPr>
          <w:p w14:paraId="708F2F63" w14:textId="77777777" w:rsidR="009004C7" w:rsidRPr="00B1681B" w:rsidRDefault="009004C7" w:rsidP="00010BDF">
            <w:pPr>
              <w:spacing w:after="0" w:line="240" w:lineRule="auto"/>
              <w:rPr>
                <w:color w:val="000000"/>
              </w:rPr>
            </w:pPr>
            <w:r w:rsidRPr="00B1681B">
              <w:rPr>
                <w:color w:val="000000"/>
              </w:rPr>
              <w:t xml:space="preserve">We know if clinical symptoms signify a case of PH importance - confirm the need for PH follow up </w:t>
            </w:r>
          </w:p>
        </w:tc>
      </w:tr>
      <w:tr w:rsidR="009004C7" w:rsidRPr="00B1681B" w14:paraId="21CAC0E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90E7E23" w14:textId="2C9E9A1B" w:rsidR="009004C7" w:rsidRPr="00B1681B" w:rsidRDefault="009004C7" w:rsidP="00010BDF">
            <w:pPr>
              <w:spacing w:after="0" w:line="240" w:lineRule="auto"/>
              <w:rPr>
                <w:color w:val="000000"/>
              </w:rPr>
            </w:pPr>
            <w:r w:rsidRPr="00B1681B">
              <w:rPr>
                <w:color w:val="000000"/>
              </w:rPr>
              <w:t>Lab</w:t>
            </w:r>
            <w:r>
              <w:rPr>
                <w:color w:val="000000"/>
              </w:rPr>
              <w:t>oratory</w:t>
            </w:r>
            <w:r w:rsidRPr="00B1681B">
              <w:rPr>
                <w:color w:val="000000"/>
              </w:rPr>
              <w:t xml:space="preserve"> Order Code</w:t>
            </w:r>
          </w:p>
        </w:tc>
        <w:tc>
          <w:tcPr>
            <w:tcW w:w="1849" w:type="pct"/>
            <w:tcBorders>
              <w:top w:val="nil"/>
              <w:left w:val="nil"/>
              <w:bottom w:val="single" w:sz="4" w:space="0" w:color="auto"/>
              <w:right w:val="single" w:sz="8" w:space="0" w:color="auto"/>
            </w:tcBorders>
            <w:shd w:val="clear" w:color="auto" w:fill="auto"/>
            <w:hideMark/>
          </w:tcPr>
          <w:p w14:paraId="1C09EBE5" w14:textId="77777777" w:rsidR="009004C7" w:rsidRPr="00B1681B" w:rsidRDefault="009004C7" w:rsidP="00010BDF">
            <w:pPr>
              <w:spacing w:after="0" w:line="240" w:lineRule="auto"/>
              <w:rPr>
                <w:color w:val="000000"/>
              </w:rPr>
            </w:pPr>
            <w:r w:rsidRPr="00B1681B">
              <w:rPr>
                <w:color w:val="000000"/>
              </w:rPr>
              <w:t>Ordered tests for the patient during the encounter</w:t>
            </w:r>
          </w:p>
        </w:tc>
        <w:tc>
          <w:tcPr>
            <w:tcW w:w="1848" w:type="pct"/>
            <w:tcBorders>
              <w:top w:val="single" w:sz="4" w:space="0" w:color="auto"/>
              <w:left w:val="nil"/>
              <w:bottom w:val="single" w:sz="4" w:space="0" w:color="auto"/>
              <w:right w:val="double" w:sz="6" w:space="0" w:color="auto"/>
            </w:tcBorders>
            <w:shd w:val="clear" w:color="auto" w:fill="auto"/>
            <w:hideMark/>
          </w:tcPr>
          <w:p w14:paraId="43AB683D" w14:textId="77777777" w:rsidR="009004C7" w:rsidRPr="00B1681B" w:rsidRDefault="009004C7" w:rsidP="00010BDF">
            <w:pPr>
              <w:spacing w:after="0" w:line="240" w:lineRule="auto"/>
              <w:rPr>
                <w:color w:val="000000"/>
              </w:rPr>
            </w:pPr>
            <w:r w:rsidRPr="00B1681B">
              <w:rPr>
                <w:color w:val="000000"/>
              </w:rPr>
              <w:t>Some lab test orders are reportable for suspected cases</w:t>
            </w:r>
          </w:p>
        </w:tc>
      </w:tr>
      <w:tr w:rsidR="009004C7" w:rsidRPr="00B1681B" w14:paraId="5699F2B8"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0183E250" w14:textId="7BDAD2F9" w:rsidR="009004C7" w:rsidRPr="00B1681B" w:rsidRDefault="009004C7" w:rsidP="00010BDF">
            <w:pPr>
              <w:spacing w:after="0" w:line="240" w:lineRule="auto"/>
              <w:rPr>
                <w:color w:val="000000"/>
              </w:rPr>
            </w:pPr>
            <w:r w:rsidRPr="00B1681B">
              <w:rPr>
                <w:color w:val="000000"/>
              </w:rPr>
              <w:lastRenderedPageBreak/>
              <w:t>Placer Order Number</w:t>
            </w:r>
          </w:p>
        </w:tc>
        <w:tc>
          <w:tcPr>
            <w:tcW w:w="1849" w:type="pct"/>
            <w:tcBorders>
              <w:top w:val="nil"/>
              <w:left w:val="nil"/>
              <w:bottom w:val="single" w:sz="4" w:space="0" w:color="auto"/>
              <w:right w:val="single" w:sz="8" w:space="0" w:color="auto"/>
            </w:tcBorders>
            <w:shd w:val="clear" w:color="auto" w:fill="auto"/>
            <w:hideMark/>
          </w:tcPr>
          <w:p w14:paraId="3B8DCBE3" w14:textId="072DE09D" w:rsidR="009004C7" w:rsidRPr="00B1681B" w:rsidRDefault="009004C7" w:rsidP="007811AB">
            <w:pPr>
              <w:spacing w:after="0" w:line="240" w:lineRule="auto"/>
              <w:rPr>
                <w:color w:val="000000"/>
              </w:rPr>
            </w:pPr>
            <w:r w:rsidRPr="00B1681B">
              <w:rPr>
                <w:color w:val="000000"/>
              </w:rPr>
              <w:t>Identifier for the lab</w:t>
            </w:r>
            <w:r>
              <w:rPr>
                <w:color w:val="000000"/>
              </w:rPr>
              <w:t>oratory</w:t>
            </w:r>
            <w:r w:rsidRPr="00B1681B">
              <w:rPr>
                <w:color w:val="000000"/>
              </w:rPr>
              <w:t xml:space="preserve"> order f</w:t>
            </w:r>
            <w:r>
              <w:rPr>
                <w:color w:val="000000"/>
              </w:rPr>
              <w:t xml:space="preserve">rom </w:t>
            </w:r>
            <w:r w:rsidRPr="00B1681B">
              <w:rPr>
                <w:color w:val="000000"/>
              </w:rPr>
              <w:t>the encounter</w:t>
            </w:r>
          </w:p>
        </w:tc>
        <w:tc>
          <w:tcPr>
            <w:tcW w:w="1848" w:type="pct"/>
            <w:tcBorders>
              <w:top w:val="single" w:sz="4" w:space="0" w:color="auto"/>
              <w:left w:val="nil"/>
              <w:bottom w:val="single" w:sz="4" w:space="0" w:color="auto"/>
              <w:right w:val="double" w:sz="6" w:space="0" w:color="auto"/>
            </w:tcBorders>
            <w:shd w:val="clear" w:color="auto" w:fill="auto"/>
            <w:hideMark/>
          </w:tcPr>
          <w:p w14:paraId="49D39F7A" w14:textId="779578EB" w:rsidR="009004C7" w:rsidRPr="00B1681B" w:rsidRDefault="009004C7" w:rsidP="00801A19">
            <w:pPr>
              <w:spacing w:after="0" w:line="240" w:lineRule="auto"/>
              <w:rPr>
                <w:color w:val="000000"/>
              </w:rPr>
            </w:pPr>
            <w:r w:rsidRPr="00B1681B">
              <w:rPr>
                <w:color w:val="000000"/>
              </w:rPr>
              <w:t>Potential value to linking</w:t>
            </w:r>
            <w:r>
              <w:rPr>
                <w:color w:val="000000"/>
              </w:rPr>
              <w:t xml:space="preserve"> electronic laboratory</w:t>
            </w:r>
            <w:r w:rsidR="00271B95">
              <w:rPr>
                <w:color w:val="000000"/>
              </w:rPr>
              <w:t xml:space="preserve"> </w:t>
            </w:r>
            <w:r w:rsidRPr="00B1681B">
              <w:rPr>
                <w:color w:val="000000"/>
              </w:rPr>
              <w:t>reports</w:t>
            </w:r>
            <w:r>
              <w:rPr>
                <w:color w:val="000000"/>
              </w:rPr>
              <w:t xml:space="preserve"> (ELR)</w:t>
            </w:r>
            <w:r w:rsidRPr="00B1681B">
              <w:rPr>
                <w:color w:val="000000"/>
              </w:rPr>
              <w:t xml:space="preserve"> to eICR</w:t>
            </w:r>
          </w:p>
        </w:tc>
      </w:tr>
      <w:tr w:rsidR="009004C7" w:rsidRPr="00B1681B" w14:paraId="45D759CF"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1389D47" w14:textId="77777777" w:rsidR="009004C7" w:rsidRPr="00B1681B" w:rsidRDefault="009004C7" w:rsidP="00010BDF">
            <w:pPr>
              <w:spacing w:after="0" w:line="240" w:lineRule="auto"/>
              <w:rPr>
                <w:color w:val="000000"/>
              </w:rPr>
            </w:pPr>
            <w:r w:rsidRPr="00B1681B">
              <w:rPr>
                <w:color w:val="000000"/>
              </w:rPr>
              <w:t>Diagnoses</w:t>
            </w:r>
          </w:p>
        </w:tc>
        <w:tc>
          <w:tcPr>
            <w:tcW w:w="1849" w:type="pct"/>
            <w:tcBorders>
              <w:top w:val="nil"/>
              <w:left w:val="nil"/>
              <w:bottom w:val="single" w:sz="4" w:space="0" w:color="auto"/>
              <w:right w:val="single" w:sz="8" w:space="0" w:color="auto"/>
            </w:tcBorders>
            <w:shd w:val="clear" w:color="auto" w:fill="auto"/>
            <w:hideMark/>
          </w:tcPr>
          <w:p w14:paraId="63F67240" w14:textId="77777777" w:rsidR="009004C7" w:rsidRPr="00B1681B" w:rsidRDefault="009004C7" w:rsidP="00010BDF">
            <w:pPr>
              <w:spacing w:after="0" w:line="240" w:lineRule="auto"/>
              <w:rPr>
                <w:color w:val="000000"/>
              </w:rPr>
            </w:pPr>
            <w:r w:rsidRPr="00B1681B">
              <w:rPr>
                <w:color w:val="000000"/>
              </w:rPr>
              <w:t>The healthcare provider's diagnoses of the patient's health condition (all)</w:t>
            </w:r>
          </w:p>
        </w:tc>
        <w:tc>
          <w:tcPr>
            <w:tcW w:w="1848" w:type="pct"/>
            <w:tcBorders>
              <w:top w:val="single" w:sz="4" w:space="0" w:color="auto"/>
              <w:left w:val="nil"/>
              <w:bottom w:val="single" w:sz="4" w:space="0" w:color="auto"/>
              <w:right w:val="double" w:sz="6" w:space="0" w:color="auto"/>
            </w:tcBorders>
            <w:shd w:val="clear" w:color="auto" w:fill="auto"/>
            <w:hideMark/>
          </w:tcPr>
          <w:p w14:paraId="0089E9B4" w14:textId="77777777" w:rsidR="009004C7" w:rsidRPr="00B1681B" w:rsidRDefault="009004C7" w:rsidP="00010BDF">
            <w:pPr>
              <w:spacing w:after="0" w:line="240" w:lineRule="auto"/>
              <w:rPr>
                <w:color w:val="000000"/>
              </w:rPr>
            </w:pPr>
            <w:r w:rsidRPr="00B1681B">
              <w:rPr>
                <w:color w:val="000000"/>
              </w:rPr>
              <w:t xml:space="preserve">Would include something that is potentially reportable </w:t>
            </w:r>
          </w:p>
        </w:tc>
      </w:tr>
      <w:tr w:rsidR="009004C7" w:rsidRPr="00B1681B" w14:paraId="1BA96AA3"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371E9E0E" w14:textId="77777777" w:rsidR="009004C7" w:rsidRPr="00B1681B" w:rsidRDefault="009004C7" w:rsidP="00010BDF">
            <w:pPr>
              <w:spacing w:after="0" w:line="240" w:lineRule="auto"/>
              <w:rPr>
                <w:color w:val="000000"/>
              </w:rPr>
            </w:pPr>
            <w:r w:rsidRPr="00B1681B">
              <w:rPr>
                <w:color w:val="000000"/>
              </w:rPr>
              <w:t>Date of Diagnosis</w:t>
            </w:r>
          </w:p>
        </w:tc>
        <w:tc>
          <w:tcPr>
            <w:tcW w:w="1849" w:type="pct"/>
            <w:tcBorders>
              <w:top w:val="nil"/>
              <w:left w:val="nil"/>
              <w:bottom w:val="single" w:sz="4" w:space="0" w:color="auto"/>
              <w:right w:val="single" w:sz="8" w:space="0" w:color="auto"/>
            </w:tcBorders>
            <w:shd w:val="clear" w:color="auto" w:fill="auto"/>
            <w:hideMark/>
          </w:tcPr>
          <w:p w14:paraId="2CA246A5" w14:textId="77777777" w:rsidR="009004C7" w:rsidRPr="00B1681B" w:rsidRDefault="009004C7" w:rsidP="00010BDF">
            <w:pPr>
              <w:spacing w:after="0" w:line="240" w:lineRule="auto"/>
              <w:rPr>
                <w:color w:val="000000"/>
              </w:rPr>
            </w:pPr>
            <w:r w:rsidRPr="00B1681B">
              <w:rPr>
                <w:color w:val="000000"/>
              </w:rPr>
              <w:t>The date of provider diagnosis</w:t>
            </w:r>
          </w:p>
        </w:tc>
        <w:tc>
          <w:tcPr>
            <w:tcW w:w="1848" w:type="pct"/>
            <w:tcBorders>
              <w:top w:val="single" w:sz="4" w:space="0" w:color="auto"/>
              <w:left w:val="nil"/>
              <w:bottom w:val="single" w:sz="4" w:space="0" w:color="auto"/>
              <w:right w:val="double" w:sz="6" w:space="0" w:color="auto"/>
            </w:tcBorders>
            <w:shd w:val="clear" w:color="auto" w:fill="auto"/>
            <w:hideMark/>
          </w:tcPr>
          <w:p w14:paraId="687CED53" w14:textId="77777777" w:rsidR="009004C7" w:rsidRPr="00B1681B" w:rsidRDefault="009004C7" w:rsidP="00010BDF">
            <w:pPr>
              <w:spacing w:after="0" w:line="240" w:lineRule="auto"/>
              <w:rPr>
                <w:color w:val="000000"/>
              </w:rPr>
            </w:pPr>
            <w:r w:rsidRPr="00B1681B">
              <w:rPr>
                <w:color w:val="000000"/>
              </w:rPr>
              <w:t xml:space="preserve">We want to know when they're diagnosed; integral to epidemiological investigation </w:t>
            </w:r>
          </w:p>
        </w:tc>
      </w:tr>
      <w:tr w:rsidR="009004C7" w:rsidRPr="00B1681B" w14:paraId="7D41CA9B"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D78FD26" w14:textId="77777777" w:rsidR="009004C7" w:rsidRPr="00B1681B" w:rsidRDefault="009004C7" w:rsidP="00010BDF">
            <w:pPr>
              <w:spacing w:after="0" w:line="240" w:lineRule="auto"/>
              <w:rPr>
                <w:color w:val="000000"/>
              </w:rPr>
            </w:pPr>
            <w:r w:rsidRPr="00B1681B">
              <w:rPr>
                <w:color w:val="000000"/>
              </w:rPr>
              <w:t>Medications Administered (list)</w:t>
            </w:r>
          </w:p>
        </w:tc>
        <w:tc>
          <w:tcPr>
            <w:tcW w:w="1849" w:type="pct"/>
            <w:tcBorders>
              <w:top w:val="nil"/>
              <w:left w:val="nil"/>
              <w:bottom w:val="single" w:sz="4" w:space="0" w:color="auto"/>
              <w:right w:val="single" w:sz="8" w:space="0" w:color="auto"/>
            </w:tcBorders>
            <w:shd w:val="clear" w:color="auto" w:fill="auto"/>
            <w:hideMark/>
          </w:tcPr>
          <w:p w14:paraId="05948F3F" w14:textId="77777777" w:rsidR="009004C7" w:rsidRPr="00B1681B" w:rsidRDefault="009004C7" w:rsidP="00010BDF">
            <w:pPr>
              <w:spacing w:after="0" w:line="240" w:lineRule="auto"/>
              <w:rPr>
                <w:color w:val="000000"/>
              </w:rPr>
            </w:pPr>
            <w:r w:rsidRPr="00B1681B">
              <w:rPr>
                <w:color w:val="000000"/>
              </w:rPr>
              <w:t>List of medications administered for the reportable event</w:t>
            </w:r>
          </w:p>
        </w:tc>
        <w:tc>
          <w:tcPr>
            <w:tcW w:w="1848" w:type="pct"/>
            <w:tcBorders>
              <w:top w:val="single" w:sz="4" w:space="0" w:color="auto"/>
              <w:left w:val="nil"/>
              <w:bottom w:val="single" w:sz="4" w:space="0" w:color="auto"/>
              <w:right w:val="double" w:sz="6" w:space="0" w:color="auto"/>
            </w:tcBorders>
            <w:shd w:val="clear" w:color="auto" w:fill="auto"/>
            <w:hideMark/>
          </w:tcPr>
          <w:p w14:paraId="2F4821B4" w14:textId="77777777" w:rsidR="009004C7" w:rsidRPr="00B1681B" w:rsidRDefault="009004C7" w:rsidP="00010BDF">
            <w:pPr>
              <w:spacing w:after="0" w:line="240" w:lineRule="auto"/>
              <w:rPr>
                <w:color w:val="000000"/>
              </w:rPr>
            </w:pPr>
            <w:r w:rsidRPr="00B1681B">
              <w:rPr>
                <w:color w:val="000000"/>
              </w:rPr>
              <w:t>To find treatments that were prescribed; prophylaxis; we know if they've already been treated, lower on the list for PH (priority)</w:t>
            </w:r>
          </w:p>
        </w:tc>
      </w:tr>
      <w:tr w:rsidR="009004C7" w:rsidRPr="00B1681B" w14:paraId="78AB8595"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79A09478" w14:textId="77777777" w:rsidR="009004C7" w:rsidRPr="00B1681B" w:rsidRDefault="009004C7" w:rsidP="00010BDF">
            <w:pPr>
              <w:spacing w:after="0" w:line="240" w:lineRule="auto"/>
              <w:rPr>
                <w:color w:val="000000"/>
              </w:rPr>
            </w:pPr>
            <w:r w:rsidRPr="00B1681B">
              <w:rPr>
                <w:color w:val="000000"/>
              </w:rPr>
              <w:t>Death Date</w:t>
            </w:r>
          </w:p>
        </w:tc>
        <w:tc>
          <w:tcPr>
            <w:tcW w:w="1849" w:type="pct"/>
            <w:tcBorders>
              <w:top w:val="nil"/>
              <w:left w:val="nil"/>
              <w:bottom w:val="single" w:sz="4" w:space="0" w:color="auto"/>
              <w:right w:val="single" w:sz="8" w:space="0" w:color="auto"/>
            </w:tcBorders>
            <w:shd w:val="clear" w:color="auto" w:fill="auto"/>
            <w:hideMark/>
          </w:tcPr>
          <w:p w14:paraId="206CC56B" w14:textId="77777777" w:rsidR="009004C7" w:rsidRPr="00B1681B" w:rsidRDefault="009004C7" w:rsidP="00010BDF">
            <w:pPr>
              <w:spacing w:after="0" w:line="240" w:lineRule="auto"/>
              <w:rPr>
                <w:color w:val="000000"/>
              </w:rPr>
            </w:pPr>
            <w:r w:rsidRPr="00B1681B">
              <w:rPr>
                <w:color w:val="000000"/>
              </w:rPr>
              <w:t>The patient's date of death</w:t>
            </w:r>
          </w:p>
        </w:tc>
        <w:tc>
          <w:tcPr>
            <w:tcW w:w="1848" w:type="pct"/>
            <w:tcBorders>
              <w:top w:val="single" w:sz="4" w:space="0" w:color="auto"/>
              <w:left w:val="nil"/>
              <w:bottom w:val="single" w:sz="4" w:space="0" w:color="auto"/>
              <w:right w:val="double" w:sz="6" w:space="0" w:color="auto"/>
            </w:tcBorders>
            <w:shd w:val="clear" w:color="auto" w:fill="auto"/>
            <w:hideMark/>
          </w:tcPr>
          <w:p w14:paraId="07DE5D3C" w14:textId="77777777" w:rsidR="009004C7" w:rsidRPr="00B1681B" w:rsidRDefault="009004C7" w:rsidP="00010BDF">
            <w:pPr>
              <w:spacing w:after="0" w:line="240" w:lineRule="auto"/>
              <w:rPr>
                <w:color w:val="000000"/>
              </w:rPr>
            </w:pPr>
            <w:r w:rsidRPr="00B1681B">
              <w:rPr>
                <w:color w:val="000000"/>
              </w:rPr>
              <w:t xml:space="preserve">Patient follow-up and epidemiological purposes </w:t>
            </w:r>
          </w:p>
        </w:tc>
      </w:tr>
      <w:tr w:rsidR="009004C7" w:rsidRPr="00B1681B" w14:paraId="1B1956E3" w14:textId="77777777" w:rsidTr="00075A5C">
        <w:trPr>
          <w:cantSplit/>
        </w:trPr>
        <w:tc>
          <w:tcPr>
            <w:tcW w:w="1303" w:type="pct"/>
            <w:tcBorders>
              <w:top w:val="single" w:sz="4" w:space="0" w:color="auto"/>
              <w:left w:val="double" w:sz="6" w:space="0" w:color="auto"/>
              <w:bottom w:val="single" w:sz="4" w:space="0" w:color="auto"/>
              <w:right w:val="single" w:sz="8" w:space="0" w:color="auto"/>
            </w:tcBorders>
            <w:shd w:val="clear" w:color="auto" w:fill="auto"/>
            <w:hideMark/>
          </w:tcPr>
          <w:p w14:paraId="517FB166" w14:textId="77777777" w:rsidR="009004C7" w:rsidRPr="00B1681B" w:rsidRDefault="009004C7" w:rsidP="00010BDF">
            <w:pPr>
              <w:spacing w:after="0" w:line="240" w:lineRule="auto"/>
              <w:rPr>
                <w:color w:val="000000"/>
              </w:rPr>
            </w:pPr>
            <w:r w:rsidRPr="00B1681B">
              <w:rPr>
                <w:color w:val="000000"/>
              </w:rPr>
              <w:t>Patient Class</w:t>
            </w:r>
          </w:p>
        </w:tc>
        <w:tc>
          <w:tcPr>
            <w:tcW w:w="1849" w:type="pct"/>
            <w:tcBorders>
              <w:top w:val="nil"/>
              <w:left w:val="nil"/>
              <w:bottom w:val="single" w:sz="4" w:space="0" w:color="auto"/>
              <w:right w:val="single" w:sz="8" w:space="0" w:color="auto"/>
            </w:tcBorders>
            <w:shd w:val="clear" w:color="auto" w:fill="auto"/>
            <w:hideMark/>
          </w:tcPr>
          <w:p w14:paraId="2AC57D75" w14:textId="77777777" w:rsidR="009004C7" w:rsidRPr="00B1681B" w:rsidRDefault="009004C7" w:rsidP="00010BDF">
            <w:pPr>
              <w:spacing w:after="0" w:line="240" w:lineRule="auto"/>
              <w:rPr>
                <w:color w:val="000000"/>
              </w:rPr>
            </w:pPr>
            <w:r w:rsidRPr="00B1681B">
              <w:rPr>
                <w:color w:val="000000"/>
              </w:rPr>
              <w:t>Whether patient is outpatient, inpatient, emergency, urgent care</w:t>
            </w:r>
          </w:p>
        </w:tc>
        <w:tc>
          <w:tcPr>
            <w:tcW w:w="1848" w:type="pct"/>
            <w:tcBorders>
              <w:top w:val="single" w:sz="4" w:space="0" w:color="auto"/>
              <w:left w:val="nil"/>
              <w:bottom w:val="single" w:sz="4" w:space="0" w:color="auto"/>
              <w:right w:val="double" w:sz="6" w:space="0" w:color="auto"/>
            </w:tcBorders>
            <w:shd w:val="clear" w:color="auto" w:fill="auto"/>
            <w:hideMark/>
          </w:tcPr>
          <w:p w14:paraId="756ABE74" w14:textId="77777777" w:rsidR="009004C7" w:rsidRPr="00B1681B" w:rsidRDefault="009004C7" w:rsidP="00010BDF">
            <w:pPr>
              <w:spacing w:after="0" w:line="240" w:lineRule="auto"/>
              <w:rPr>
                <w:color w:val="000000"/>
              </w:rPr>
            </w:pPr>
            <w:r w:rsidRPr="00B1681B">
              <w:rPr>
                <w:color w:val="000000"/>
              </w:rPr>
              <w:t> </w:t>
            </w:r>
          </w:p>
        </w:tc>
      </w:tr>
    </w:tbl>
    <w:p w14:paraId="362707ED" w14:textId="11968FB7" w:rsidR="008617C7" w:rsidRDefault="008617C7" w:rsidP="00010BDF"/>
    <w:p w14:paraId="5814278F" w14:textId="77777777" w:rsidR="008617C7" w:rsidRDefault="008617C7">
      <w:r>
        <w:br w:type="page"/>
      </w:r>
    </w:p>
    <w:p w14:paraId="38B4F7E3" w14:textId="77777777" w:rsidR="008617C7" w:rsidRDefault="008617C7" w:rsidP="00010BDF"/>
    <w:p w14:paraId="5D2160B1" w14:textId="77777777" w:rsidR="008617C7" w:rsidRDefault="008617C7" w:rsidP="008617C7">
      <w:pPr>
        <w:pStyle w:val="Heading2"/>
        <w:keepLines w:val="0"/>
        <w:numPr>
          <w:ilvl w:val="1"/>
          <w:numId w:val="15"/>
        </w:numPr>
        <w:tabs>
          <w:tab w:val="left" w:pos="720"/>
          <w:tab w:val="left" w:pos="864"/>
        </w:tabs>
        <w:spacing w:before="360" w:after="120" w:line="260" w:lineRule="exact"/>
        <w:rPr>
          <w:rFonts w:asciiTheme="minorHAnsi" w:hAnsiTheme="minorHAnsi"/>
          <w:b/>
          <w:color w:val="auto"/>
          <w:sz w:val="28"/>
          <w:szCs w:val="28"/>
        </w:rPr>
      </w:pPr>
      <w:r>
        <w:rPr>
          <w:rFonts w:asciiTheme="minorHAnsi" w:hAnsiTheme="minorHAnsi"/>
          <w:b/>
          <w:color w:val="auto"/>
          <w:sz w:val="28"/>
          <w:szCs w:val="28"/>
        </w:rPr>
        <w:t xml:space="preserve">  </w:t>
      </w:r>
      <w:r w:rsidRPr="00602B2C">
        <w:rPr>
          <w:rFonts w:asciiTheme="minorHAnsi" w:hAnsiTheme="minorHAnsi"/>
          <w:b/>
          <w:color w:val="auto"/>
          <w:sz w:val="28"/>
          <w:szCs w:val="28"/>
        </w:rPr>
        <w:t xml:space="preserve">eICR Data Model  </w:t>
      </w:r>
    </w:p>
    <w:p w14:paraId="7CAF86F8" w14:textId="77777777" w:rsidR="00EA4397" w:rsidRDefault="00EA4397" w:rsidP="00EA4397">
      <w:pPr>
        <w:pStyle w:val="Heading2"/>
        <w:keepLines w:val="0"/>
        <w:tabs>
          <w:tab w:val="left" w:pos="720"/>
          <w:tab w:val="left" w:pos="864"/>
        </w:tabs>
        <w:spacing w:before="360" w:after="120" w:line="260" w:lineRule="exact"/>
        <w:rPr>
          <w:rFonts w:asciiTheme="minorHAnsi" w:hAnsiTheme="minorHAnsi"/>
          <w:color w:val="auto"/>
          <w:sz w:val="24"/>
          <w:szCs w:val="24"/>
        </w:rPr>
      </w:pPr>
      <w:r w:rsidRPr="009F7B51">
        <w:rPr>
          <w:rFonts w:asciiTheme="minorHAnsi" w:hAnsiTheme="minorHAnsi"/>
          <w:color w:val="auto"/>
          <w:sz w:val="24"/>
          <w:szCs w:val="24"/>
        </w:rPr>
        <w:t>Figure 9</w:t>
      </w:r>
      <w:r>
        <w:rPr>
          <w:rFonts w:asciiTheme="minorHAnsi" w:hAnsiTheme="minorHAnsi"/>
          <w:color w:val="auto"/>
          <w:sz w:val="24"/>
          <w:szCs w:val="24"/>
        </w:rPr>
        <w:t xml:space="preserve">.  The eICR Data Model documents the important data that support clinical care and public health for an electronic initial public health case report.  </w:t>
      </w:r>
    </w:p>
    <w:p w14:paraId="368B1A85" w14:textId="77777777" w:rsidR="00EA4397" w:rsidRDefault="00EA4397" w:rsidP="00EA4397"/>
    <w:p w14:paraId="118536B6" w14:textId="77777777" w:rsidR="00EA4397" w:rsidRPr="00EA4397" w:rsidRDefault="00EA4397" w:rsidP="00EA4397"/>
    <w:p w14:paraId="213726C6" w14:textId="183E8F1D" w:rsidR="008617C7" w:rsidRDefault="008617C7"/>
    <w:p w14:paraId="599E32C0" w14:textId="657692A5" w:rsidR="00010BDF" w:rsidRDefault="008617C7" w:rsidP="00010BDF">
      <w:r>
        <w:rPr>
          <w:noProof/>
          <w:sz w:val="24"/>
          <w:szCs w:val="24"/>
        </w:rPr>
        <w:lastRenderedPageBreak/>
        <w:drawing>
          <wp:anchor distT="0" distB="0" distL="114300" distR="114300" simplePos="0" relativeHeight="251658240" behindDoc="0" locked="0" layoutInCell="1" allowOverlap="1" wp14:anchorId="59412D19" wp14:editId="36388266">
            <wp:simplePos x="0" y="0"/>
            <wp:positionH relativeFrom="column">
              <wp:posOffset>-267335</wp:posOffset>
            </wp:positionH>
            <wp:positionV relativeFrom="paragraph">
              <wp:posOffset>1314450</wp:posOffset>
            </wp:positionV>
            <wp:extent cx="7428230" cy="4814570"/>
            <wp:effectExtent l="0" t="762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 Public Health Case Reporting .jp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7428230" cy="4814570"/>
                    </a:xfrm>
                    <a:prstGeom prst="rect">
                      <a:avLst/>
                    </a:prstGeom>
                  </pic:spPr>
                </pic:pic>
              </a:graphicData>
            </a:graphic>
            <wp14:sizeRelH relativeFrom="margin">
              <wp14:pctWidth>0</wp14:pctWidth>
            </wp14:sizeRelH>
            <wp14:sizeRelV relativeFrom="margin">
              <wp14:pctHeight>0</wp14:pctHeight>
            </wp14:sizeRelV>
          </wp:anchor>
        </w:drawing>
      </w:r>
    </w:p>
    <w:p w14:paraId="04E47F2A" w14:textId="644A2A25" w:rsidR="008617C7" w:rsidRDefault="008617C7" w:rsidP="009F7B51">
      <w:pPr>
        <w:pStyle w:val="Heading2"/>
        <w:keepLines w:val="0"/>
        <w:tabs>
          <w:tab w:val="left" w:pos="720"/>
          <w:tab w:val="left" w:pos="864"/>
        </w:tabs>
        <w:spacing w:before="360" w:after="120" w:line="260" w:lineRule="exact"/>
        <w:rPr>
          <w:rFonts w:asciiTheme="minorHAnsi" w:hAnsiTheme="minorHAnsi"/>
          <w:color w:val="auto"/>
          <w:sz w:val="24"/>
          <w:szCs w:val="24"/>
        </w:rPr>
      </w:pPr>
    </w:p>
    <w:p w14:paraId="1267D130" w14:textId="323990D9" w:rsidR="00010BDF" w:rsidRPr="009F7B51" w:rsidRDefault="00010BDF" w:rsidP="009F7B51">
      <w:pPr>
        <w:pStyle w:val="Heading2"/>
        <w:keepLines w:val="0"/>
        <w:tabs>
          <w:tab w:val="left" w:pos="720"/>
          <w:tab w:val="left" w:pos="864"/>
        </w:tabs>
        <w:spacing w:before="360" w:after="120" w:line="260" w:lineRule="exact"/>
        <w:rPr>
          <w:rFonts w:asciiTheme="minorHAnsi" w:hAnsiTheme="minorHAnsi"/>
          <w:sz w:val="24"/>
          <w:szCs w:val="24"/>
        </w:rPr>
      </w:pPr>
      <w:r w:rsidRPr="009F7B51">
        <w:rPr>
          <w:rFonts w:asciiTheme="minorHAnsi" w:hAnsiTheme="minorHAnsi"/>
          <w:sz w:val="24"/>
          <w:szCs w:val="24"/>
        </w:rPr>
        <w:br w:type="page"/>
      </w:r>
    </w:p>
    <w:p w14:paraId="33D0D9DB" w14:textId="34073FAC" w:rsidR="00010BDF" w:rsidRPr="00602B2C" w:rsidRDefault="00E70C43" w:rsidP="00602B2C">
      <w:pPr>
        <w:pStyle w:val="Heading2"/>
        <w:keepLines w:val="0"/>
        <w:tabs>
          <w:tab w:val="left" w:pos="720"/>
          <w:tab w:val="left" w:pos="864"/>
        </w:tabs>
        <w:spacing w:before="360" w:after="120" w:line="260" w:lineRule="exact"/>
        <w:rPr>
          <w:rFonts w:asciiTheme="minorHAnsi" w:hAnsiTheme="minorHAnsi"/>
          <w:b/>
          <w:color w:val="auto"/>
          <w:sz w:val="28"/>
          <w:szCs w:val="28"/>
        </w:rPr>
      </w:pPr>
      <w:bookmarkStart w:id="496" w:name="_Toc434507888"/>
      <w:bookmarkStart w:id="497" w:name="_Toc436033866"/>
      <w:r>
        <w:rPr>
          <w:rFonts w:asciiTheme="minorHAnsi" w:hAnsiTheme="minorHAnsi"/>
          <w:b/>
          <w:color w:val="auto"/>
          <w:sz w:val="28"/>
          <w:szCs w:val="28"/>
        </w:rPr>
        <w:lastRenderedPageBreak/>
        <w:t>3.6</w:t>
      </w:r>
      <w:r w:rsidR="00602B2C">
        <w:rPr>
          <w:rFonts w:asciiTheme="minorHAnsi" w:hAnsiTheme="minorHAnsi"/>
          <w:b/>
          <w:color w:val="auto"/>
          <w:sz w:val="28"/>
          <w:szCs w:val="28"/>
        </w:rPr>
        <w:t xml:space="preserve">  </w:t>
      </w:r>
      <w:r w:rsidR="00010BDF" w:rsidRPr="00602B2C">
        <w:rPr>
          <w:rFonts w:asciiTheme="minorHAnsi" w:hAnsiTheme="minorHAnsi"/>
          <w:b/>
          <w:color w:val="auto"/>
          <w:sz w:val="28"/>
          <w:szCs w:val="28"/>
        </w:rPr>
        <w:t>Mapping of data elements to Data Model</w:t>
      </w:r>
      <w:bookmarkEnd w:id="496"/>
      <w:bookmarkEnd w:id="497"/>
      <w:r w:rsidR="00107813">
        <w:rPr>
          <w:rFonts w:asciiTheme="minorHAnsi" w:hAnsiTheme="minorHAnsi"/>
          <w:b/>
          <w:color w:val="auto"/>
          <w:sz w:val="28"/>
          <w:szCs w:val="28"/>
        </w:rPr>
        <w:t xml:space="preserve"> (Table 4)</w:t>
      </w:r>
    </w:p>
    <w:tbl>
      <w:tblPr>
        <w:tblW w:w="4521" w:type="pct"/>
        <w:tblLook w:val="04A0" w:firstRow="1" w:lastRow="0" w:firstColumn="1" w:lastColumn="0" w:noHBand="0" w:noVBand="1"/>
      </w:tblPr>
      <w:tblGrid>
        <w:gridCol w:w="3214"/>
        <w:gridCol w:w="3029"/>
        <w:gridCol w:w="2416"/>
      </w:tblGrid>
      <w:tr w:rsidR="00075A5C" w:rsidRPr="00602B2C" w14:paraId="2F80409D" w14:textId="77777777" w:rsidTr="006145A7">
        <w:trPr>
          <w:cantSplit/>
        </w:trPr>
        <w:tc>
          <w:tcPr>
            <w:tcW w:w="1856" w:type="pct"/>
            <w:tcBorders>
              <w:top w:val="double" w:sz="6" w:space="0" w:color="auto"/>
              <w:left w:val="double" w:sz="6" w:space="0" w:color="auto"/>
              <w:bottom w:val="single" w:sz="4" w:space="0" w:color="auto"/>
              <w:right w:val="single" w:sz="8" w:space="0" w:color="auto"/>
            </w:tcBorders>
            <w:shd w:val="clear" w:color="000000" w:fill="00B0F0"/>
            <w:hideMark/>
          </w:tcPr>
          <w:p w14:paraId="0880F804" w14:textId="23B97DA1" w:rsidR="00075A5C" w:rsidRPr="00602B2C" w:rsidRDefault="00075A5C" w:rsidP="00016BAD">
            <w:pPr>
              <w:spacing w:after="0" w:line="240" w:lineRule="auto"/>
              <w:rPr>
                <w:b/>
                <w:bCs/>
                <w:color w:val="000000"/>
                <w:sz w:val="20"/>
                <w:szCs w:val="20"/>
              </w:rPr>
            </w:pPr>
            <w:r w:rsidRPr="00602B2C">
              <w:rPr>
                <w:b/>
                <w:bCs/>
                <w:color w:val="000000"/>
                <w:sz w:val="20"/>
                <w:szCs w:val="20"/>
              </w:rPr>
              <w:t>ELEMENT NAME</w:t>
            </w:r>
          </w:p>
        </w:tc>
        <w:tc>
          <w:tcPr>
            <w:tcW w:w="1749" w:type="pct"/>
            <w:tcBorders>
              <w:top w:val="double" w:sz="6" w:space="0" w:color="auto"/>
              <w:left w:val="nil"/>
              <w:bottom w:val="single" w:sz="4" w:space="0" w:color="auto"/>
              <w:right w:val="single" w:sz="8" w:space="0" w:color="auto"/>
            </w:tcBorders>
            <w:shd w:val="clear" w:color="000000" w:fill="00B050"/>
            <w:noWrap/>
            <w:hideMark/>
          </w:tcPr>
          <w:p w14:paraId="56B75ABD" w14:textId="77777777" w:rsidR="00075A5C" w:rsidRPr="00602B2C" w:rsidRDefault="00075A5C" w:rsidP="00010BDF">
            <w:pPr>
              <w:spacing w:after="0" w:line="240" w:lineRule="auto"/>
              <w:rPr>
                <w:b/>
                <w:bCs/>
                <w:color w:val="000000"/>
                <w:sz w:val="20"/>
                <w:szCs w:val="20"/>
              </w:rPr>
            </w:pPr>
            <w:r w:rsidRPr="00602B2C">
              <w:rPr>
                <w:b/>
                <w:bCs/>
                <w:color w:val="000000"/>
                <w:sz w:val="20"/>
                <w:szCs w:val="20"/>
              </w:rPr>
              <w:t>Class Name</w:t>
            </w:r>
          </w:p>
        </w:tc>
        <w:tc>
          <w:tcPr>
            <w:tcW w:w="1395" w:type="pct"/>
            <w:tcBorders>
              <w:top w:val="double" w:sz="6" w:space="0" w:color="auto"/>
              <w:left w:val="nil"/>
              <w:bottom w:val="single" w:sz="4" w:space="0" w:color="auto"/>
              <w:right w:val="double" w:sz="6" w:space="0" w:color="auto"/>
            </w:tcBorders>
            <w:shd w:val="clear" w:color="000000" w:fill="00B050"/>
            <w:noWrap/>
            <w:hideMark/>
          </w:tcPr>
          <w:p w14:paraId="5320E1B8" w14:textId="77777777" w:rsidR="00075A5C" w:rsidRPr="00602B2C" w:rsidRDefault="00075A5C" w:rsidP="00010BDF">
            <w:pPr>
              <w:spacing w:after="0" w:line="240" w:lineRule="auto"/>
              <w:rPr>
                <w:b/>
                <w:bCs/>
                <w:color w:val="000000"/>
                <w:sz w:val="20"/>
                <w:szCs w:val="20"/>
              </w:rPr>
            </w:pPr>
            <w:r w:rsidRPr="00602B2C">
              <w:rPr>
                <w:b/>
                <w:bCs/>
                <w:color w:val="000000"/>
                <w:sz w:val="20"/>
                <w:szCs w:val="20"/>
              </w:rPr>
              <w:t>Class Attribute Name</w:t>
            </w:r>
          </w:p>
        </w:tc>
      </w:tr>
      <w:tr w:rsidR="00075A5C" w:rsidRPr="00602B2C" w14:paraId="43CD0963"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4F70CD2" w14:textId="77777777" w:rsidR="00075A5C" w:rsidRPr="00602B2C" w:rsidRDefault="00075A5C" w:rsidP="00010BDF">
            <w:pPr>
              <w:spacing w:after="0" w:line="240" w:lineRule="auto"/>
              <w:rPr>
                <w:color w:val="000000"/>
                <w:sz w:val="20"/>
                <w:szCs w:val="20"/>
              </w:rPr>
            </w:pPr>
            <w:r w:rsidRPr="00602B2C">
              <w:rPr>
                <w:color w:val="000000"/>
                <w:sz w:val="20"/>
                <w:szCs w:val="20"/>
              </w:rPr>
              <w:t>Date of the Report</w:t>
            </w:r>
          </w:p>
        </w:tc>
        <w:tc>
          <w:tcPr>
            <w:tcW w:w="1749" w:type="pct"/>
            <w:tcBorders>
              <w:top w:val="nil"/>
              <w:left w:val="nil"/>
              <w:bottom w:val="single" w:sz="4" w:space="0" w:color="auto"/>
              <w:right w:val="single" w:sz="8" w:space="0" w:color="auto"/>
            </w:tcBorders>
            <w:shd w:val="clear" w:color="auto" w:fill="auto"/>
            <w:noWrap/>
            <w:hideMark/>
          </w:tcPr>
          <w:p w14:paraId="64B3A210" w14:textId="77777777" w:rsidR="00075A5C" w:rsidRPr="00602B2C" w:rsidRDefault="00075A5C" w:rsidP="00010BDF">
            <w:pPr>
              <w:spacing w:after="0" w:line="240" w:lineRule="auto"/>
              <w:rPr>
                <w:color w:val="000000"/>
                <w:sz w:val="20"/>
                <w:szCs w:val="20"/>
              </w:rPr>
            </w:pPr>
            <w:r w:rsidRPr="00602B2C">
              <w:rPr>
                <w:color w:val="000000"/>
                <w:sz w:val="20"/>
                <w:szCs w:val="20"/>
              </w:rPr>
              <w:t>IntialPublicHealthCaseReport</w:t>
            </w:r>
          </w:p>
        </w:tc>
        <w:tc>
          <w:tcPr>
            <w:tcW w:w="1395" w:type="pct"/>
            <w:tcBorders>
              <w:top w:val="single" w:sz="4" w:space="0" w:color="auto"/>
              <w:left w:val="nil"/>
              <w:bottom w:val="single" w:sz="4" w:space="0" w:color="auto"/>
              <w:right w:val="double" w:sz="6" w:space="0" w:color="auto"/>
            </w:tcBorders>
            <w:shd w:val="clear" w:color="auto" w:fill="auto"/>
            <w:noWrap/>
            <w:hideMark/>
          </w:tcPr>
          <w:p w14:paraId="5A5D2E7B" w14:textId="77777777" w:rsidR="00075A5C" w:rsidRPr="00602B2C" w:rsidRDefault="00075A5C" w:rsidP="00010BDF">
            <w:pPr>
              <w:spacing w:after="0" w:line="240" w:lineRule="auto"/>
              <w:rPr>
                <w:color w:val="000000"/>
                <w:sz w:val="20"/>
                <w:szCs w:val="20"/>
              </w:rPr>
            </w:pPr>
            <w:r w:rsidRPr="00602B2C">
              <w:rPr>
                <w:color w:val="000000"/>
                <w:sz w:val="20"/>
                <w:szCs w:val="20"/>
              </w:rPr>
              <w:t>effectiveDate</w:t>
            </w:r>
          </w:p>
        </w:tc>
      </w:tr>
      <w:tr w:rsidR="00075A5C" w:rsidRPr="00602B2C" w14:paraId="5DCA2F41"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2563B32C" w14:textId="77777777" w:rsidR="00075A5C" w:rsidRPr="00602B2C" w:rsidRDefault="00075A5C" w:rsidP="00010BDF">
            <w:pPr>
              <w:spacing w:after="0" w:line="240" w:lineRule="auto"/>
              <w:rPr>
                <w:color w:val="000000"/>
                <w:sz w:val="20"/>
                <w:szCs w:val="20"/>
              </w:rPr>
            </w:pPr>
            <w:r w:rsidRPr="00602B2C">
              <w:rPr>
                <w:color w:val="000000"/>
                <w:sz w:val="20"/>
                <w:szCs w:val="20"/>
              </w:rPr>
              <w:t>Provider ID</w:t>
            </w:r>
          </w:p>
        </w:tc>
        <w:tc>
          <w:tcPr>
            <w:tcW w:w="1749" w:type="pct"/>
            <w:tcBorders>
              <w:top w:val="nil"/>
              <w:left w:val="nil"/>
              <w:bottom w:val="single" w:sz="4" w:space="0" w:color="auto"/>
              <w:right w:val="single" w:sz="8" w:space="0" w:color="auto"/>
            </w:tcBorders>
            <w:shd w:val="clear" w:color="auto" w:fill="auto"/>
            <w:noWrap/>
            <w:hideMark/>
          </w:tcPr>
          <w:p w14:paraId="7CDD6CAE" w14:textId="77777777" w:rsidR="00075A5C" w:rsidRPr="00602B2C" w:rsidRDefault="00075A5C" w:rsidP="00010BDF">
            <w:pPr>
              <w:spacing w:after="0" w:line="240" w:lineRule="auto"/>
              <w:rPr>
                <w:color w:val="000000"/>
                <w:sz w:val="20"/>
                <w:szCs w:val="20"/>
              </w:rPr>
            </w:pPr>
            <w:r w:rsidRPr="00602B2C">
              <w:rPr>
                <w:color w:val="000000"/>
                <w:sz w:val="20"/>
                <w:szCs w:val="20"/>
              </w:rPr>
              <w:t>Provider</w:t>
            </w:r>
          </w:p>
        </w:tc>
        <w:tc>
          <w:tcPr>
            <w:tcW w:w="1395" w:type="pct"/>
            <w:tcBorders>
              <w:top w:val="single" w:sz="4" w:space="0" w:color="auto"/>
              <w:left w:val="nil"/>
              <w:bottom w:val="single" w:sz="4" w:space="0" w:color="auto"/>
              <w:right w:val="double" w:sz="6" w:space="0" w:color="auto"/>
            </w:tcBorders>
            <w:shd w:val="clear" w:color="auto" w:fill="auto"/>
            <w:noWrap/>
            <w:hideMark/>
          </w:tcPr>
          <w:p w14:paraId="559F5D46" w14:textId="77777777" w:rsidR="00075A5C" w:rsidRPr="00602B2C" w:rsidRDefault="00075A5C" w:rsidP="00010BDF">
            <w:pPr>
              <w:spacing w:after="0" w:line="240" w:lineRule="auto"/>
              <w:rPr>
                <w:color w:val="000000"/>
                <w:sz w:val="20"/>
                <w:szCs w:val="20"/>
              </w:rPr>
            </w:pPr>
            <w:r w:rsidRPr="00602B2C">
              <w:rPr>
                <w:color w:val="000000"/>
                <w:sz w:val="20"/>
                <w:szCs w:val="20"/>
              </w:rPr>
              <w:t>identifier</w:t>
            </w:r>
          </w:p>
        </w:tc>
      </w:tr>
      <w:tr w:rsidR="00075A5C" w:rsidRPr="00602B2C" w14:paraId="24F8C640"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6D88E2F" w14:textId="77777777" w:rsidR="00075A5C" w:rsidRPr="00602B2C" w:rsidRDefault="00075A5C" w:rsidP="00010BDF">
            <w:pPr>
              <w:spacing w:after="0" w:line="240" w:lineRule="auto"/>
              <w:rPr>
                <w:color w:val="000000"/>
                <w:sz w:val="20"/>
                <w:szCs w:val="20"/>
              </w:rPr>
            </w:pPr>
            <w:r w:rsidRPr="00602B2C">
              <w:rPr>
                <w:color w:val="000000"/>
                <w:sz w:val="20"/>
                <w:szCs w:val="20"/>
              </w:rPr>
              <w:t>Provider Name</w:t>
            </w:r>
          </w:p>
        </w:tc>
        <w:tc>
          <w:tcPr>
            <w:tcW w:w="1749" w:type="pct"/>
            <w:tcBorders>
              <w:top w:val="nil"/>
              <w:left w:val="nil"/>
              <w:bottom w:val="single" w:sz="4" w:space="0" w:color="auto"/>
              <w:right w:val="single" w:sz="8" w:space="0" w:color="auto"/>
            </w:tcBorders>
            <w:shd w:val="clear" w:color="auto" w:fill="auto"/>
            <w:noWrap/>
            <w:hideMark/>
          </w:tcPr>
          <w:p w14:paraId="7CD36D7F" w14:textId="77777777" w:rsidR="00075A5C" w:rsidRPr="00602B2C" w:rsidRDefault="00075A5C" w:rsidP="00010BDF">
            <w:pPr>
              <w:spacing w:after="0" w:line="240" w:lineRule="auto"/>
              <w:rPr>
                <w:color w:val="000000"/>
                <w:sz w:val="20"/>
                <w:szCs w:val="20"/>
              </w:rPr>
            </w:pPr>
            <w:r w:rsidRPr="00602B2C">
              <w:rPr>
                <w:color w:val="000000"/>
                <w:sz w:val="20"/>
                <w:szCs w:val="20"/>
              </w:rPr>
              <w:t>Provider</w:t>
            </w:r>
          </w:p>
        </w:tc>
        <w:tc>
          <w:tcPr>
            <w:tcW w:w="1395" w:type="pct"/>
            <w:tcBorders>
              <w:top w:val="single" w:sz="4" w:space="0" w:color="auto"/>
              <w:left w:val="nil"/>
              <w:bottom w:val="single" w:sz="4" w:space="0" w:color="auto"/>
              <w:right w:val="double" w:sz="6" w:space="0" w:color="auto"/>
            </w:tcBorders>
            <w:shd w:val="clear" w:color="auto" w:fill="auto"/>
            <w:noWrap/>
            <w:hideMark/>
          </w:tcPr>
          <w:p w14:paraId="561CABD4" w14:textId="77777777" w:rsidR="00075A5C" w:rsidRPr="00602B2C" w:rsidRDefault="00075A5C" w:rsidP="00010BDF">
            <w:pPr>
              <w:spacing w:after="0" w:line="240" w:lineRule="auto"/>
              <w:rPr>
                <w:color w:val="000000"/>
                <w:sz w:val="20"/>
                <w:szCs w:val="20"/>
              </w:rPr>
            </w:pPr>
            <w:r w:rsidRPr="00602B2C">
              <w:rPr>
                <w:color w:val="000000"/>
                <w:sz w:val="20"/>
                <w:szCs w:val="20"/>
              </w:rPr>
              <w:t>name</w:t>
            </w:r>
          </w:p>
        </w:tc>
      </w:tr>
      <w:tr w:rsidR="00075A5C" w:rsidRPr="00602B2C" w14:paraId="03EE3C2B"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2D7FA094" w14:textId="77777777" w:rsidR="00075A5C" w:rsidRPr="00602B2C" w:rsidRDefault="00075A5C" w:rsidP="00010BDF">
            <w:pPr>
              <w:spacing w:after="0" w:line="240" w:lineRule="auto"/>
              <w:rPr>
                <w:color w:val="000000"/>
                <w:sz w:val="20"/>
                <w:szCs w:val="20"/>
              </w:rPr>
            </w:pPr>
            <w:r w:rsidRPr="00602B2C">
              <w:rPr>
                <w:color w:val="000000"/>
                <w:sz w:val="20"/>
                <w:szCs w:val="20"/>
              </w:rPr>
              <w:t>Provider Phone</w:t>
            </w:r>
          </w:p>
        </w:tc>
        <w:tc>
          <w:tcPr>
            <w:tcW w:w="1749" w:type="pct"/>
            <w:tcBorders>
              <w:top w:val="nil"/>
              <w:left w:val="nil"/>
              <w:bottom w:val="single" w:sz="4" w:space="0" w:color="auto"/>
              <w:right w:val="single" w:sz="8" w:space="0" w:color="auto"/>
            </w:tcBorders>
            <w:shd w:val="clear" w:color="auto" w:fill="auto"/>
            <w:noWrap/>
            <w:hideMark/>
          </w:tcPr>
          <w:p w14:paraId="14401FAA" w14:textId="77777777" w:rsidR="00075A5C" w:rsidRPr="00602B2C" w:rsidRDefault="00075A5C" w:rsidP="00010BDF">
            <w:pPr>
              <w:spacing w:after="0" w:line="240" w:lineRule="auto"/>
              <w:rPr>
                <w:color w:val="000000"/>
                <w:sz w:val="20"/>
                <w:szCs w:val="20"/>
              </w:rPr>
            </w:pPr>
            <w:r w:rsidRPr="00602B2C">
              <w:rPr>
                <w:color w:val="000000"/>
                <w:sz w:val="20"/>
                <w:szCs w:val="20"/>
              </w:rPr>
              <w:t>Provider</w:t>
            </w:r>
          </w:p>
        </w:tc>
        <w:tc>
          <w:tcPr>
            <w:tcW w:w="1395" w:type="pct"/>
            <w:tcBorders>
              <w:top w:val="single" w:sz="4" w:space="0" w:color="auto"/>
              <w:left w:val="nil"/>
              <w:bottom w:val="single" w:sz="4" w:space="0" w:color="auto"/>
              <w:right w:val="double" w:sz="6" w:space="0" w:color="auto"/>
            </w:tcBorders>
            <w:shd w:val="clear" w:color="auto" w:fill="auto"/>
            <w:noWrap/>
            <w:hideMark/>
          </w:tcPr>
          <w:p w14:paraId="7B0B84B0" w14:textId="77777777" w:rsidR="00075A5C" w:rsidRPr="00602B2C" w:rsidRDefault="00075A5C" w:rsidP="00010BDF">
            <w:pPr>
              <w:spacing w:after="0" w:line="240" w:lineRule="auto"/>
              <w:rPr>
                <w:color w:val="000000"/>
                <w:sz w:val="20"/>
                <w:szCs w:val="20"/>
              </w:rPr>
            </w:pPr>
            <w:r w:rsidRPr="00602B2C">
              <w:rPr>
                <w:color w:val="000000"/>
                <w:sz w:val="20"/>
                <w:szCs w:val="20"/>
              </w:rPr>
              <w:t>telecomAddress</w:t>
            </w:r>
          </w:p>
        </w:tc>
      </w:tr>
      <w:tr w:rsidR="00075A5C" w:rsidRPr="00602B2C" w14:paraId="620F96B8"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02EDB401" w14:textId="77777777" w:rsidR="00075A5C" w:rsidRPr="00602B2C" w:rsidRDefault="00075A5C" w:rsidP="00010BDF">
            <w:pPr>
              <w:spacing w:after="0" w:line="240" w:lineRule="auto"/>
              <w:rPr>
                <w:color w:val="000000"/>
                <w:sz w:val="20"/>
                <w:szCs w:val="20"/>
              </w:rPr>
            </w:pPr>
            <w:r w:rsidRPr="00602B2C">
              <w:rPr>
                <w:color w:val="000000"/>
                <w:sz w:val="20"/>
                <w:szCs w:val="20"/>
              </w:rPr>
              <w:t>Provider Fax</w:t>
            </w:r>
          </w:p>
        </w:tc>
        <w:tc>
          <w:tcPr>
            <w:tcW w:w="1749" w:type="pct"/>
            <w:tcBorders>
              <w:top w:val="nil"/>
              <w:left w:val="nil"/>
              <w:bottom w:val="single" w:sz="4" w:space="0" w:color="auto"/>
              <w:right w:val="single" w:sz="8" w:space="0" w:color="auto"/>
            </w:tcBorders>
            <w:shd w:val="clear" w:color="auto" w:fill="auto"/>
            <w:noWrap/>
            <w:hideMark/>
          </w:tcPr>
          <w:p w14:paraId="741F294E" w14:textId="77777777" w:rsidR="00075A5C" w:rsidRPr="00602B2C" w:rsidRDefault="00075A5C" w:rsidP="00010BDF">
            <w:pPr>
              <w:spacing w:after="0" w:line="240" w:lineRule="auto"/>
              <w:rPr>
                <w:color w:val="000000"/>
                <w:sz w:val="20"/>
                <w:szCs w:val="20"/>
              </w:rPr>
            </w:pPr>
            <w:r w:rsidRPr="00602B2C">
              <w:rPr>
                <w:color w:val="000000"/>
                <w:sz w:val="20"/>
                <w:szCs w:val="20"/>
              </w:rPr>
              <w:t>Provider</w:t>
            </w:r>
          </w:p>
        </w:tc>
        <w:tc>
          <w:tcPr>
            <w:tcW w:w="1395" w:type="pct"/>
            <w:tcBorders>
              <w:top w:val="single" w:sz="4" w:space="0" w:color="auto"/>
              <w:left w:val="nil"/>
              <w:bottom w:val="single" w:sz="4" w:space="0" w:color="auto"/>
              <w:right w:val="double" w:sz="6" w:space="0" w:color="auto"/>
            </w:tcBorders>
            <w:shd w:val="clear" w:color="auto" w:fill="auto"/>
            <w:noWrap/>
            <w:hideMark/>
          </w:tcPr>
          <w:p w14:paraId="6A809636" w14:textId="77777777" w:rsidR="00075A5C" w:rsidRPr="00602B2C" w:rsidRDefault="00075A5C" w:rsidP="00010BDF">
            <w:pPr>
              <w:spacing w:after="0" w:line="240" w:lineRule="auto"/>
              <w:rPr>
                <w:color w:val="000000"/>
                <w:sz w:val="20"/>
                <w:szCs w:val="20"/>
              </w:rPr>
            </w:pPr>
            <w:r w:rsidRPr="00602B2C">
              <w:rPr>
                <w:color w:val="000000"/>
                <w:sz w:val="20"/>
                <w:szCs w:val="20"/>
              </w:rPr>
              <w:t>telecomAddress</w:t>
            </w:r>
          </w:p>
        </w:tc>
      </w:tr>
      <w:tr w:rsidR="00075A5C" w:rsidRPr="00602B2C" w14:paraId="2357034C"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62A82F71" w14:textId="77777777" w:rsidR="00075A5C" w:rsidRPr="00602B2C" w:rsidRDefault="00075A5C" w:rsidP="00010BDF">
            <w:pPr>
              <w:spacing w:after="0" w:line="240" w:lineRule="auto"/>
              <w:rPr>
                <w:color w:val="000000"/>
                <w:sz w:val="20"/>
                <w:szCs w:val="20"/>
              </w:rPr>
            </w:pPr>
            <w:r w:rsidRPr="00602B2C">
              <w:rPr>
                <w:color w:val="000000"/>
                <w:sz w:val="20"/>
                <w:szCs w:val="20"/>
              </w:rPr>
              <w:t>Provider Email</w:t>
            </w:r>
          </w:p>
        </w:tc>
        <w:tc>
          <w:tcPr>
            <w:tcW w:w="1749" w:type="pct"/>
            <w:tcBorders>
              <w:top w:val="nil"/>
              <w:left w:val="nil"/>
              <w:bottom w:val="single" w:sz="4" w:space="0" w:color="auto"/>
              <w:right w:val="single" w:sz="8" w:space="0" w:color="auto"/>
            </w:tcBorders>
            <w:shd w:val="clear" w:color="auto" w:fill="auto"/>
            <w:noWrap/>
            <w:hideMark/>
          </w:tcPr>
          <w:p w14:paraId="6930FB22" w14:textId="77777777" w:rsidR="00075A5C" w:rsidRPr="00602B2C" w:rsidRDefault="00075A5C" w:rsidP="00010BDF">
            <w:pPr>
              <w:spacing w:after="0" w:line="240" w:lineRule="auto"/>
              <w:rPr>
                <w:color w:val="000000"/>
                <w:sz w:val="20"/>
                <w:szCs w:val="20"/>
              </w:rPr>
            </w:pPr>
            <w:r w:rsidRPr="00602B2C">
              <w:rPr>
                <w:color w:val="000000"/>
                <w:sz w:val="20"/>
                <w:szCs w:val="20"/>
              </w:rPr>
              <w:t>Provider</w:t>
            </w:r>
          </w:p>
        </w:tc>
        <w:tc>
          <w:tcPr>
            <w:tcW w:w="1395" w:type="pct"/>
            <w:tcBorders>
              <w:top w:val="single" w:sz="4" w:space="0" w:color="auto"/>
              <w:left w:val="nil"/>
              <w:bottom w:val="single" w:sz="4" w:space="0" w:color="auto"/>
              <w:right w:val="double" w:sz="6" w:space="0" w:color="auto"/>
            </w:tcBorders>
            <w:shd w:val="clear" w:color="auto" w:fill="auto"/>
            <w:noWrap/>
            <w:hideMark/>
          </w:tcPr>
          <w:p w14:paraId="171F3593" w14:textId="77777777" w:rsidR="00075A5C" w:rsidRPr="00602B2C" w:rsidRDefault="00075A5C" w:rsidP="00010BDF">
            <w:pPr>
              <w:spacing w:after="0" w:line="240" w:lineRule="auto"/>
              <w:rPr>
                <w:color w:val="000000"/>
                <w:sz w:val="20"/>
                <w:szCs w:val="20"/>
              </w:rPr>
            </w:pPr>
            <w:r w:rsidRPr="00602B2C">
              <w:rPr>
                <w:color w:val="000000"/>
                <w:sz w:val="20"/>
                <w:szCs w:val="20"/>
              </w:rPr>
              <w:t>telecomAddress</w:t>
            </w:r>
          </w:p>
        </w:tc>
      </w:tr>
      <w:tr w:rsidR="00075A5C" w:rsidRPr="00602B2C" w14:paraId="4956400B"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42F60B6" w14:textId="77777777" w:rsidR="00075A5C" w:rsidRPr="00602B2C" w:rsidRDefault="00075A5C" w:rsidP="00010BDF">
            <w:pPr>
              <w:spacing w:after="0" w:line="240" w:lineRule="auto"/>
              <w:rPr>
                <w:color w:val="000000"/>
                <w:sz w:val="20"/>
                <w:szCs w:val="20"/>
              </w:rPr>
            </w:pPr>
            <w:r w:rsidRPr="00602B2C">
              <w:rPr>
                <w:color w:val="000000"/>
                <w:sz w:val="20"/>
                <w:szCs w:val="20"/>
              </w:rPr>
              <w:t>Provider Facility/Office Name</w:t>
            </w:r>
          </w:p>
        </w:tc>
        <w:tc>
          <w:tcPr>
            <w:tcW w:w="1749" w:type="pct"/>
            <w:tcBorders>
              <w:top w:val="nil"/>
              <w:left w:val="nil"/>
              <w:bottom w:val="single" w:sz="4" w:space="0" w:color="auto"/>
              <w:right w:val="single" w:sz="8" w:space="0" w:color="auto"/>
            </w:tcBorders>
            <w:shd w:val="clear" w:color="auto" w:fill="auto"/>
            <w:noWrap/>
            <w:hideMark/>
          </w:tcPr>
          <w:p w14:paraId="689DF311" w14:textId="77777777" w:rsidR="00075A5C" w:rsidRPr="00602B2C" w:rsidRDefault="00075A5C" w:rsidP="00010BDF">
            <w:pPr>
              <w:spacing w:after="0" w:line="240" w:lineRule="auto"/>
              <w:rPr>
                <w:color w:val="000000"/>
                <w:sz w:val="20"/>
                <w:szCs w:val="20"/>
              </w:rPr>
            </w:pPr>
            <w:r w:rsidRPr="00602B2C">
              <w:rPr>
                <w:color w:val="000000"/>
                <w:sz w:val="20"/>
                <w:szCs w:val="20"/>
              </w:rPr>
              <w:t>ProviderFacility</w:t>
            </w:r>
          </w:p>
        </w:tc>
        <w:tc>
          <w:tcPr>
            <w:tcW w:w="1395" w:type="pct"/>
            <w:tcBorders>
              <w:top w:val="single" w:sz="4" w:space="0" w:color="auto"/>
              <w:left w:val="nil"/>
              <w:bottom w:val="single" w:sz="4" w:space="0" w:color="auto"/>
              <w:right w:val="double" w:sz="6" w:space="0" w:color="auto"/>
            </w:tcBorders>
            <w:shd w:val="clear" w:color="auto" w:fill="auto"/>
            <w:noWrap/>
            <w:hideMark/>
          </w:tcPr>
          <w:p w14:paraId="0E82C1EC" w14:textId="18DD1A36" w:rsidR="00075A5C" w:rsidRPr="00602B2C" w:rsidRDefault="006145A7" w:rsidP="00010BDF">
            <w:pPr>
              <w:spacing w:after="0" w:line="240" w:lineRule="auto"/>
              <w:rPr>
                <w:color w:val="000000"/>
                <w:sz w:val="20"/>
                <w:szCs w:val="20"/>
              </w:rPr>
            </w:pPr>
            <w:r w:rsidRPr="00602B2C">
              <w:rPr>
                <w:color w:val="000000"/>
                <w:sz w:val="20"/>
                <w:szCs w:val="20"/>
              </w:rPr>
              <w:t>N</w:t>
            </w:r>
            <w:r w:rsidR="00075A5C" w:rsidRPr="00602B2C">
              <w:rPr>
                <w:color w:val="000000"/>
                <w:sz w:val="20"/>
                <w:szCs w:val="20"/>
              </w:rPr>
              <w:t>ame</w:t>
            </w:r>
          </w:p>
        </w:tc>
      </w:tr>
      <w:tr w:rsidR="00075A5C" w:rsidRPr="00602B2C" w14:paraId="79DA98BA"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85D2541" w14:textId="77777777" w:rsidR="00075A5C" w:rsidRPr="00602B2C" w:rsidRDefault="00075A5C" w:rsidP="00010BDF">
            <w:pPr>
              <w:spacing w:after="0" w:line="240" w:lineRule="auto"/>
              <w:rPr>
                <w:color w:val="000000"/>
                <w:sz w:val="20"/>
                <w:szCs w:val="20"/>
              </w:rPr>
            </w:pPr>
            <w:r w:rsidRPr="00602B2C">
              <w:rPr>
                <w:color w:val="000000"/>
                <w:sz w:val="20"/>
                <w:szCs w:val="20"/>
              </w:rPr>
              <w:t>Provider Address</w:t>
            </w:r>
          </w:p>
        </w:tc>
        <w:tc>
          <w:tcPr>
            <w:tcW w:w="1749" w:type="pct"/>
            <w:tcBorders>
              <w:top w:val="nil"/>
              <w:left w:val="nil"/>
              <w:bottom w:val="single" w:sz="4" w:space="0" w:color="auto"/>
              <w:right w:val="single" w:sz="8" w:space="0" w:color="auto"/>
            </w:tcBorders>
            <w:shd w:val="clear" w:color="auto" w:fill="auto"/>
            <w:noWrap/>
            <w:hideMark/>
          </w:tcPr>
          <w:p w14:paraId="486AE2EA" w14:textId="77777777" w:rsidR="00075A5C" w:rsidRPr="00602B2C" w:rsidRDefault="00075A5C" w:rsidP="00010BDF">
            <w:pPr>
              <w:spacing w:after="0" w:line="240" w:lineRule="auto"/>
              <w:rPr>
                <w:color w:val="000000"/>
                <w:sz w:val="20"/>
                <w:szCs w:val="20"/>
              </w:rPr>
            </w:pPr>
            <w:r w:rsidRPr="00602B2C">
              <w:rPr>
                <w:color w:val="000000"/>
                <w:sz w:val="20"/>
                <w:szCs w:val="20"/>
              </w:rPr>
              <w:t>ProviderFacility</w:t>
            </w:r>
          </w:p>
        </w:tc>
        <w:tc>
          <w:tcPr>
            <w:tcW w:w="1395" w:type="pct"/>
            <w:tcBorders>
              <w:top w:val="single" w:sz="4" w:space="0" w:color="auto"/>
              <w:left w:val="nil"/>
              <w:bottom w:val="single" w:sz="4" w:space="0" w:color="auto"/>
              <w:right w:val="double" w:sz="6" w:space="0" w:color="auto"/>
            </w:tcBorders>
            <w:shd w:val="clear" w:color="auto" w:fill="auto"/>
            <w:noWrap/>
            <w:hideMark/>
          </w:tcPr>
          <w:p w14:paraId="478FFC9B" w14:textId="77777777" w:rsidR="00075A5C" w:rsidRPr="00602B2C" w:rsidRDefault="00075A5C" w:rsidP="00010BDF">
            <w:pPr>
              <w:spacing w:after="0" w:line="240" w:lineRule="auto"/>
              <w:rPr>
                <w:color w:val="000000"/>
                <w:sz w:val="20"/>
                <w:szCs w:val="20"/>
              </w:rPr>
            </w:pPr>
            <w:r w:rsidRPr="00602B2C">
              <w:rPr>
                <w:color w:val="000000"/>
                <w:sz w:val="20"/>
                <w:szCs w:val="20"/>
              </w:rPr>
              <w:t>postalAddress</w:t>
            </w:r>
          </w:p>
        </w:tc>
      </w:tr>
      <w:tr w:rsidR="00075A5C" w:rsidRPr="00602B2C" w14:paraId="3DF85064"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7FD7659B" w14:textId="77777777" w:rsidR="00075A5C" w:rsidRPr="00602B2C" w:rsidRDefault="00075A5C" w:rsidP="00010BDF">
            <w:pPr>
              <w:spacing w:after="0" w:line="240" w:lineRule="auto"/>
              <w:rPr>
                <w:color w:val="000000"/>
                <w:sz w:val="20"/>
                <w:szCs w:val="20"/>
              </w:rPr>
            </w:pPr>
            <w:r w:rsidRPr="00602B2C">
              <w:rPr>
                <w:color w:val="000000"/>
                <w:sz w:val="20"/>
                <w:szCs w:val="20"/>
              </w:rPr>
              <w:t>Facility ID Number</w:t>
            </w:r>
          </w:p>
        </w:tc>
        <w:tc>
          <w:tcPr>
            <w:tcW w:w="1749" w:type="pct"/>
            <w:tcBorders>
              <w:top w:val="nil"/>
              <w:left w:val="nil"/>
              <w:bottom w:val="single" w:sz="4" w:space="0" w:color="auto"/>
              <w:right w:val="single" w:sz="8" w:space="0" w:color="auto"/>
            </w:tcBorders>
            <w:shd w:val="clear" w:color="auto" w:fill="auto"/>
            <w:noWrap/>
            <w:hideMark/>
          </w:tcPr>
          <w:p w14:paraId="0561E825" w14:textId="77777777" w:rsidR="00075A5C" w:rsidRPr="00602B2C" w:rsidRDefault="00075A5C" w:rsidP="00010BDF">
            <w:pPr>
              <w:spacing w:after="0" w:line="240" w:lineRule="auto"/>
              <w:rPr>
                <w:color w:val="000000"/>
                <w:sz w:val="20"/>
                <w:szCs w:val="20"/>
              </w:rPr>
            </w:pPr>
            <w:r w:rsidRPr="00602B2C">
              <w:rPr>
                <w:color w:val="000000"/>
                <w:sz w:val="20"/>
                <w:szCs w:val="20"/>
              </w:rPr>
              <w:t>CareDeliveryFacility</w:t>
            </w:r>
          </w:p>
        </w:tc>
        <w:tc>
          <w:tcPr>
            <w:tcW w:w="1395" w:type="pct"/>
            <w:tcBorders>
              <w:top w:val="single" w:sz="4" w:space="0" w:color="auto"/>
              <w:left w:val="nil"/>
              <w:bottom w:val="single" w:sz="4" w:space="0" w:color="auto"/>
              <w:right w:val="double" w:sz="6" w:space="0" w:color="auto"/>
            </w:tcBorders>
            <w:shd w:val="clear" w:color="auto" w:fill="auto"/>
            <w:noWrap/>
            <w:hideMark/>
          </w:tcPr>
          <w:p w14:paraId="1813783C" w14:textId="3279D1A3" w:rsidR="00075A5C" w:rsidRPr="00602B2C" w:rsidRDefault="006145A7" w:rsidP="00010BDF">
            <w:pPr>
              <w:spacing w:after="0" w:line="240" w:lineRule="auto"/>
              <w:rPr>
                <w:color w:val="000000"/>
                <w:sz w:val="20"/>
                <w:szCs w:val="20"/>
              </w:rPr>
            </w:pPr>
            <w:r w:rsidRPr="00602B2C">
              <w:rPr>
                <w:color w:val="000000"/>
                <w:sz w:val="20"/>
                <w:szCs w:val="20"/>
              </w:rPr>
              <w:t>I</w:t>
            </w:r>
            <w:r w:rsidR="00075A5C" w:rsidRPr="00602B2C">
              <w:rPr>
                <w:color w:val="000000"/>
                <w:sz w:val="20"/>
                <w:szCs w:val="20"/>
              </w:rPr>
              <w:t>dentifier</w:t>
            </w:r>
          </w:p>
        </w:tc>
      </w:tr>
      <w:tr w:rsidR="00075A5C" w:rsidRPr="00602B2C" w14:paraId="038E0713"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13A0E73" w14:textId="77777777" w:rsidR="00075A5C" w:rsidRPr="00602B2C" w:rsidRDefault="00075A5C" w:rsidP="00010BDF">
            <w:pPr>
              <w:spacing w:after="0" w:line="240" w:lineRule="auto"/>
              <w:rPr>
                <w:color w:val="000000"/>
                <w:sz w:val="20"/>
                <w:szCs w:val="20"/>
              </w:rPr>
            </w:pPr>
            <w:r w:rsidRPr="00602B2C">
              <w:rPr>
                <w:color w:val="000000"/>
                <w:sz w:val="20"/>
                <w:szCs w:val="20"/>
              </w:rPr>
              <w:t>Facility Name</w:t>
            </w:r>
          </w:p>
        </w:tc>
        <w:tc>
          <w:tcPr>
            <w:tcW w:w="1749" w:type="pct"/>
            <w:tcBorders>
              <w:top w:val="nil"/>
              <w:left w:val="nil"/>
              <w:bottom w:val="single" w:sz="4" w:space="0" w:color="auto"/>
              <w:right w:val="single" w:sz="8" w:space="0" w:color="auto"/>
            </w:tcBorders>
            <w:shd w:val="clear" w:color="auto" w:fill="auto"/>
            <w:noWrap/>
            <w:hideMark/>
          </w:tcPr>
          <w:p w14:paraId="6B491D3A" w14:textId="77777777" w:rsidR="00075A5C" w:rsidRPr="00602B2C" w:rsidRDefault="00075A5C" w:rsidP="00010BDF">
            <w:pPr>
              <w:spacing w:after="0" w:line="240" w:lineRule="auto"/>
              <w:rPr>
                <w:color w:val="000000"/>
                <w:sz w:val="20"/>
                <w:szCs w:val="20"/>
              </w:rPr>
            </w:pPr>
            <w:r w:rsidRPr="00602B2C">
              <w:rPr>
                <w:color w:val="000000"/>
                <w:sz w:val="20"/>
                <w:szCs w:val="20"/>
              </w:rPr>
              <w:t>CareDeliveryOrganization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6EF336E6" w14:textId="7FD0D1DC" w:rsidR="00075A5C" w:rsidRPr="00602B2C" w:rsidRDefault="006145A7" w:rsidP="00010BDF">
            <w:pPr>
              <w:spacing w:after="0" w:line="240" w:lineRule="auto"/>
              <w:rPr>
                <w:color w:val="000000"/>
                <w:sz w:val="20"/>
                <w:szCs w:val="20"/>
              </w:rPr>
            </w:pPr>
            <w:r w:rsidRPr="00602B2C">
              <w:rPr>
                <w:color w:val="000000"/>
                <w:sz w:val="20"/>
                <w:szCs w:val="20"/>
              </w:rPr>
              <w:t>N</w:t>
            </w:r>
            <w:r w:rsidR="00075A5C" w:rsidRPr="00602B2C">
              <w:rPr>
                <w:color w:val="000000"/>
                <w:sz w:val="20"/>
                <w:szCs w:val="20"/>
              </w:rPr>
              <w:t>ame</w:t>
            </w:r>
          </w:p>
        </w:tc>
      </w:tr>
      <w:tr w:rsidR="00075A5C" w:rsidRPr="00602B2C" w14:paraId="009F0319"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E4BA97F" w14:textId="77777777" w:rsidR="00075A5C" w:rsidRPr="00602B2C" w:rsidRDefault="00075A5C" w:rsidP="00010BDF">
            <w:pPr>
              <w:spacing w:after="0" w:line="240" w:lineRule="auto"/>
              <w:rPr>
                <w:color w:val="000000"/>
                <w:sz w:val="20"/>
                <w:szCs w:val="20"/>
              </w:rPr>
            </w:pPr>
            <w:r w:rsidRPr="00602B2C">
              <w:rPr>
                <w:color w:val="000000"/>
                <w:sz w:val="20"/>
                <w:szCs w:val="20"/>
              </w:rPr>
              <w:t>Facility Type</w:t>
            </w:r>
          </w:p>
        </w:tc>
        <w:tc>
          <w:tcPr>
            <w:tcW w:w="1749" w:type="pct"/>
            <w:tcBorders>
              <w:top w:val="nil"/>
              <w:left w:val="nil"/>
              <w:bottom w:val="single" w:sz="4" w:space="0" w:color="auto"/>
              <w:right w:val="single" w:sz="8" w:space="0" w:color="auto"/>
            </w:tcBorders>
            <w:shd w:val="clear" w:color="auto" w:fill="auto"/>
            <w:noWrap/>
            <w:hideMark/>
          </w:tcPr>
          <w:p w14:paraId="57B23AB0" w14:textId="725DB89B" w:rsidR="00075A5C" w:rsidRPr="00602B2C" w:rsidRDefault="00075A5C" w:rsidP="00010BDF">
            <w:pPr>
              <w:spacing w:after="0" w:line="240" w:lineRule="auto"/>
              <w:rPr>
                <w:color w:val="000000"/>
                <w:sz w:val="20"/>
                <w:szCs w:val="20"/>
              </w:rPr>
            </w:pPr>
            <w:r w:rsidRPr="00602B2C">
              <w:rPr>
                <w:color w:val="000000"/>
                <w:sz w:val="20"/>
                <w:szCs w:val="20"/>
              </w:rPr>
              <w:t>CareDeliveryFacility</w:t>
            </w:r>
            <w:r w:rsidR="008617C7">
              <w:rPr>
                <w:color w:val="000000"/>
                <w:sz w:val="20"/>
                <w:szCs w:val="20"/>
              </w:rPr>
              <w:t>Unit</w:t>
            </w:r>
          </w:p>
        </w:tc>
        <w:tc>
          <w:tcPr>
            <w:tcW w:w="1395" w:type="pct"/>
            <w:tcBorders>
              <w:top w:val="single" w:sz="4" w:space="0" w:color="auto"/>
              <w:left w:val="nil"/>
              <w:bottom w:val="single" w:sz="4" w:space="0" w:color="auto"/>
              <w:right w:val="double" w:sz="6" w:space="0" w:color="auto"/>
            </w:tcBorders>
            <w:shd w:val="clear" w:color="auto" w:fill="auto"/>
            <w:noWrap/>
            <w:hideMark/>
          </w:tcPr>
          <w:p w14:paraId="6B824BB3" w14:textId="77777777" w:rsidR="00075A5C" w:rsidRPr="00602B2C" w:rsidRDefault="00075A5C" w:rsidP="00010BDF">
            <w:pPr>
              <w:spacing w:after="0" w:line="240" w:lineRule="auto"/>
              <w:rPr>
                <w:color w:val="000000"/>
                <w:sz w:val="20"/>
                <w:szCs w:val="20"/>
              </w:rPr>
            </w:pPr>
            <w:r w:rsidRPr="00602B2C">
              <w:rPr>
                <w:color w:val="000000"/>
                <w:sz w:val="20"/>
                <w:szCs w:val="20"/>
              </w:rPr>
              <w:t>typeCode</w:t>
            </w:r>
          </w:p>
        </w:tc>
      </w:tr>
      <w:tr w:rsidR="00075A5C" w:rsidRPr="00602B2C" w14:paraId="5D68F485"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00A7BE29" w14:textId="77777777" w:rsidR="00075A5C" w:rsidRPr="00602B2C" w:rsidRDefault="00075A5C" w:rsidP="00010BDF">
            <w:pPr>
              <w:spacing w:after="0" w:line="240" w:lineRule="auto"/>
              <w:rPr>
                <w:color w:val="000000"/>
                <w:sz w:val="20"/>
                <w:szCs w:val="20"/>
              </w:rPr>
            </w:pPr>
            <w:r w:rsidRPr="00602B2C">
              <w:rPr>
                <w:color w:val="000000"/>
                <w:sz w:val="20"/>
                <w:szCs w:val="20"/>
              </w:rPr>
              <w:t>Facility Phone</w:t>
            </w:r>
          </w:p>
        </w:tc>
        <w:tc>
          <w:tcPr>
            <w:tcW w:w="1749" w:type="pct"/>
            <w:tcBorders>
              <w:top w:val="nil"/>
              <w:left w:val="nil"/>
              <w:bottom w:val="single" w:sz="4" w:space="0" w:color="auto"/>
              <w:right w:val="single" w:sz="8" w:space="0" w:color="auto"/>
            </w:tcBorders>
            <w:shd w:val="clear" w:color="auto" w:fill="auto"/>
            <w:noWrap/>
            <w:hideMark/>
          </w:tcPr>
          <w:p w14:paraId="3E36DB39" w14:textId="77777777" w:rsidR="00075A5C" w:rsidRPr="00602B2C" w:rsidRDefault="00075A5C" w:rsidP="00010BDF">
            <w:pPr>
              <w:spacing w:after="0" w:line="240" w:lineRule="auto"/>
              <w:rPr>
                <w:color w:val="000000"/>
                <w:sz w:val="20"/>
                <w:szCs w:val="20"/>
              </w:rPr>
            </w:pPr>
            <w:r w:rsidRPr="00602B2C">
              <w:rPr>
                <w:color w:val="000000"/>
                <w:sz w:val="20"/>
                <w:szCs w:val="20"/>
              </w:rPr>
              <w:t>CareDeliveryOrganization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5984F99D" w14:textId="77777777" w:rsidR="00075A5C" w:rsidRPr="00602B2C" w:rsidRDefault="00075A5C" w:rsidP="00010BDF">
            <w:pPr>
              <w:spacing w:after="0" w:line="240" w:lineRule="auto"/>
              <w:rPr>
                <w:color w:val="000000"/>
                <w:sz w:val="20"/>
                <w:szCs w:val="20"/>
              </w:rPr>
            </w:pPr>
            <w:r w:rsidRPr="00602B2C">
              <w:rPr>
                <w:color w:val="000000"/>
                <w:sz w:val="20"/>
                <w:szCs w:val="20"/>
              </w:rPr>
              <w:t>telecomAddress</w:t>
            </w:r>
          </w:p>
        </w:tc>
      </w:tr>
      <w:tr w:rsidR="00075A5C" w:rsidRPr="00602B2C" w14:paraId="3E1B5A1D"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33AA0708" w14:textId="77777777" w:rsidR="00075A5C" w:rsidRPr="00602B2C" w:rsidRDefault="00075A5C" w:rsidP="00010BDF">
            <w:pPr>
              <w:spacing w:after="0" w:line="240" w:lineRule="auto"/>
              <w:rPr>
                <w:color w:val="000000"/>
                <w:sz w:val="20"/>
                <w:szCs w:val="20"/>
              </w:rPr>
            </w:pPr>
            <w:r w:rsidRPr="00602B2C">
              <w:rPr>
                <w:color w:val="000000"/>
                <w:sz w:val="20"/>
                <w:szCs w:val="20"/>
              </w:rPr>
              <w:t>Facility Address</w:t>
            </w:r>
          </w:p>
        </w:tc>
        <w:tc>
          <w:tcPr>
            <w:tcW w:w="1749" w:type="pct"/>
            <w:tcBorders>
              <w:top w:val="nil"/>
              <w:left w:val="nil"/>
              <w:bottom w:val="single" w:sz="4" w:space="0" w:color="auto"/>
              <w:right w:val="single" w:sz="8" w:space="0" w:color="auto"/>
            </w:tcBorders>
            <w:shd w:val="clear" w:color="auto" w:fill="auto"/>
            <w:noWrap/>
            <w:hideMark/>
          </w:tcPr>
          <w:p w14:paraId="1CDC8BE9" w14:textId="77777777" w:rsidR="00075A5C" w:rsidRPr="00602B2C" w:rsidRDefault="00075A5C" w:rsidP="00010BDF">
            <w:pPr>
              <w:spacing w:after="0" w:line="240" w:lineRule="auto"/>
              <w:rPr>
                <w:color w:val="000000"/>
                <w:sz w:val="20"/>
                <w:szCs w:val="20"/>
              </w:rPr>
            </w:pPr>
            <w:r w:rsidRPr="00602B2C">
              <w:rPr>
                <w:color w:val="000000"/>
                <w:sz w:val="20"/>
                <w:szCs w:val="20"/>
              </w:rPr>
              <w:t>CareDeliveryFacility</w:t>
            </w:r>
          </w:p>
        </w:tc>
        <w:tc>
          <w:tcPr>
            <w:tcW w:w="1395" w:type="pct"/>
            <w:tcBorders>
              <w:top w:val="single" w:sz="4" w:space="0" w:color="auto"/>
              <w:left w:val="nil"/>
              <w:bottom w:val="single" w:sz="4" w:space="0" w:color="auto"/>
              <w:right w:val="double" w:sz="6" w:space="0" w:color="auto"/>
            </w:tcBorders>
            <w:shd w:val="clear" w:color="auto" w:fill="auto"/>
            <w:noWrap/>
            <w:hideMark/>
          </w:tcPr>
          <w:p w14:paraId="53F0207E" w14:textId="77777777" w:rsidR="00075A5C" w:rsidRPr="00602B2C" w:rsidRDefault="00075A5C" w:rsidP="00010BDF">
            <w:pPr>
              <w:spacing w:after="0" w:line="240" w:lineRule="auto"/>
              <w:rPr>
                <w:color w:val="000000"/>
                <w:sz w:val="20"/>
                <w:szCs w:val="20"/>
              </w:rPr>
            </w:pPr>
            <w:r w:rsidRPr="00602B2C">
              <w:rPr>
                <w:color w:val="000000"/>
                <w:sz w:val="20"/>
                <w:szCs w:val="20"/>
              </w:rPr>
              <w:t>postalAddress</w:t>
            </w:r>
          </w:p>
        </w:tc>
      </w:tr>
      <w:tr w:rsidR="008617C7" w:rsidRPr="00602B2C" w14:paraId="4F84EB94"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2D19C400" w14:textId="394E5A04" w:rsidR="008617C7" w:rsidRPr="008617C7" w:rsidRDefault="008617C7" w:rsidP="008617C7">
            <w:pPr>
              <w:spacing w:after="0" w:line="240" w:lineRule="auto"/>
              <w:rPr>
                <w:color w:val="000000"/>
                <w:sz w:val="20"/>
                <w:szCs w:val="20"/>
              </w:rPr>
            </w:pPr>
            <w:r w:rsidRPr="008617C7">
              <w:rPr>
                <w:color w:val="000000"/>
                <w:sz w:val="20"/>
                <w:szCs w:val="20"/>
              </w:rPr>
              <w:t>Facility Fax</w:t>
            </w:r>
          </w:p>
        </w:tc>
        <w:tc>
          <w:tcPr>
            <w:tcW w:w="1749" w:type="pct"/>
            <w:tcBorders>
              <w:top w:val="nil"/>
              <w:left w:val="nil"/>
              <w:bottom w:val="single" w:sz="4" w:space="0" w:color="auto"/>
              <w:right w:val="single" w:sz="8" w:space="0" w:color="auto"/>
            </w:tcBorders>
            <w:shd w:val="clear" w:color="auto" w:fill="auto"/>
            <w:noWrap/>
          </w:tcPr>
          <w:p w14:paraId="5080F69C" w14:textId="2CB4ED68" w:rsidR="008617C7" w:rsidRPr="00E53956" w:rsidRDefault="008617C7" w:rsidP="008617C7">
            <w:pPr>
              <w:spacing w:after="0" w:line="240" w:lineRule="auto"/>
              <w:rPr>
                <w:color w:val="000000"/>
                <w:sz w:val="20"/>
                <w:szCs w:val="20"/>
              </w:rPr>
            </w:pPr>
            <w:r w:rsidRPr="00EB0C9C">
              <w:rPr>
                <w:color w:val="000000"/>
                <w:sz w:val="20"/>
                <w:szCs w:val="20"/>
              </w:rPr>
              <w:t>CareDeliveryOrganization</w:t>
            </w:r>
          </w:p>
        </w:tc>
        <w:tc>
          <w:tcPr>
            <w:tcW w:w="1395" w:type="pct"/>
            <w:tcBorders>
              <w:top w:val="single" w:sz="4" w:space="0" w:color="auto"/>
              <w:left w:val="nil"/>
              <w:bottom w:val="single" w:sz="4" w:space="0" w:color="auto"/>
              <w:right w:val="double" w:sz="6" w:space="0" w:color="auto"/>
            </w:tcBorders>
            <w:shd w:val="clear" w:color="auto" w:fill="auto"/>
            <w:noWrap/>
          </w:tcPr>
          <w:p w14:paraId="7E81AADD" w14:textId="146DC072" w:rsidR="008617C7" w:rsidRPr="00602B2C" w:rsidRDefault="008617C7" w:rsidP="008617C7">
            <w:pPr>
              <w:spacing w:after="0" w:line="240" w:lineRule="auto"/>
              <w:rPr>
                <w:color w:val="000000"/>
                <w:sz w:val="20"/>
                <w:szCs w:val="20"/>
              </w:rPr>
            </w:pPr>
            <w:r w:rsidRPr="00EA4397">
              <w:rPr>
                <w:color w:val="000000"/>
                <w:sz w:val="20"/>
                <w:szCs w:val="20"/>
              </w:rPr>
              <w:t>telecomAddress</w:t>
            </w:r>
          </w:p>
        </w:tc>
      </w:tr>
      <w:tr w:rsidR="008617C7" w:rsidRPr="00602B2C" w14:paraId="6DAFD739"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9951E55" w14:textId="77777777" w:rsidR="008617C7" w:rsidRPr="00602B2C" w:rsidRDefault="008617C7" w:rsidP="008617C7">
            <w:pPr>
              <w:spacing w:after="0" w:line="240" w:lineRule="auto"/>
              <w:rPr>
                <w:color w:val="000000"/>
                <w:sz w:val="20"/>
                <w:szCs w:val="20"/>
              </w:rPr>
            </w:pPr>
            <w:r w:rsidRPr="00602B2C">
              <w:rPr>
                <w:color w:val="000000"/>
                <w:sz w:val="20"/>
                <w:szCs w:val="20"/>
              </w:rPr>
              <w:t>Patient ID Number</w:t>
            </w:r>
          </w:p>
        </w:tc>
        <w:tc>
          <w:tcPr>
            <w:tcW w:w="1749" w:type="pct"/>
            <w:tcBorders>
              <w:top w:val="nil"/>
              <w:left w:val="nil"/>
              <w:bottom w:val="single" w:sz="4" w:space="0" w:color="auto"/>
              <w:right w:val="single" w:sz="8" w:space="0" w:color="auto"/>
            </w:tcBorders>
            <w:shd w:val="clear" w:color="auto" w:fill="auto"/>
            <w:noWrap/>
            <w:hideMark/>
          </w:tcPr>
          <w:p w14:paraId="08B9699D"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4C15717E" w14:textId="3F57AB15" w:rsidR="008617C7" w:rsidRPr="00602B2C" w:rsidRDefault="008617C7" w:rsidP="008617C7">
            <w:pPr>
              <w:spacing w:after="0" w:line="240" w:lineRule="auto"/>
              <w:rPr>
                <w:color w:val="000000"/>
                <w:sz w:val="20"/>
                <w:szCs w:val="20"/>
              </w:rPr>
            </w:pPr>
            <w:r w:rsidRPr="00602B2C">
              <w:rPr>
                <w:color w:val="000000"/>
                <w:sz w:val="20"/>
                <w:szCs w:val="20"/>
              </w:rPr>
              <w:t>Identifier</w:t>
            </w:r>
          </w:p>
        </w:tc>
      </w:tr>
      <w:tr w:rsidR="008617C7" w:rsidRPr="00602B2C" w14:paraId="6153414F"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79BAA1E5" w14:textId="77777777" w:rsidR="008617C7" w:rsidRPr="00602B2C" w:rsidRDefault="008617C7" w:rsidP="008617C7">
            <w:pPr>
              <w:spacing w:after="0" w:line="240" w:lineRule="auto"/>
              <w:rPr>
                <w:color w:val="000000"/>
                <w:sz w:val="20"/>
                <w:szCs w:val="20"/>
              </w:rPr>
            </w:pPr>
            <w:r w:rsidRPr="00602B2C">
              <w:rPr>
                <w:color w:val="000000"/>
                <w:sz w:val="20"/>
                <w:szCs w:val="20"/>
              </w:rPr>
              <w:t>Patient Name</w:t>
            </w:r>
          </w:p>
        </w:tc>
        <w:tc>
          <w:tcPr>
            <w:tcW w:w="1749" w:type="pct"/>
            <w:tcBorders>
              <w:top w:val="nil"/>
              <w:left w:val="nil"/>
              <w:bottom w:val="single" w:sz="4" w:space="0" w:color="auto"/>
              <w:right w:val="single" w:sz="8" w:space="0" w:color="auto"/>
            </w:tcBorders>
            <w:shd w:val="clear" w:color="auto" w:fill="auto"/>
            <w:noWrap/>
            <w:hideMark/>
          </w:tcPr>
          <w:p w14:paraId="07E1C615"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7B78B8B7" w14:textId="59F6921A" w:rsidR="008617C7" w:rsidRPr="00602B2C" w:rsidRDefault="008617C7" w:rsidP="008617C7">
            <w:pPr>
              <w:spacing w:after="0" w:line="240" w:lineRule="auto"/>
              <w:rPr>
                <w:color w:val="000000"/>
                <w:sz w:val="20"/>
                <w:szCs w:val="20"/>
              </w:rPr>
            </w:pPr>
            <w:r w:rsidRPr="00602B2C">
              <w:rPr>
                <w:color w:val="000000"/>
                <w:sz w:val="20"/>
                <w:szCs w:val="20"/>
              </w:rPr>
              <w:t>Name</w:t>
            </w:r>
          </w:p>
        </w:tc>
      </w:tr>
      <w:tr w:rsidR="008617C7" w:rsidRPr="00602B2C" w14:paraId="0F1D066F"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0120CFF1" w14:textId="77777777" w:rsidR="008617C7" w:rsidRPr="00602B2C" w:rsidRDefault="008617C7" w:rsidP="008617C7">
            <w:pPr>
              <w:spacing w:after="0" w:line="240" w:lineRule="auto"/>
              <w:rPr>
                <w:color w:val="000000"/>
                <w:sz w:val="20"/>
                <w:szCs w:val="20"/>
              </w:rPr>
            </w:pPr>
            <w:r w:rsidRPr="00602B2C">
              <w:rPr>
                <w:color w:val="000000"/>
                <w:sz w:val="20"/>
                <w:szCs w:val="20"/>
              </w:rPr>
              <w:t>Parent/Guardian Name</w:t>
            </w:r>
          </w:p>
        </w:tc>
        <w:tc>
          <w:tcPr>
            <w:tcW w:w="1749" w:type="pct"/>
            <w:tcBorders>
              <w:top w:val="nil"/>
              <w:left w:val="nil"/>
              <w:bottom w:val="single" w:sz="4" w:space="0" w:color="auto"/>
              <w:right w:val="single" w:sz="8" w:space="0" w:color="auto"/>
            </w:tcBorders>
            <w:shd w:val="clear" w:color="auto" w:fill="auto"/>
            <w:noWrap/>
            <w:hideMark/>
          </w:tcPr>
          <w:p w14:paraId="62D605AC" w14:textId="77777777" w:rsidR="008617C7" w:rsidRPr="00602B2C" w:rsidRDefault="008617C7" w:rsidP="008617C7">
            <w:pPr>
              <w:spacing w:after="0" w:line="240" w:lineRule="auto"/>
              <w:rPr>
                <w:color w:val="000000"/>
                <w:sz w:val="20"/>
                <w:szCs w:val="20"/>
              </w:rPr>
            </w:pPr>
            <w:r w:rsidRPr="00602B2C">
              <w:rPr>
                <w:color w:val="000000"/>
                <w:sz w:val="20"/>
                <w:szCs w:val="20"/>
              </w:rPr>
              <w:t>PatientGuardian</w:t>
            </w:r>
          </w:p>
        </w:tc>
        <w:tc>
          <w:tcPr>
            <w:tcW w:w="1395" w:type="pct"/>
            <w:tcBorders>
              <w:top w:val="single" w:sz="4" w:space="0" w:color="auto"/>
              <w:left w:val="nil"/>
              <w:bottom w:val="single" w:sz="4" w:space="0" w:color="auto"/>
              <w:right w:val="double" w:sz="6" w:space="0" w:color="auto"/>
            </w:tcBorders>
            <w:shd w:val="clear" w:color="auto" w:fill="auto"/>
            <w:noWrap/>
            <w:hideMark/>
          </w:tcPr>
          <w:p w14:paraId="47A48F5F" w14:textId="070965C6" w:rsidR="008617C7" w:rsidRPr="00602B2C" w:rsidRDefault="008617C7" w:rsidP="008617C7">
            <w:pPr>
              <w:spacing w:after="0" w:line="240" w:lineRule="auto"/>
              <w:rPr>
                <w:color w:val="000000"/>
                <w:sz w:val="20"/>
                <w:szCs w:val="20"/>
              </w:rPr>
            </w:pPr>
            <w:r w:rsidRPr="00602B2C">
              <w:rPr>
                <w:color w:val="000000"/>
                <w:sz w:val="20"/>
                <w:szCs w:val="20"/>
              </w:rPr>
              <w:t>Name</w:t>
            </w:r>
          </w:p>
        </w:tc>
      </w:tr>
      <w:tr w:rsidR="008617C7" w:rsidRPr="00602B2C" w14:paraId="5BB383F9"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2F434CE" w14:textId="1E153FAA" w:rsidR="008617C7" w:rsidRPr="00602B2C" w:rsidRDefault="008617C7" w:rsidP="008617C7">
            <w:pPr>
              <w:spacing w:after="0" w:line="240" w:lineRule="auto"/>
              <w:rPr>
                <w:color w:val="000000"/>
                <w:sz w:val="20"/>
                <w:szCs w:val="20"/>
              </w:rPr>
            </w:pPr>
            <w:r w:rsidRPr="00602B2C">
              <w:rPr>
                <w:color w:val="000000"/>
                <w:sz w:val="20"/>
                <w:szCs w:val="20"/>
              </w:rPr>
              <w:t>Patient Phone</w:t>
            </w:r>
          </w:p>
        </w:tc>
        <w:tc>
          <w:tcPr>
            <w:tcW w:w="1749" w:type="pct"/>
            <w:tcBorders>
              <w:top w:val="nil"/>
              <w:left w:val="nil"/>
              <w:bottom w:val="single" w:sz="4" w:space="0" w:color="auto"/>
              <w:right w:val="single" w:sz="8" w:space="0" w:color="auto"/>
            </w:tcBorders>
            <w:shd w:val="clear" w:color="auto" w:fill="auto"/>
            <w:noWrap/>
            <w:hideMark/>
          </w:tcPr>
          <w:p w14:paraId="3D9A8273" w14:textId="232AFE02"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6B8B57C8" w14:textId="77777777" w:rsidR="008617C7" w:rsidRPr="00602B2C" w:rsidRDefault="008617C7" w:rsidP="008617C7">
            <w:pPr>
              <w:spacing w:after="0" w:line="240" w:lineRule="auto"/>
              <w:rPr>
                <w:color w:val="000000"/>
                <w:sz w:val="20"/>
                <w:szCs w:val="20"/>
              </w:rPr>
            </w:pPr>
            <w:r w:rsidRPr="00602B2C">
              <w:rPr>
                <w:color w:val="000000"/>
                <w:sz w:val="20"/>
                <w:szCs w:val="20"/>
              </w:rPr>
              <w:t>telecomAddress</w:t>
            </w:r>
          </w:p>
        </w:tc>
      </w:tr>
      <w:tr w:rsidR="008617C7" w:rsidRPr="00602B2C" w14:paraId="10AAD6E2"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34D43FA9" w14:textId="30381CBF" w:rsidR="008617C7" w:rsidRPr="00602B2C" w:rsidRDefault="008617C7" w:rsidP="008617C7">
            <w:pPr>
              <w:spacing w:after="0" w:line="240" w:lineRule="auto"/>
              <w:rPr>
                <w:color w:val="000000"/>
                <w:sz w:val="20"/>
                <w:szCs w:val="20"/>
              </w:rPr>
            </w:pPr>
            <w:r w:rsidRPr="00602B2C">
              <w:rPr>
                <w:color w:val="000000"/>
                <w:sz w:val="20"/>
                <w:szCs w:val="20"/>
              </w:rPr>
              <w:t>Patient Email</w:t>
            </w:r>
          </w:p>
        </w:tc>
        <w:tc>
          <w:tcPr>
            <w:tcW w:w="1749" w:type="pct"/>
            <w:tcBorders>
              <w:top w:val="nil"/>
              <w:left w:val="nil"/>
              <w:bottom w:val="single" w:sz="4" w:space="0" w:color="auto"/>
              <w:right w:val="single" w:sz="8" w:space="0" w:color="auto"/>
            </w:tcBorders>
            <w:shd w:val="clear" w:color="auto" w:fill="auto"/>
            <w:noWrap/>
            <w:hideMark/>
          </w:tcPr>
          <w:p w14:paraId="4D9AFDCD" w14:textId="435F5843"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4E077F48" w14:textId="77777777" w:rsidR="008617C7" w:rsidRPr="00602B2C" w:rsidRDefault="008617C7" w:rsidP="008617C7">
            <w:pPr>
              <w:spacing w:after="0" w:line="240" w:lineRule="auto"/>
              <w:rPr>
                <w:color w:val="000000"/>
                <w:sz w:val="20"/>
                <w:szCs w:val="20"/>
              </w:rPr>
            </w:pPr>
            <w:r w:rsidRPr="00602B2C">
              <w:rPr>
                <w:color w:val="000000"/>
                <w:sz w:val="20"/>
                <w:szCs w:val="20"/>
              </w:rPr>
              <w:t>telecomAddress</w:t>
            </w:r>
          </w:p>
        </w:tc>
      </w:tr>
      <w:tr w:rsidR="008617C7" w:rsidRPr="00602B2C" w14:paraId="2A9ADB3F"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4665BEE9" w14:textId="73B3A9DE" w:rsidR="008617C7" w:rsidRPr="00602B2C" w:rsidRDefault="008617C7" w:rsidP="008617C7">
            <w:pPr>
              <w:spacing w:after="0" w:line="240" w:lineRule="auto"/>
              <w:rPr>
                <w:color w:val="000000"/>
                <w:sz w:val="20"/>
                <w:szCs w:val="20"/>
              </w:rPr>
            </w:pPr>
            <w:r w:rsidRPr="00602B2C">
              <w:rPr>
                <w:color w:val="000000"/>
                <w:sz w:val="20"/>
                <w:szCs w:val="20"/>
              </w:rPr>
              <w:t>Parent/Guardian Phone</w:t>
            </w:r>
          </w:p>
        </w:tc>
        <w:tc>
          <w:tcPr>
            <w:tcW w:w="1749" w:type="pct"/>
            <w:tcBorders>
              <w:top w:val="nil"/>
              <w:left w:val="nil"/>
              <w:bottom w:val="single" w:sz="4" w:space="0" w:color="auto"/>
              <w:right w:val="single" w:sz="8" w:space="0" w:color="auto"/>
            </w:tcBorders>
            <w:shd w:val="clear" w:color="auto" w:fill="auto"/>
            <w:noWrap/>
          </w:tcPr>
          <w:p w14:paraId="4859C191" w14:textId="1C7EB77F" w:rsidR="008617C7" w:rsidRPr="00602B2C" w:rsidRDefault="008617C7" w:rsidP="008617C7">
            <w:pPr>
              <w:spacing w:after="0" w:line="240" w:lineRule="auto"/>
              <w:rPr>
                <w:color w:val="000000"/>
                <w:sz w:val="20"/>
                <w:szCs w:val="20"/>
              </w:rPr>
            </w:pPr>
            <w:r w:rsidRPr="00602B2C">
              <w:rPr>
                <w:color w:val="000000"/>
                <w:sz w:val="20"/>
                <w:szCs w:val="20"/>
              </w:rPr>
              <w:t>Patient</w:t>
            </w:r>
            <w:r>
              <w:rPr>
                <w:color w:val="000000"/>
                <w:sz w:val="20"/>
                <w:szCs w:val="20"/>
              </w:rPr>
              <w:t>Guardian</w:t>
            </w:r>
          </w:p>
        </w:tc>
        <w:tc>
          <w:tcPr>
            <w:tcW w:w="1395" w:type="pct"/>
            <w:tcBorders>
              <w:top w:val="single" w:sz="4" w:space="0" w:color="auto"/>
              <w:left w:val="nil"/>
              <w:bottom w:val="single" w:sz="4" w:space="0" w:color="auto"/>
              <w:right w:val="double" w:sz="6" w:space="0" w:color="auto"/>
            </w:tcBorders>
            <w:shd w:val="clear" w:color="auto" w:fill="auto"/>
            <w:noWrap/>
          </w:tcPr>
          <w:p w14:paraId="3663B81C" w14:textId="13B3CE5D" w:rsidR="008617C7" w:rsidRPr="00602B2C" w:rsidRDefault="008617C7" w:rsidP="008617C7">
            <w:pPr>
              <w:spacing w:after="0" w:line="240" w:lineRule="auto"/>
              <w:rPr>
                <w:color w:val="000000"/>
                <w:sz w:val="20"/>
                <w:szCs w:val="20"/>
              </w:rPr>
            </w:pPr>
            <w:r w:rsidRPr="00602B2C">
              <w:rPr>
                <w:color w:val="000000"/>
                <w:sz w:val="20"/>
                <w:szCs w:val="20"/>
              </w:rPr>
              <w:t>telecomAddress</w:t>
            </w:r>
          </w:p>
        </w:tc>
      </w:tr>
      <w:tr w:rsidR="008617C7" w:rsidRPr="00602B2C" w14:paraId="34838B9A"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6AD66505" w14:textId="4E88ABB9" w:rsidR="008617C7" w:rsidRPr="00602B2C" w:rsidRDefault="008617C7" w:rsidP="008617C7">
            <w:pPr>
              <w:spacing w:after="0" w:line="240" w:lineRule="auto"/>
              <w:rPr>
                <w:color w:val="000000"/>
                <w:sz w:val="20"/>
                <w:szCs w:val="20"/>
              </w:rPr>
            </w:pPr>
            <w:r w:rsidRPr="00602B2C">
              <w:rPr>
                <w:color w:val="000000"/>
                <w:sz w:val="20"/>
                <w:szCs w:val="20"/>
              </w:rPr>
              <w:t xml:space="preserve"> Parent/Guardian Email</w:t>
            </w:r>
          </w:p>
        </w:tc>
        <w:tc>
          <w:tcPr>
            <w:tcW w:w="1749" w:type="pct"/>
            <w:tcBorders>
              <w:top w:val="nil"/>
              <w:left w:val="nil"/>
              <w:bottom w:val="single" w:sz="4" w:space="0" w:color="auto"/>
              <w:right w:val="single" w:sz="8" w:space="0" w:color="auto"/>
            </w:tcBorders>
            <w:shd w:val="clear" w:color="auto" w:fill="auto"/>
            <w:noWrap/>
          </w:tcPr>
          <w:p w14:paraId="3DEE5FEF" w14:textId="445244EC" w:rsidR="008617C7" w:rsidRPr="00602B2C" w:rsidRDefault="008617C7" w:rsidP="008617C7">
            <w:pPr>
              <w:spacing w:after="0" w:line="240" w:lineRule="auto"/>
              <w:rPr>
                <w:color w:val="000000"/>
                <w:sz w:val="20"/>
                <w:szCs w:val="20"/>
              </w:rPr>
            </w:pPr>
            <w:r w:rsidRPr="00602B2C">
              <w:rPr>
                <w:color w:val="000000"/>
                <w:sz w:val="20"/>
                <w:szCs w:val="20"/>
              </w:rPr>
              <w:t>Patient</w:t>
            </w:r>
            <w:r>
              <w:rPr>
                <w:color w:val="000000"/>
                <w:sz w:val="20"/>
                <w:szCs w:val="20"/>
              </w:rPr>
              <w:t>Guardian</w:t>
            </w:r>
          </w:p>
        </w:tc>
        <w:tc>
          <w:tcPr>
            <w:tcW w:w="1395" w:type="pct"/>
            <w:tcBorders>
              <w:top w:val="single" w:sz="4" w:space="0" w:color="auto"/>
              <w:left w:val="nil"/>
              <w:bottom w:val="single" w:sz="4" w:space="0" w:color="auto"/>
              <w:right w:val="double" w:sz="6" w:space="0" w:color="auto"/>
            </w:tcBorders>
            <w:shd w:val="clear" w:color="auto" w:fill="auto"/>
            <w:noWrap/>
          </w:tcPr>
          <w:p w14:paraId="7CE33C0C" w14:textId="703CF4E9" w:rsidR="008617C7" w:rsidRPr="00602B2C" w:rsidRDefault="008617C7" w:rsidP="008617C7">
            <w:pPr>
              <w:spacing w:after="0" w:line="240" w:lineRule="auto"/>
              <w:rPr>
                <w:color w:val="000000"/>
                <w:sz w:val="20"/>
                <w:szCs w:val="20"/>
              </w:rPr>
            </w:pPr>
            <w:r w:rsidRPr="00602B2C">
              <w:rPr>
                <w:color w:val="000000"/>
                <w:sz w:val="20"/>
                <w:szCs w:val="20"/>
              </w:rPr>
              <w:t>telecomAddress</w:t>
            </w:r>
          </w:p>
        </w:tc>
      </w:tr>
      <w:tr w:rsidR="008617C7" w:rsidRPr="00602B2C" w14:paraId="01406A3F"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56A9D698" w14:textId="77777777" w:rsidR="008617C7" w:rsidRPr="00602B2C" w:rsidRDefault="008617C7" w:rsidP="008617C7">
            <w:pPr>
              <w:spacing w:after="0" w:line="240" w:lineRule="auto"/>
              <w:rPr>
                <w:color w:val="000000"/>
                <w:sz w:val="20"/>
                <w:szCs w:val="20"/>
              </w:rPr>
            </w:pPr>
            <w:r w:rsidRPr="00602B2C">
              <w:rPr>
                <w:color w:val="000000"/>
                <w:sz w:val="20"/>
                <w:szCs w:val="20"/>
              </w:rPr>
              <w:t>Street Address</w:t>
            </w:r>
          </w:p>
        </w:tc>
        <w:tc>
          <w:tcPr>
            <w:tcW w:w="1749" w:type="pct"/>
            <w:tcBorders>
              <w:top w:val="nil"/>
              <w:left w:val="nil"/>
              <w:bottom w:val="single" w:sz="4" w:space="0" w:color="auto"/>
              <w:right w:val="single" w:sz="8" w:space="0" w:color="auto"/>
            </w:tcBorders>
            <w:shd w:val="clear" w:color="auto" w:fill="auto"/>
            <w:noWrap/>
            <w:hideMark/>
          </w:tcPr>
          <w:p w14:paraId="4C9A571D"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580CE1D4" w14:textId="77777777" w:rsidR="008617C7" w:rsidRPr="00602B2C" w:rsidRDefault="008617C7" w:rsidP="008617C7">
            <w:pPr>
              <w:spacing w:after="0" w:line="240" w:lineRule="auto"/>
              <w:rPr>
                <w:color w:val="000000"/>
                <w:sz w:val="20"/>
                <w:szCs w:val="20"/>
              </w:rPr>
            </w:pPr>
            <w:r w:rsidRPr="00602B2C">
              <w:rPr>
                <w:color w:val="000000"/>
                <w:sz w:val="20"/>
                <w:szCs w:val="20"/>
              </w:rPr>
              <w:t>postalAddress</w:t>
            </w:r>
          </w:p>
        </w:tc>
      </w:tr>
      <w:tr w:rsidR="008617C7" w:rsidRPr="00602B2C" w14:paraId="3F290F12"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5961C5D5" w14:textId="77777777" w:rsidR="008617C7" w:rsidRPr="00602B2C" w:rsidRDefault="008617C7" w:rsidP="008617C7">
            <w:pPr>
              <w:spacing w:after="0" w:line="240" w:lineRule="auto"/>
              <w:rPr>
                <w:color w:val="000000"/>
                <w:sz w:val="20"/>
                <w:szCs w:val="20"/>
              </w:rPr>
            </w:pPr>
            <w:r w:rsidRPr="00602B2C">
              <w:rPr>
                <w:color w:val="000000"/>
                <w:sz w:val="20"/>
                <w:szCs w:val="20"/>
              </w:rPr>
              <w:t>Birth Date</w:t>
            </w:r>
          </w:p>
        </w:tc>
        <w:tc>
          <w:tcPr>
            <w:tcW w:w="1749" w:type="pct"/>
            <w:tcBorders>
              <w:top w:val="nil"/>
              <w:left w:val="nil"/>
              <w:bottom w:val="single" w:sz="4" w:space="0" w:color="auto"/>
              <w:right w:val="single" w:sz="8" w:space="0" w:color="auto"/>
            </w:tcBorders>
            <w:shd w:val="clear" w:color="auto" w:fill="auto"/>
            <w:noWrap/>
            <w:hideMark/>
          </w:tcPr>
          <w:p w14:paraId="16EF5150"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760F2C72" w14:textId="3CFD435B" w:rsidR="008617C7" w:rsidRPr="00602B2C" w:rsidRDefault="008617C7" w:rsidP="008617C7">
            <w:pPr>
              <w:spacing w:after="0" w:line="240" w:lineRule="auto"/>
              <w:rPr>
                <w:color w:val="000000"/>
                <w:sz w:val="20"/>
                <w:szCs w:val="20"/>
              </w:rPr>
            </w:pPr>
            <w:r w:rsidRPr="00602B2C">
              <w:rPr>
                <w:color w:val="000000"/>
                <w:sz w:val="20"/>
                <w:szCs w:val="20"/>
              </w:rPr>
              <w:t>birthDate</w:t>
            </w:r>
          </w:p>
        </w:tc>
      </w:tr>
      <w:tr w:rsidR="008617C7" w:rsidRPr="00602B2C" w14:paraId="7FC140D3"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549FD784" w14:textId="77777777" w:rsidR="008617C7" w:rsidRPr="00602B2C" w:rsidRDefault="008617C7" w:rsidP="008617C7">
            <w:pPr>
              <w:spacing w:after="0" w:line="240" w:lineRule="auto"/>
              <w:rPr>
                <w:color w:val="000000"/>
                <w:sz w:val="20"/>
                <w:szCs w:val="20"/>
              </w:rPr>
            </w:pPr>
            <w:r w:rsidRPr="00602B2C">
              <w:rPr>
                <w:color w:val="000000"/>
                <w:sz w:val="20"/>
                <w:szCs w:val="20"/>
              </w:rPr>
              <w:t>Patient Sex</w:t>
            </w:r>
          </w:p>
        </w:tc>
        <w:tc>
          <w:tcPr>
            <w:tcW w:w="1749" w:type="pct"/>
            <w:tcBorders>
              <w:top w:val="nil"/>
              <w:left w:val="nil"/>
              <w:bottom w:val="single" w:sz="4" w:space="0" w:color="auto"/>
              <w:right w:val="single" w:sz="8" w:space="0" w:color="auto"/>
            </w:tcBorders>
            <w:shd w:val="clear" w:color="auto" w:fill="auto"/>
            <w:noWrap/>
            <w:hideMark/>
          </w:tcPr>
          <w:p w14:paraId="131BC6B0"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2BA1F859" w14:textId="77777777" w:rsidR="008617C7" w:rsidRPr="00602B2C" w:rsidRDefault="008617C7" w:rsidP="008617C7">
            <w:pPr>
              <w:spacing w:after="0" w:line="240" w:lineRule="auto"/>
              <w:rPr>
                <w:color w:val="000000"/>
                <w:sz w:val="20"/>
                <w:szCs w:val="20"/>
              </w:rPr>
            </w:pPr>
            <w:r w:rsidRPr="00602B2C">
              <w:rPr>
                <w:color w:val="000000"/>
                <w:sz w:val="20"/>
                <w:szCs w:val="20"/>
              </w:rPr>
              <w:t>sexCode</w:t>
            </w:r>
          </w:p>
        </w:tc>
      </w:tr>
      <w:tr w:rsidR="008617C7" w:rsidRPr="00602B2C" w14:paraId="170E78E9"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54BE2A23" w14:textId="77777777" w:rsidR="008617C7" w:rsidRPr="00602B2C" w:rsidRDefault="008617C7" w:rsidP="008617C7">
            <w:pPr>
              <w:spacing w:after="0" w:line="240" w:lineRule="auto"/>
              <w:rPr>
                <w:color w:val="000000"/>
                <w:sz w:val="20"/>
                <w:szCs w:val="20"/>
              </w:rPr>
            </w:pPr>
            <w:r w:rsidRPr="00602B2C">
              <w:rPr>
                <w:color w:val="000000"/>
                <w:sz w:val="20"/>
                <w:szCs w:val="20"/>
              </w:rPr>
              <w:t>Race</w:t>
            </w:r>
          </w:p>
        </w:tc>
        <w:tc>
          <w:tcPr>
            <w:tcW w:w="1749" w:type="pct"/>
            <w:tcBorders>
              <w:top w:val="nil"/>
              <w:left w:val="nil"/>
              <w:bottom w:val="single" w:sz="4" w:space="0" w:color="auto"/>
              <w:right w:val="single" w:sz="8" w:space="0" w:color="auto"/>
            </w:tcBorders>
            <w:shd w:val="clear" w:color="auto" w:fill="auto"/>
            <w:noWrap/>
            <w:hideMark/>
          </w:tcPr>
          <w:p w14:paraId="1E635097"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63177C75" w14:textId="77777777" w:rsidR="008617C7" w:rsidRPr="00602B2C" w:rsidRDefault="008617C7" w:rsidP="008617C7">
            <w:pPr>
              <w:spacing w:after="0" w:line="240" w:lineRule="auto"/>
              <w:rPr>
                <w:color w:val="000000"/>
                <w:sz w:val="20"/>
                <w:szCs w:val="20"/>
              </w:rPr>
            </w:pPr>
            <w:r w:rsidRPr="00602B2C">
              <w:rPr>
                <w:color w:val="000000"/>
                <w:sz w:val="20"/>
                <w:szCs w:val="20"/>
              </w:rPr>
              <w:t>raceCode</w:t>
            </w:r>
          </w:p>
        </w:tc>
      </w:tr>
      <w:tr w:rsidR="008617C7" w:rsidRPr="00602B2C" w14:paraId="06E39649"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60107A8D" w14:textId="77777777" w:rsidR="008617C7" w:rsidRPr="00602B2C" w:rsidRDefault="008617C7" w:rsidP="008617C7">
            <w:pPr>
              <w:spacing w:after="0" w:line="240" w:lineRule="auto"/>
              <w:rPr>
                <w:color w:val="000000"/>
                <w:sz w:val="20"/>
                <w:szCs w:val="20"/>
              </w:rPr>
            </w:pPr>
            <w:r w:rsidRPr="00602B2C">
              <w:rPr>
                <w:color w:val="000000"/>
                <w:sz w:val="20"/>
                <w:szCs w:val="20"/>
              </w:rPr>
              <w:t>Ethnicity</w:t>
            </w:r>
          </w:p>
        </w:tc>
        <w:tc>
          <w:tcPr>
            <w:tcW w:w="1749" w:type="pct"/>
            <w:tcBorders>
              <w:top w:val="nil"/>
              <w:left w:val="nil"/>
              <w:bottom w:val="single" w:sz="4" w:space="0" w:color="auto"/>
              <w:right w:val="single" w:sz="8" w:space="0" w:color="auto"/>
            </w:tcBorders>
            <w:shd w:val="clear" w:color="auto" w:fill="auto"/>
            <w:noWrap/>
            <w:hideMark/>
          </w:tcPr>
          <w:p w14:paraId="733A4FE8"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1F186B93" w14:textId="77777777" w:rsidR="008617C7" w:rsidRPr="00602B2C" w:rsidRDefault="008617C7" w:rsidP="008617C7">
            <w:pPr>
              <w:spacing w:after="0" w:line="240" w:lineRule="auto"/>
              <w:rPr>
                <w:color w:val="000000"/>
                <w:sz w:val="20"/>
                <w:szCs w:val="20"/>
              </w:rPr>
            </w:pPr>
            <w:r w:rsidRPr="00602B2C">
              <w:rPr>
                <w:color w:val="000000"/>
                <w:sz w:val="20"/>
                <w:szCs w:val="20"/>
              </w:rPr>
              <w:t>ethnicityCode</w:t>
            </w:r>
          </w:p>
        </w:tc>
      </w:tr>
      <w:tr w:rsidR="008617C7" w:rsidRPr="00602B2C" w14:paraId="07D41ACD"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DCEA0C8" w14:textId="77777777" w:rsidR="008617C7" w:rsidRPr="00602B2C" w:rsidRDefault="008617C7" w:rsidP="008617C7">
            <w:pPr>
              <w:spacing w:after="0" w:line="240" w:lineRule="auto"/>
              <w:rPr>
                <w:color w:val="000000"/>
                <w:sz w:val="20"/>
                <w:szCs w:val="20"/>
              </w:rPr>
            </w:pPr>
            <w:r w:rsidRPr="00602B2C">
              <w:rPr>
                <w:color w:val="000000"/>
                <w:sz w:val="20"/>
                <w:szCs w:val="20"/>
              </w:rPr>
              <w:t>Preferred Language</w:t>
            </w:r>
          </w:p>
        </w:tc>
        <w:tc>
          <w:tcPr>
            <w:tcW w:w="1749" w:type="pct"/>
            <w:tcBorders>
              <w:top w:val="nil"/>
              <w:left w:val="nil"/>
              <w:bottom w:val="single" w:sz="4" w:space="0" w:color="auto"/>
              <w:right w:val="single" w:sz="8" w:space="0" w:color="auto"/>
            </w:tcBorders>
            <w:shd w:val="clear" w:color="auto" w:fill="auto"/>
            <w:noWrap/>
            <w:hideMark/>
          </w:tcPr>
          <w:p w14:paraId="0AFAFB44"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598614AD" w14:textId="77777777" w:rsidR="008617C7" w:rsidRPr="00602B2C" w:rsidRDefault="008617C7" w:rsidP="008617C7">
            <w:pPr>
              <w:spacing w:after="0" w:line="240" w:lineRule="auto"/>
              <w:rPr>
                <w:color w:val="000000"/>
                <w:sz w:val="20"/>
                <w:szCs w:val="20"/>
              </w:rPr>
            </w:pPr>
            <w:r w:rsidRPr="00602B2C">
              <w:rPr>
                <w:color w:val="000000"/>
                <w:sz w:val="20"/>
                <w:szCs w:val="20"/>
              </w:rPr>
              <w:t>preferredLanguage</w:t>
            </w:r>
          </w:p>
        </w:tc>
      </w:tr>
      <w:tr w:rsidR="008617C7" w:rsidRPr="00602B2C" w14:paraId="16054AFB"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0DA7CF8F" w14:textId="77777777" w:rsidR="008617C7" w:rsidRPr="00602B2C" w:rsidRDefault="008617C7" w:rsidP="008617C7">
            <w:pPr>
              <w:spacing w:after="0" w:line="240" w:lineRule="auto"/>
              <w:rPr>
                <w:color w:val="000000"/>
                <w:sz w:val="20"/>
                <w:szCs w:val="20"/>
              </w:rPr>
            </w:pPr>
            <w:r w:rsidRPr="00602B2C">
              <w:rPr>
                <w:color w:val="000000"/>
                <w:sz w:val="20"/>
                <w:szCs w:val="20"/>
              </w:rPr>
              <w:t>Occupation</w:t>
            </w:r>
          </w:p>
        </w:tc>
        <w:tc>
          <w:tcPr>
            <w:tcW w:w="1749" w:type="pct"/>
            <w:tcBorders>
              <w:top w:val="nil"/>
              <w:left w:val="nil"/>
              <w:bottom w:val="single" w:sz="4" w:space="0" w:color="auto"/>
              <w:right w:val="single" w:sz="8" w:space="0" w:color="auto"/>
            </w:tcBorders>
            <w:shd w:val="clear" w:color="auto" w:fill="auto"/>
            <w:noWrap/>
            <w:hideMark/>
          </w:tcPr>
          <w:p w14:paraId="79D24CA1"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13D2B8B9" w14:textId="77777777" w:rsidR="008617C7" w:rsidRPr="00602B2C" w:rsidRDefault="008617C7" w:rsidP="008617C7">
            <w:pPr>
              <w:spacing w:after="0" w:line="240" w:lineRule="auto"/>
              <w:rPr>
                <w:color w:val="000000"/>
                <w:sz w:val="20"/>
                <w:szCs w:val="20"/>
              </w:rPr>
            </w:pPr>
            <w:r w:rsidRPr="00602B2C">
              <w:rPr>
                <w:color w:val="000000"/>
                <w:sz w:val="20"/>
                <w:szCs w:val="20"/>
              </w:rPr>
              <w:t>occupationCode</w:t>
            </w:r>
          </w:p>
        </w:tc>
      </w:tr>
      <w:tr w:rsidR="008617C7" w:rsidRPr="00602B2C" w14:paraId="7E2D0327"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5C586C17" w14:textId="77777777" w:rsidR="008617C7" w:rsidRPr="00602B2C" w:rsidRDefault="008617C7" w:rsidP="008617C7">
            <w:pPr>
              <w:spacing w:after="0" w:line="240" w:lineRule="auto"/>
              <w:rPr>
                <w:color w:val="000000"/>
                <w:sz w:val="20"/>
                <w:szCs w:val="20"/>
              </w:rPr>
            </w:pPr>
            <w:r w:rsidRPr="00602B2C">
              <w:rPr>
                <w:color w:val="000000"/>
                <w:sz w:val="20"/>
                <w:szCs w:val="20"/>
              </w:rPr>
              <w:t>Pregnant</w:t>
            </w:r>
          </w:p>
        </w:tc>
        <w:tc>
          <w:tcPr>
            <w:tcW w:w="1749" w:type="pct"/>
            <w:tcBorders>
              <w:top w:val="nil"/>
              <w:left w:val="nil"/>
              <w:bottom w:val="single" w:sz="4" w:space="0" w:color="auto"/>
              <w:right w:val="single" w:sz="8" w:space="0" w:color="auto"/>
            </w:tcBorders>
            <w:shd w:val="clear" w:color="auto" w:fill="auto"/>
            <w:noWrap/>
            <w:hideMark/>
          </w:tcPr>
          <w:p w14:paraId="47379C0D" w14:textId="6C30BEA2" w:rsidR="008617C7" w:rsidRPr="00602B2C" w:rsidRDefault="008617C7" w:rsidP="008617C7">
            <w:pPr>
              <w:spacing w:after="0" w:line="240" w:lineRule="auto"/>
              <w:rPr>
                <w:color w:val="000000"/>
                <w:sz w:val="20"/>
                <w:szCs w:val="20"/>
              </w:rPr>
            </w:pPr>
            <w:r>
              <w:rPr>
                <w:color w:val="000000"/>
                <w:sz w:val="20"/>
                <w:szCs w:val="20"/>
              </w:rPr>
              <w:t>P</w:t>
            </w:r>
            <w:r w:rsidRPr="00602B2C">
              <w:rPr>
                <w:color w:val="000000"/>
                <w:sz w:val="20"/>
                <w:szCs w:val="20"/>
              </w:rPr>
              <w:t>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3B6A7591" w14:textId="77777777" w:rsidR="008617C7" w:rsidRPr="00602B2C" w:rsidRDefault="008617C7" w:rsidP="008617C7">
            <w:pPr>
              <w:spacing w:after="0" w:line="240" w:lineRule="auto"/>
              <w:rPr>
                <w:color w:val="000000"/>
                <w:sz w:val="20"/>
                <w:szCs w:val="20"/>
              </w:rPr>
            </w:pPr>
            <w:r w:rsidRPr="00602B2C">
              <w:rPr>
                <w:color w:val="000000"/>
                <w:sz w:val="20"/>
                <w:szCs w:val="20"/>
              </w:rPr>
              <w:t>isPregnantIndicator</w:t>
            </w:r>
          </w:p>
        </w:tc>
      </w:tr>
      <w:tr w:rsidR="008617C7" w:rsidRPr="00602B2C" w14:paraId="260C1856"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8358E60" w14:textId="77777777" w:rsidR="008617C7" w:rsidRPr="00602B2C" w:rsidRDefault="008617C7" w:rsidP="008617C7">
            <w:pPr>
              <w:spacing w:after="0" w:line="240" w:lineRule="auto"/>
              <w:rPr>
                <w:color w:val="000000"/>
                <w:sz w:val="20"/>
                <w:szCs w:val="20"/>
              </w:rPr>
            </w:pPr>
            <w:r w:rsidRPr="00602B2C">
              <w:rPr>
                <w:color w:val="000000"/>
                <w:sz w:val="20"/>
                <w:szCs w:val="20"/>
              </w:rPr>
              <w:t>Visit Date/Time</w:t>
            </w:r>
          </w:p>
        </w:tc>
        <w:tc>
          <w:tcPr>
            <w:tcW w:w="1749" w:type="pct"/>
            <w:tcBorders>
              <w:top w:val="nil"/>
              <w:left w:val="nil"/>
              <w:bottom w:val="single" w:sz="4" w:space="0" w:color="auto"/>
              <w:right w:val="single" w:sz="8" w:space="0" w:color="auto"/>
            </w:tcBorders>
            <w:shd w:val="clear" w:color="auto" w:fill="auto"/>
            <w:noWrap/>
            <w:hideMark/>
          </w:tcPr>
          <w:p w14:paraId="49A3E55F" w14:textId="77777777" w:rsidR="008617C7" w:rsidRPr="00602B2C" w:rsidRDefault="008617C7" w:rsidP="008617C7">
            <w:pPr>
              <w:spacing w:after="0" w:line="240" w:lineRule="auto"/>
              <w:rPr>
                <w:color w:val="000000"/>
                <w:sz w:val="20"/>
                <w:szCs w:val="20"/>
              </w:rPr>
            </w:pPr>
            <w:r w:rsidRPr="00602B2C">
              <w:rPr>
                <w:color w:val="000000"/>
                <w:sz w:val="20"/>
                <w:szCs w:val="20"/>
              </w:rPr>
              <w:t>PatientEncounter</w:t>
            </w:r>
          </w:p>
        </w:tc>
        <w:tc>
          <w:tcPr>
            <w:tcW w:w="1395" w:type="pct"/>
            <w:tcBorders>
              <w:top w:val="single" w:sz="4" w:space="0" w:color="auto"/>
              <w:left w:val="nil"/>
              <w:bottom w:val="single" w:sz="4" w:space="0" w:color="auto"/>
              <w:right w:val="double" w:sz="6" w:space="0" w:color="auto"/>
            </w:tcBorders>
            <w:shd w:val="clear" w:color="auto" w:fill="auto"/>
            <w:noWrap/>
            <w:hideMark/>
          </w:tcPr>
          <w:p w14:paraId="2FA347F4" w14:textId="77777777" w:rsidR="008617C7" w:rsidRPr="00602B2C" w:rsidRDefault="008617C7" w:rsidP="008617C7">
            <w:pPr>
              <w:spacing w:after="0" w:line="240" w:lineRule="auto"/>
              <w:rPr>
                <w:color w:val="000000"/>
                <w:sz w:val="20"/>
                <w:szCs w:val="20"/>
              </w:rPr>
            </w:pPr>
            <w:r w:rsidRPr="00602B2C">
              <w:rPr>
                <w:color w:val="000000"/>
                <w:sz w:val="20"/>
                <w:szCs w:val="20"/>
              </w:rPr>
              <w:t>startDateTime</w:t>
            </w:r>
          </w:p>
        </w:tc>
      </w:tr>
      <w:tr w:rsidR="008617C7" w:rsidRPr="00602B2C" w14:paraId="1F290138"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75AC71FA" w14:textId="77777777" w:rsidR="008617C7" w:rsidRPr="00602B2C" w:rsidRDefault="008617C7" w:rsidP="008617C7">
            <w:pPr>
              <w:spacing w:after="0" w:line="240" w:lineRule="auto"/>
              <w:rPr>
                <w:color w:val="000000"/>
                <w:sz w:val="20"/>
                <w:szCs w:val="20"/>
              </w:rPr>
            </w:pPr>
            <w:r w:rsidRPr="00602B2C">
              <w:rPr>
                <w:color w:val="000000"/>
                <w:sz w:val="20"/>
                <w:szCs w:val="20"/>
              </w:rPr>
              <w:t>Admission Date/Time</w:t>
            </w:r>
          </w:p>
        </w:tc>
        <w:tc>
          <w:tcPr>
            <w:tcW w:w="1749" w:type="pct"/>
            <w:tcBorders>
              <w:top w:val="nil"/>
              <w:left w:val="nil"/>
              <w:bottom w:val="single" w:sz="4" w:space="0" w:color="auto"/>
              <w:right w:val="single" w:sz="8" w:space="0" w:color="auto"/>
            </w:tcBorders>
            <w:shd w:val="clear" w:color="auto" w:fill="auto"/>
            <w:noWrap/>
            <w:hideMark/>
          </w:tcPr>
          <w:p w14:paraId="739D8020" w14:textId="77777777" w:rsidR="008617C7" w:rsidRPr="00602B2C" w:rsidRDefault="008617C7" w:rsidP="008617C7">
            <w:pPr>
              <w:spacing w:after="0" w:line="240" w:lineRule="auto"/>
              <w:rPr>
                <w:color w:val="000000"/>
                <w:sz w:val="20"/>
                <w:szCs w:val="20"/>
              </w:rPr>
            </w:pPr>
            <w:r w:rsidRPr="00602B2C">
              <w:rPr>
                <w:color w:val="000000"/>
                <w:sz w:val="20"/>
                <w:szCs w:val="20"/>
              </w:rPr>
              <w:t>PatientEncounter</w:t>
            </w:r>
          </w:p>
        </w:tc>
        <w:tc>
          <w:tcPr>
            <w:tcW w:w="1395" w:type="pct"/>
            <w:tcBorders>
              <w:top w:val="single" w:sz="4" w:space="0" w:color="auto"/>
              <w:left w:val="nil"/>
              <w:bottom w:val="single" w:sz="4" w:space="0" w:color="auto"/>
              <w:right w:val="double" w:sz="6" w:space="0" w:color="auto"/>
            </w:tcBorders>
            <w:shd w:val="clear" w:color="auto" w:fill="auto"/>
            <w:noWrap/>
            <w:hideMark/>
          </w:tcPr>
          <w:p w14:paraId="7C4932A6" w14:textId="77777777" w:rsidR="008617C7" w:rsidRPr="00602B2C" w:rsidRDefault="008617C7" w:rsidP="008617C7">
            <w:pPr>
              <w:spacing w:after="0" w:line="240" w:lineRule="auto"/>
              <w:rPr>
                <w:color w:val="000000"/>
                <w:sz w:val="20"/>
                <w:szCs w:val="20"/>
              </w:rPr>
            </w:pPr>
            <w:r w:rsidRPr="00602B2C">
              <w:rPr>
                <w:color w:val="000000"/>
                <w:sz w:val="20"/>
                <w:szCs w:val="20"/>
              </w:rPr>
              <w:t>startDateTime</w:t>
            </w:r>
          </w:p>
        </w:tc>
      </w:tr>
      <w:tr w:rsidR="008617C7" w:rsidRPr="008617C7" w14:paraId="0DFD467E"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04C1E370" w14:textId="48861861" w:rsidR="008617C7" w:rsidRPr="008617C7" w:rsidRDefault="008617C7" w:rsidP="008617C7">
            <w:pPr>
              <w:spacing w:after="0" w:line="240" w:lineRule="auto"/>
              <w:rPr>
                <w:color w:val="000000"/>
                <w:sz w:val="20"/>
                <w:szCs w:val="20"/>
              </w:rPr>
            </w:pPr>
            <w:r w:rsidRPr="008617C7">
              <w:rPr>
                <w:color w:val="000000"/>
                <w:sz w:val="20"/>
                <w:szCs w:val="20"/>
              </w:rPr>
              <w:t>Hospital Unit</w:t>
            </w:r>
          </w:p>
        </w:tc>
        <w:tc>
          <w:tcPr>
            <w:tcW w:w="1749" w:type="pct"/>
            <w:tcBorders>
              <w:top w:val="nil"/>
              <w:left w:val="nil"/>
              <w:bottom w:val="single" w:sz="4" w:space="0" w:color="auto"/>
              <w:right w:val="single" w:sz="8" w:space="0" w:color="auto"/>
            </w:tcBorders>
            <w:shd w:val="clear" w:color="auto" w:fill="auto"/>
            <w:noWrap/>
          </w:tcPr>
          <w:p w14:paraId="1D3EF20B" w14:textId="0E226C8E" w:rsidR="008617C7" w:rsidRPr="00E53956" w:rsidRDefault="008617C7" w:rsidP="008617C7">
            <w:pPr>
              <w:spacing w:after="0" w:line="240" w:lineRule="auto"/>
              <w:rPr>
                <w:color w:val="000000"/>
                <w:sz w:val="20"/>
                <w:szCs w:val="20"/>
              </w:rPr>
            </w:pPr>
            <w:r w:rsidRPr="00EB0C9C">
              <w:rPr>
                <w:color w:val="000000"/>
                <w:sz w:val="20"/>
                <w:szCs w:val="20"/>
              </w:rPr>
              <w:t>CareDeliveryFacility</w:t>
            </w:r>
            <w:r w:rsidRPr="00E53956">
              <w:rPr>
                <w:color w:val="000000"/>
                <w:sz w:val="20"/>
                <w:szCs w:val="20"/>
              </w:rPr>
              <w:t>Unit</w:t>
            </w:r>
          </w:p>
        </w:tc>
        <w:tc>
          <w:tcPr>
            <w:tcW w:w="1395" w:type="pct"/>
            <w:tcBorders>
              <w:top w:val="single" w:sz="4" w:space="0" w:color="auto"/>
              <w:left w:val="nil"/>
              <w:bottom w:val="single" w:sz="4" w:space="0" w:color="auto"/>
              <w:right w:val="double" w:sz="6" w:space="0" w:color="auto"/>
            </w:tcBorders>
            <w:shd w:val="clear" w:color="auto" w:fill="auto"/>
            <w:noWrap/>
          </w:tcPr>
          <w:p w14:paraId="12D845DF" w14:textId="59AB3B42" w:rsidR="008617C7" w:rsidRPr="00EA4397" w:rsidRDefault="008617C7" w:rsidP="008617C7">
            <w:pPr>
              <w:spacing w:after="0" w:line="240" w:lineRule="auto"/>
              <w:rPr>
                <w:color w:val="000000"/>
                <w:sz w:val="20"/>
                <w:szCs w:val="20"/>
              </w:rPr>
            </w:pPr>
            <w:r w:rsidRPr="00EA4397">
              <w:rPr>
                <w:color w:val="000000"/>
                <w:sz w:val="20"/>
                <w:szCs w:val="20"/>
              </w:rPr>
              <w:t>typeCode</w:t>
            </w:r>
          </w:p>
        </w:tc>
      </w:tr>
      <w:tr w:rsidR="008617C7" w:rsidRPr="00602B2C" w14:paraId="3E6C048A"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0BC4C9DE" w14:textId="50F6FE4B" w:rsidR="008617C7" w:rsidRPr="008617C7" w:rsidRDefault="008617C7" w:rsidP="008617C7">
            <w:pPr>
              <w:spacing w:after="0" w:line="240" w:lineRule="auto"/>
              <w:rPr>
                <w:color w:val="000000"/>
                <w:sz w:val="20"/>
                <w:szCs w:val="20"/>
              </w:rPr>
            </w:pPr>
            <w:r w:rsidRPr="008617C7">
              <w:rPr>
                <w:color w:val="000000"/>
                <w:sz w:val="20"/>
                <w:szCs w:val="20"/>
              </w:rPr>
              <w:t>Discharge Date</w:t>
            </w:r>
          </w:p>
        </w:tc>
        <w:tc>
          <w:tcPr>
            <w:tcW w:w="1749" w:type="pct"/>
            <w:tcBorders>
              <w:top w:val="nil"/>
              <w:left w:val="nil"/>
              <w:bottom w:val="single" w:sz="4" w:space="0" w:color="auto"/>
              <w:right w:val="single" w:sz="8" w:space="0" w:color="auto"/>
            </w:tcBorders>
            <w:shd w:val="clear" w:color="auto" w:fill="auto"/>
            <w:noWrap/>
          </w:tcPr>
          <w:p w14:paraId="17810F42" w14:textId="190D2B3F" w:rsidR="008617C7" w:rsidRPr="008617C7" w:rsidRDefault="008617C7" w:rsidP="008617C7">
            <w:pPr>
              <w:spacing w:after="0" w:line="240" w:lineRule="auto"/>
              <w:rPr>
                <w:color w:val="000000"/>
                <w:sz w:val="20"/>
                <w:szCs w:val="20"/>
              </w:rPr>
            </w:pPr>
            <w:r w:rsidRPr="008617C7">
              <w:rPr>
                <w:color w:val="000000"/>
                <w:sz w:val="20"/>
                <w:szCs w:val="20"/>
              </w:rPr>
              <w:t>PatientEncounter</w:t>
            </w:r>
          </w:p>
        </w:tc>
        <w:tc>
          <w:tcPr>
            <w:tcW w:w="1395" w:type="pct"/>
            <w:tcBorders>
              <w:top w:val="single" w:sz="4" w:space="0" w:color="auto"/>
              <w:left w:val="nil"/>
              <w:bottom w:val="single" w:sz="4" w:space="0" w:color="auto"/>
              <w:right w:val="double" w:sz="6" w:space="0" w:color="auto"/>
            </w:tcBorders>
            <w:shd w:val="clear" w:color="auto" w:fill="auto"/>
            <w:noWrap/>
          </w:tcPr>
          <w:p w14:paraId="4D332700" w14:textId="2940C251" w:rsidR="008617C7" w:rsidRPr="00602B2C" w:rsidRDefault="008617C7" w:rsidP="008617C7">
            <w:pPr>
              <w:spacing w:after="0" w:line="240" w:lineRule="auto"/>
              <w:rPr>
                <w:color w:val="000000"/>
                <w:sz w:val="20"/>
                <w:szCs w:val="20"/>
              </w:rPr>
            </w:pPr>
            <w:r w:rsidRPr="008617C7">
              <w:rPr>
                <w:color w:val="000000"/>
                <w:sz w:val="20"/>
                <w:szCs w:val="20"/>
              </w:rPr>
              <w:t>endDateTime</w:t>
            </w:r>
          </w:p>
        </w:tc>
      </w:tr>
      <w:tr w:rsidR="008617C7" w:rsidRPr="00602B2C" w14:paraId="78F90E9F"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0B55C60" w14:textId="77777777" w:rsidR="008617C7" w:rsidRPr="00602B2C" w:rsidRDefault="008617C7" w:rsidP="008617C7">
            <w:pPr>
              <w:spacing w:after="0" w:line="240" w:lineRule="auto"/>
              <w:rPr>
                <w:color w:val="000000"/>
                <w:sz w:val="20"/>
                <w:szCs w:val="20"/>
              </w:rPr>
            </w:pPr>
            <w:r w:rsidRPr="00602B2C">
              <w:rPr>
                <w:color w:val="000000"/>
                <w:sz w:val="20"/>
                <w:szCs w:val="20"/>
              </w:rPr>
              <w:t>History of Present Illness</w:t>
            </w:r>
          </w:p>
        </w:tc>
        <w:tc>
          <w:tcPr>
            <w:tcW w:w="1749" w:type="pct"/>
            <w:tcBorders>
              <w:top w:val="nil"/>
              <w:left w:val="nil"/>
              <w:bottom w:val="single" w:sz="4" w:space="0" w:color="auto"/>
              <w:right w:val="single" w:sz="8" w:space="0" w:color="auto"/>
            </w:tcBorders>
            <w:shd w:val="clear" w:color="auto" w:fill="auto"/>
            <w:noWrap/>
            <w:hideMark/>
          </w:tcPr>
          <w:p w14:paraId="18A590E4" w14:textId="77777777" w:rsidR="008617C7" w:rsidRPr="00602B2C" w:rsidRDefault="008617C7" w:rsidP="008617C7">
            <w:pPr>
              <w:spacing w:after="0" w:line="240" w:lineRule="auto"/>
              <w:rPr>
                <w:color w:val="000000"/>
                <w:sz w:val="20"/>
                <w:szCs w:val="20"/>
              </w:rPr>
            </w:pPr>
            <w:r w:rsidRPr="00602B2C">
              <w:rPr>
                <w:color w:val="000000"/>
                <w:sz w:val="20"/>
                <w:szCs w:val="20"/>
              </w:rPr>
              <w:t>PatientEncounter</w:t>
            </w:r>
          </w:p>
        </w:tc>
        <w:tc>
          <w:tcPr>
            <w:tcW w:w="1395" w:type="pct"/>
            <w:tcBorders>
              <w:top w:val="single" w:sz="4" w:space="0" w:color="auto"/>
              <w:left w:val="nil"/>
              <w:bottom w:val="single" w:sz="4" w:space="0" w:color="auto"/>
              <w:right w:val="double" w:sz="6" w:space="0" w:color="auto"/>
            </w:tcBorders>
            <w:shd w:val="clear" w:color="auto" w:fill="auto"/>
            <w:noWrap/>
            <w:hideMark/>
          </w:tcPr>
          <w:p w14:paraId="22B44648" w14:textId="77777777" w:rsidR="008617C7" w:rsidRPr="00602B2C" w:rsidRDefault="008617C7" w:rsidP="008617C7">
            <w:pPr>
              <w:spacing w:after="0" w:line="240" w:lineRule="auto"/>
              <w:rPr>
                <w:color w:val="000000"/>
                <w:sz w:val="20"/>
                <w:szCs w:val="20"/>
              </w:rPr>
            </w:pPr>
            <w:r w:rsidRPr="00602B2C">
              <w:rPr>
                <w:color w:val="000000"/>
                <w:sz w:val="20"/>
                <w:szCs w:val="20"/>
              </w:rPr>
              <w:t>presentIllnessHistoryText</w:t>
            </w:r>
          </w:p>
        </w:tc>
      </w:tr>
      <w:tr w:rsidR="008617C7" w:rsidRPr="00602B2C" w14:paraId="08CD6F92"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398D5416" w14:textId="77777777" w:rsidR="008617C7" w:rsidRPr="00602B2C" w:rsidRDefault="008617C7" w:rsidP="008617C7">
            <w:pPr>
              <w:spacing w:after="0" w:line="240" w:lineRule="auto"/>
              <w:rPr>
                <w:color w:val="000000"/>
                <w:sz w:val="20"/>
                <w:szCs w:val="20"/>
              </w:rPr>
            </w:pPr>
            <w:r w:rsidRPr="00602B2C">
              <w:rPr>
                <w:color w:val="000000"/>
                <w:sz w:val="20"/>
                <w:szCs w:val="20"/>
              </w:rPr>
              <w:t>Reason for Visit</w:t>
            </w:r>
          </w:p>
        </w:tc>
        <w:tc>
          <w:tcPr>
            <w:tcW w:w="1749" w:type="pct"/>
            <w:tcBorders>
              <w:top w:val="nil"/>
              <w:left w:val="nil"/>
              <w:bottom w:val="single" w:sz="4" w:space="0" w:color="auto"/>
              <w:right w:val="single" w:sz="8" w:space="0" w:color="auto"/>
            </w:tcBorders>
            <w:shd w:val="clear" w:color="auto" w:fill="auto"/>
            <w:noWrap/>
            <w:hideMark/>
          </w:tcPr>
          <w:p w14:paraId="7DDF9453" w14:textId="77777777" w:rsidR="008617C7" w:rsidRPr="00602B2C" w:rsidRDefault="008617C7" w:rsidP="008617C7">
            <w:pPr>
              <w:spacing w:after="0" w:line="240" w:lineRule="auto"/>
              <w:rPr>
                <w:color w:val="000000"/>
                <w:sz w:val="20"/>
                <w:szCs w:val="20"/>
              </w:rPr>
            </w:pPr>
            <w:r w:rsidRPr="00602B2C">
              <w:rPr>
                <w:color w:val="000000"/>
                <w:sz w:val="20"/>
                <w:szCs w:val="20"/>
              </w:rPr>
              <w:t>PatientEncounter</w:t>
            </w:r>
          </w:p>
        </w:tc>
        <w:tc>
          <w:tcPr>
            <w:tcW w:w="1395" w:type="pct"/>
            <w:tcBorders>
              <w:top w:val="single" w:sz="4" w:space="0" w:color="auto"/>
              <w:left w:val="nil"/>
              <w:bottom w:val="single" w:sz="4" w:space="0" w:color="auto"/>
              <w:right w:val="double" w:sz="6" w:space="0" w:color="auto"/>
            </w:tcBorders>
            <w:shd w:val="clear" w:color="auto" w:fill="auto"/>
            <w:noWrap/>
            <w:hideMark/>
          </w:tcPr>
          <w:p w14:paraId="054A272C" w14:textId="2CACB214" w:rsidR="008617C7" w:rsidRPr="00602B2C" w:rsidRDefault="008617C7" w:rsidP="008617C7">
            <w:pPr>
              <w:spacing w:after="0" w:line="240" w:lineRule="auto"/>
              <w:rPr>
                <w:color w:val="000000"/>
                <w:sz w:val="20"/>
                <w:szCs w:val="20"/>
              </w:rPr>
            </w:pPr>
            <w:r>
              <w:rPr>
                <w:color w:val="000000"/>
                <w:sz w:val="20"/>
                <w:szCs w:val="20"/>
              </w:rPr>
              <w:t>EncounterR</w:t>
            </w:r>
            <w:r w:rsidRPr="00602B2C">
              <w:rPr>
                <w:color w:val="000000"/>
                <w:sz w:val="20"/>
                <w:szCs w:val="20"/>
              </w:rPr>
              <w:t>eason</w:t>
            </w:r>
          </w:p>
        </w:tc>
      </w:tr>
      <w:tr w:rsidR="008617C7" w:rsidRPr="00602B2C" w14:paraId="5C053CDB"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7E579F94" w14:textId="77777777" w:rsidR="008617C7" w:rsidRPr="00602B2C" w:rsidRDefault="008617C7" w:rsidP="008617C7">
            <w:pPr>
              <w:spacing w:after="0" w:line="240" w:lineRule="auto"/>
              <w:rPr>
                <w:color w:val="000000"/>
                <w:sz w:val="20"/>
                <w:szCs w:val="20"/>
              </w:rPr>
            </w:pPr>
            <w:r w:rsidRPr="00602B2C">
              <w:rPr>
                <w:color w:val="000000"/>
                <w:sz w:val="20"/>
                <w:szCs w:val="20"/>
              </w:rPr>
              <w:t>Date of Onset</w:t>
            </w:r>
          </w:p>
        </w:tc>
        <w:tc>
          <w:tcPr>
            <w:tcW w:w="1749" w:type="pct"/>
            <w:tcBorders>
              <w:top w:val="nil"/>
              <w:left w:val="nil"/>
              <w:bottom w:val="single" w:sz="4" w:space="0" w:color="auto"/>
              <w:right w:val="single" w:sz="8" w:space="0" w:color="auto"/>
            </w:tcBorders>
            <w:shd w:val="clear" w:color="auto" w:fill="auto"/>
            <w:noWrap/>
            <w:hideMark/>
          </w:tcPr>
          <w:p w14:paraId="0291E941" w14:textId="77777777" w:rsidR="008617C7" w:rsidRPr="00602B2C" w:rsidRDefault="008617C7" w:rsidP="008617C7">
            <w:pPr>
              <w:spacing w:after="0" w:line="240" w:lineRule="auto"/>
              <w:rPr>
                <w:color w:val="000000"/>
                <w:sz w:val="20"/>
                <w:szCs w:val="20"/>
              </w:rPr>
            </w:pPr>
            <w:r w:rsidRPr="00602B2C">
              <w:rPr>
                <w:color w:val="000000"/>
                <w:sz w:val="20"/>
                <w:szCs w:val="20"/>
              </w:rPr>
              <w:t>ReportableCondition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32AE1916" w14:textId="77777777" w:rsidR="008617C7" w:rsidRPr="00602B2C" w:rsidRDefault="008617C7" w:rsidP="008617C7">
            <w:pPr>
              <w:spacing w:after="0" w:line="240" w:lineRule="auto"/>
              <w:rPr>
                <w:color w:val="000000"/>
                <w:sz w:val="20"/>
                <w:szCs w:val="20"/>
              </w:rPr>
            </w:pPr>
            <w:r w:rsidRPr="00602B2C">
              <w:rPr>
                <w:color w:val="000000"/>
                <w:sz w:val="20"/>
                <w:szCs w:val="20"/>
              </w:rPr>
              <w:t>onsetDate</w:t>
            </w:r>
          </w:p>
        </w:tc>
      </w:tr>
      <w:tr w:rsidR="008617C7" w:rsidRPr="00602B2C" w14:paraId="0CD92CF4"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2529A275" w14:textId="77777777" w:rsidR="008617C7" w:rsidRPr="00602B2C" w:rsidRDefault="008617C7" w:rsidP="008617C7">
            <w:pPr>
              <w:spacing w:after="0" w:line="240" w:lineRule="auto"/>
              <w:rPr>
                <w:color w:val="000000"/>
                <w:sz w:val="20"/>
                <w:szCs w:val="20"/>
              </w:rPr>
            </w:pPr>
            <w:r w:rsidRPr="00602B2C">
              <w:rPr>
                <w:color w:val="000000"/>
                <w:sz w:val="20"/>
                <w:szCs w:val="20"/>
              </w:rPr>
              <w:t>Symptoms (list)</w:t>
            </w:r>
          </w:p>
        </w:tc>
        <w:tc>
          <w:tcPr>
            <w:tcW w:w="1749" w:type="pct"/>
            <w:tcBorders>
              <w:top w:val="nil"/>
              <w:left w:val="nil"/>
              <w:bottom w:val="single" w:sz="4" w:space="0" w:color="auto"/>
              <w:right w:val="single" w:sz="8" w:space="0" w:color="auto"/>
            </w:tcBorders>
            <w:shd w:val="clear" w:color="auto" w:fill="auto"/>
            <w:noWrap/>
            <w:hideMark/>
          </w:tcPr>
          <w:p w14:paraId="494A3BAB" w14:textId="77777777" w:rsidR="008617C7" w:rsidRPr="00602B2C" w:rsidRDefault="008617C7" w:rsidP="008617C7">
            <w:pPr>
              <w:spacing w:after="0" w:line="240" w:lineRule="auto"/>
              <w:rPr>
                <w:color w:val="000000"/>
                <w:sz w:val="20"/>
                <w:szCs w:val="20"/>
              </w:rPr>
            </w:pPr>
            <w:r w:rsidRPr="00602B2C">
              <w:rPr>
                <w:color w:val="000000"/>
                <w:sz w:val="20"/>
                <w:szCs w:val="20"/>
              </w:rPr>
              <w:t>ReportableConditionSymptom</w:t>
            </w:r>
          </w:p>
        </w:tc>
        <w:tc>
          <w:tcPr>
            <w:tcW w:w="1395" w:type="pct"/>
            <w:tcBorders>
              <w:top w:val="single" w:sz="4" w:space="0" w:color="auto"/>
              <w:left w:val="nil"/>
              <w:bottom w:val="single" w:sz="4" w:space="0" w:color="auto"/>
              <w:right w:val="double" w:sz="6" w:space="0" w:color="auto"/>
            </w:tcBorders>
            <w:shd w:val="clear" w:color="auto" w:fill="auto"/>
            <w:noWrap/>
            <w:hideMark/>
          </w:tcPr>
          <w:p w14:paraId="3FDFEECE" w14:textId="77777777" w:rsidR="008617C7" w:rsidRPr="00602B2C" w:rsidRDefault="008617C7" w:rsidP="008617C7">
            <w:pPr>
              <w:spacing w:after="0" w:line="240" w:lineRule="auto"/>
              <w:rPr>
                <w:color w:val="000000"/>
                <w:sz w:val="20"/>
                <w:szCs w:val="20"/>
              </w:rPr>
            </w:pPr>
            <w:r w:rsidRPr="00602B2C">
              <w:rPr>
                <w:color w:val="000000"/>
                <w:sz w:val="20"/>
                <w:szCs w:val="20"/>
              </w:rPr>
              <w:t>typeCode</w:t>
            </w:r>
          </w:p>
        </w:tc>
      </w:tr>
      <w:tr w:rsidR="008617C7" w:rsidRPr="00602B2C" w14:paraId="698BAC9D"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0F8F6839" w14:textId="765505EF" w:rsidR="008617C7" w:rsidRPr="00602B2C" w:rsidRDefault="008617C7" w:rsidP="008617C7">
            <w:pPr>
              <w:spacing w:after="0" w:line="240" w:lineRule="auto"/>
              <w:rPr>
                <w:color w:val="000000"/>
                <w:sz w:val="20"/>
                <w:szCs w:val="20"/>
              </w:rPr>
            </w:pPr>
            <w:r w:rsidRPr="00602B2C">
              <w:rPr>
                <w:color w:val="000000"/>
                <w:sz w:val="20"/>
                <w:szCs w:val="20"/>
              </w:rPr>
              <w:t>Lab</w:t>
            </w:r>
            <w:r>
              <w:rPr>
                <w:color w:val="000000"/>
                <w:sz w:val="20"/>
                <w:szCs w:val="20"/>
              </w:rPr>
              <w:t>oratory</w:t>
            </w:r>
            <w:r w:rsidRPr="00602B2C">
              <w:rPr>
                <w:color w:val="000000"/>
                <w:sz w:val="20"/>
                <w:szCs w:val="20"/>
              </w:rPr>
              <w:t xml:space="preserve"> Order Code</w:t>
            </w:r>
          </w:p>
        </w:tc>
        <w:tc>
          <w:tcPr>
            <w:tcW w:w="1749" w:type="pct"/>
            <w:tcBorders>
              <w:top w:val="nil"/>
              <w:left w:val="nil"/>
              <w:bottom w:val="single" w:sz="4" w:space="0" w:color="auto"/>
              <w:right w:val="single" w:sz="8" w:space="0" w:color="auto"/>
            </w:tcBorders>
            <w:shd w:val="clear" w:color="auto" w:fill="auto"/>
            <w:noWrap/>
            <w:hideMark/>
          </w:tcPr>
          <w:p w14:paraId="0B9E1852" w14:textId="783877A3" w:rsidR="008617C7" w:rsidRPr="00602B2C" w:rsidRDefault="008617C7" w:rsidP="008617C7">
            <w:pPr>
              <w:spacing w:after="0" w:line="240" w:lineRule="auto"/>
              <w:rPr>
                <w:color w:val="000000"/>
                <w:sz w:val="20"/>
                <w:szCs w:val="20"/>
              </w:rPr>
            </w:pPr>
            <w:r w:rsidRPr="00602B2C">
              <w:rPr>
                <w:color w:val="000000"/>
                <w:sz w:val="20"/>
                <w:szCs w:val="20"/>
              </w:rPr>
              <w:t>Laboratory</w:t>
            </w:r>
            <w:r>
              <w:rPr>
                <w:color w:val="000000"/>
                <w:sz w:val="20"/>
                <w:szCs w:val="20"/>
              </w:rPr>
              <w:t>Observation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4B17C274" w14:textId="77777777" w:rsidR="008617C7" w:rsidRPr="00602B2C" w:rsidRDefault="008617C7" w:rsidP="008617C7">
            <w:pPr>
              <w:spacing w:after="0" w:line="240" w:lineRule="auto"/>
              <w:rPr>
                <w:color w:val="000000"/>
                <w:sz w:val="20"/>
                <w:szCs w:val="20"/>
              </w:rPr>
            </w:pPr>
            <w:r w:rsidRPr="00602B2C">
              <w:rPr>
                <w:color w:val="000000"/>
                <w:sz w:val="20"/>
                <w:szCs w:val="20"/>
              </w:rPr>
              <w:t>typeCode</w:t>
            </w:r>
          </w:p>
        </w:tc>
      </w:tr>
      <w:tr w:rsidR="008617C7" w:rsidRPr="00602B2C" w14:paraId="3F031712"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2EC4099E" w14:textId="2952A845" w:rsidR="008617C7" w:rsidRPr="00602B2C" w:rsidRDefault="008617C7" w:rsidP="008617C7">
            <w:pPr>
              <w:spacing w:after="0" w:line="240" w:lineRule="auto"/>
              <w:rPr>
                <w:color w:val="000000"/>
                <w:sz w:val="20"/>
                <w:szCs w:val="20"/>
              </w:rPr>
            </w:pPr>
            <w:r>
              <w:rPr>
                <w:color w:val="000000"/>
                <w:sz w:val="20"/>
                <w:szCs w:val="20"/>
              </w:rPr>
              <w:t xml:space="preserve">Filler </w:t>
            </w:r>
            <w:r w:rsidRPr="00602B2C">
              <w:rPr>
                <w:color w:val="000000"/>
                <w:sz w:val="20"/>
                <w:szCs w:val="20"/>
              </w:rPr>
              <w:t>Order Number</w:t>
            </w:r>
          </w:p>
        </w:tc>
        <w:tc>
          <w:tcPr>
            <w:tcW w:w="1749" w:type="pct"/>
            <w:tcBorders>
              <w:top w:val="nil"/>
              <w:left w:val="nil"/>
              <w:bottom w:val="single" w:sz="4" w:space="0" w:color="auto"/>
              <w:right w:val="single" w:sz="8" w:space="0" w:color="auto"/>
            </w:tcBorders>
            <w:shd w:val="clear" w:color="auto" w:fill="auto"/>
            <w:noWrap/>
            <w:hideMark/>
          </w:tcPr>
          <w:p w14:paraId="31B1B828" w14:textId="630E22E0" w:rsidR="008617C7" w:rsidRPr="00602B2C" w:rsidRDefault="008617C7" w:rsidP="008617C7">
            <w:pPr>
              <w:spacing w:after="0" w:line="240" w:lineRule="auto"/>
              <w:rPr>
                <w:color w:val="000000"/>
                <w:sz w:val="20"/>
                <w:szCs w:val="20"/>
              </w:rPr>
            </w:pPr>
            <w:r w:rsidRPr="00602B2C">
              <w:rPr>
                <w:color w:val="000000"/>
                <w:sz w:val="20"/>
                <w:szCs w:val="20"/>
              </w:rPr>
              <w:t>Laboratory</w:t>
            </w:r>
            <w:r>
              <w:rPr>
                <w:color w:val="000000"/>
                <w:sz w:val="20"/>
                <w:szCs w:val="20"/>
              </w:rPr>
              <w:t>Observation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09F2B47F" w14:textId="77777777" w:rsidR="008617C7" w:rsidRPr="00602B2C" w:rsidRDefault="008617C7" w:rsidP="008617C7">
            <w:pPr>
              <w:spacing w:after="0" w:line="240" w:lineRule="auto"/>
              <w:rPr>
                <w:color w:val="000000"/>
                <w:sz w:val="20"/>
                <w:szCs w:val="20"/>
              </w:rPr>
            </w:pPr>
            <w:r w:rsidRPr="00602B2C">
              <w:rPr>
                <w:color w:val="000000"/>
                <w:sz w:val="20"/>
                <w:szCs w:val="20"/>
              </w:rPr>
              <w:t>identifier</w:t>
            </w:r>
          </w:p>
        </w:tc>
      </w:tr>
      <w:tr w:rsidR="008617C7" w:rsidRPr="00602B2C" w14:paraId="17C1ED63"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37A7D274" w14:textId="05BCA3B8" w:rsidR="008617C7" w:rsidRPr="00602B2C" w:rsidRDefault="008617C7" w:rsidP="008617C7">
            <w:pPr>
              <w:spacing w:after="0" w:line="240" w:lineRule="auto"/>
              <w:rPr>
                <w:color w:val="000000"/>
                <w:sz w:val="20"/>
                <w:szCs w:val="20"/>
              </w:rPr>
            </w:pPr>
            <w:r>
              <w:rPr>
                <w:color w:val="000000"/>
                <w:sz w:val="20"/>
                <w:szCs w:val="20"/>
              </w:rPr>
              <w:t>Laboratory Results</w:t>
            </w:r>
          </w:p>
        </w:tc>
        <w:tc>
          <w:tcPr>
            <w:tcW w:w="1749" w:type="pct"/>
            <w:tcBorders>
              <w:top w:val="nil"/>
              <w:left w:val="nil"/>
              <w:bottom w:val="single" w:sz="4" w:space="0" w:color="auto"/>
              <w:right w:val="single" w:sz="8" w:space="0" w:color="auto"/>
            </w:tcBorders>
            <w:shd w:val="clear" w:color="auto" w:fill="auto"/>
            <w:noWrap/>
          </w:tcPr>
          <w:p w14:paraId="3C4180E3" w14:textId="32130A09" w:rsidR="008617C7" w:rsidRPr="00602B2C" w:rsidRDefault="008617C7" w:rsidP="008617C7">
            <w:pPr>
              <w:spacing w:after="0" w:line="240" w:lineRule="auto"/>
              <w:rPr>
                <w:color w:val="000000"/>
                <w:sz w:val="20"/>
                <w:szCs w:val="20"/>
              </w:rPr>
            </w:pPr>
            <w:r>
              <w:rPr>
                <w:color w:val="000000"/>
                <w:sz w:val="20"/>
                <w:szCs w:val="20"/>
              </w:rPr>
              <w:t>LaboratoryObservationResult</w:t>
            </w:r>
          </w:p>
        </w:tc>
        <w:tc>
          <w:tcPr>
            <w:tcW w:w="1395" w:type="pct"/>
            <w:tcBorders>
              <w:top w:val="single" w:sz="4" w:space="0" w:color="auto"/>
              <w:left w:val="nil"/>
              <w:bottom w:val="single" w:sz="4" w:space="0" w:color="auto"/>
              <w:right w:val="double" w:sz="6" w:space="0" w:color="auto"/>
            </w:tcBorders>
            <w:shd w:val="clear" w:color="auto" w:fill="auto"/>
            <w:noWrap/>
          </w:tcPr>
          <w:p w14:paraId="37FA48A7" w14:textId="1F74DC01" w:rsidR="008617C7" w:rsidRPr="00602B2C" w:rsidRDefault="008617C7" w:rsidP="008617C7">
            <w:pPr>
              <w:spacing w:after="0" w:line="240" w:lineRule="auto"/>
              <w:rPr>
                <w:color w:val="000000"/>
                <w:sz w:val="20"/>
                <w:szCs w:val="20"/>
              </w:rPr>
            </w:pPr>
            <w:r>
              <w:rPr>
                <w:color w:val="000000"/>
                <w:sz w:val="20"/>
                <w:szCs w:val="20"/>
              </w:rPr>
              <w:t>value</w:t>
            </w:r>
          </w:p>
        </w:tc>
      </w:tr>
      <w:tr w:rsidR="008617C7" w:rsidRPr="00602B2C" w14:paraId="08EA2410"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2967209C" w14:textId="77777777" w:rsidR="008617C7" w:rsidRPr="00602B2C" w:rsidRDefault="008617C7" w:rsidP="008617C7">
            <w:pPr>
              <w:spacing w:after="0" w:line="240" w:lineRule="auto"/>
              <w:rPr>
                <w:color w:val="000000"/>
                <w:sz w:val="20"/>
                <w:szCs w:val="20"/>
              </w:rPr>
            </w:pPr>
            <w:r w:rsidRPr="00602B2C">
              <w:rPr>
                <w:color w:val="000000"/>
                <w:sz w:val="20"/>
                <w:szCs w:val="20"/>
              </w:rPr>
              <w:t>Diagnoses</w:t>
            </w:r>
          </w:p>
        </w:tc>
        <w:tc>
          <w:tcPr>
            <w:tcW w:w="1749" w:type="pct"/>
            <w:tcBorders>
              <w:top w:val="nil"/>
              <w:left w:val="nil"/>
              <w:bottom w:val="single" w:sz="4" w:space="0" w:color="auto"/>
              <w:right w:val="single" w:sz="8" w:space="0" w:color="auto"/>
            </w:tcBorders>
            <w:shd w:val="clear" w:color="auto" w:fill="auto"/>
            <w:noWrap/>
            <w:hideMark/>
          </w:tcPr>
          <w:p w14:paraId="745ACAA0" w14:textId="77777777" w:rsidR="008617C7" w:rsidRPr="00602B2C" w:rsidRDefault="008617C7" w:rsidP="008617C7">
            <w:pPr>
              <w:spacing w:after="0" w:line="240" w:lineRule="auto"/>
              <w:rPr>
                <w:color w:val="000000"/>
                <w:sz w:val="20"/>
                <w:szCs w:val="20"/>
              </w:rPr>
            </w:pPr>
            <w:r w:rsidRPr="00602B2C">
              <w:rPr>
                <w:color w:val="000000"/>
                <w:sz w:val="20"/>
                <w:szCs w:val="20"/>
              </w:rPr>
              <w:t>EncounterDiagnosis</w:t>
            </w:r>
          </w:p>
        </w:tc>
        <w:tc>
          <w:tcPr>
            <w:tcW w:w="1395" w:type="pct"/>
            <w:tcBorders>
              <w:top w:val="single" w:sz="4" w:space="0" w:color="auto"/>
              <w:left w:val="nil"/>
              <w:bottom w:val="single" w:sz="4" w:space="0" w:color="auto"/>
              <w:right w:val="double" w:sz="6" w:space="0" w:color="auto"/>
            </w:tcBorders>
            <w:shd w:val="clear" w:color="auto" w:fill="auto"/>
            <w:noWrap/>
            <w:hideMark/>
          </w:tcPr>
          <w:p w14:paraId="5A1C40AD" w14:textId="77777777" w:rsidR="008617C7" w:rsidRPr="00602B2C" w:rsidRDefault="008617C7" w:rsidP="008617C7">
            <w:pPr>
              <w:spacing w:after="0" w:line="240" w:lineRule="auto"/>
              <w:rPr>
                <w:color w:val="000000"/>
                <w:sz w:val="20"/>
                <w:szCs w:val="20"/>
              </w:rPr>
            </w:pPr>
            <w:r w:rsidRPr="00602B2C">
              <w:rPr>
                <w:color w:val="000000"/>
                <w:sz w:val="20"/>
                <w:szCs w:val="20"/>
              </w:rPr>
              <w:t>typeCode</w:t>
            </w:r>
          </w:p>
        </w:tc>
      </w:tr>
      <w:tr w:rsidR="008617C7" w:rsidRPr="00602B2C" w14:paraId="1323D945"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65A5E233" w14:textId="77777777" w:rsidR="008617C7" w:rsidRPr="00602B2C" w:rsidRDefault="008617C7" w:rsidP="008617C7">
            <w:pPr>
              <w:spacing w:after="0" w:line="240" w:lineRule="auto"/>
              <w:rPr>
                <w:color w:val="000000"/>
                <w:sz w:val="20"/>
                <w:szCs w:val="20"/>
              </w:rPr>
            </w:pPr>
            <w:r w:rsidRPr="00602B2C">
              <w:rPr>
                <w:color w:val="000000"/>
                <w:sz w:val="20"/>
                <w:szCs w:val="20"/>
              </w:rPr>
              <w:t>Date of Diagnosis</w:t>
            </w:r>
          </w:p>
        </w:tc>
        <w:tc>
          <w:tcPr>
            <w:tcW w:w="1749" w:type="pct"/>
            <w:tcBorders>
              <w:top w:val="nil"/>
              <w:left w:val="nil"/>
              <w:bottom w:val="single" w:sz="4" w:space="0" w:color="auto"/>
              <w:right w:val="single" w:sz="8" w:space="0" w:color="auto"/>
            </w:tcBorders>
            <w:shd w:val="clear" w:color="auto" w:fill="auto"/>
            <w:noWrap/>
            <w:hideMark/>
          </w:tcPr>
          <w:p w14:paraId="27E3AC86" w14:textId="77777777" w:rsidR="008617C7" w:rsidRPr="00602B2C" w:rsidRDefault="008617C7" w:rsidP="008617C7">
            <w:pPr>
              <w:spacing w:after="0" w:line="240" w:lineRule="auto"/>
              <w:rPr>
                <w:color w:val="000000"/>
                <w:sz w:val="20"/>
                <w:szCs w:val="20"/>
              </w:rPr>
            </w:pPr>
            <w:r w:rsidRPr="00602B2C">
              <w:rPr>
                <w:color w:val="000000"/>
                <w:sz w:val="20"/>
                <w:szCs w:val="20"/>
              </w:rPr>
              <w:t>EncounterDiagnosis</w:t>
            </w:r>
          </w:p>
        </w:tc>
        <w:tc>
          <w:tcPr>
            <w:tcW w:w="1395" w:type="pct"/>
            <w:tcBorders>
              <w:top w:val="single" w:sz="4" w:space="0" w:color="auto"/>
              <w:left w:val="nil"/>
              <w:bottom w:val="single" w:sz="4" w:space="0" w:color="auto"/>
              <w:right w:val="double" w:sz="6" w:space="0" w:color="auto"/>
            </w:tcBorders>
            <w:shd w:val="clear" w:color="auto" w:fill="auto"/>
            <w:noWrap/>
            <w:hideMark/>
          </w:tcPr>
          <w:p w14:paraId="645E5D08" w14:textId="77777777" w:rsidR="008617C7" w:rsidRPr="00602B2C" w:rsidRDefault="008617C7" w:rsidP="008617C7">
            <w:pPr>
              <w:spacing w:after="0" w:line="240" w:lineRule="auto"/>
              <w:rPr>
                <w:color w:val="000000"/>
                <w:sz w:val="20"/>
                <w:szCs w:val="20"/>
              </w:rPr>
            </w:pPr>
            <w:r w:rsidRPr="00602B2C">
              <w:rPr>
                <w:color w:val="000000"/>
                <w:sz w:val="20"/>
                <w:szCs w:val="20"/>
              </w:rPr>
              <w:t>effectiveDate</w:t>
            </w:r>
          </w:p>
        </w:tc>
      </w:tr>
      <w:tr w:rsidR="008617C7" w:rsidRPr="00602B2C" w14:paraId="78196394"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4533D3B3" w14:textId="77777777" w:rsidR="008617C7" w:rsidRPr="00602B2C" w:rsidRDefault="008617C7" w:rsidP="008617C7">
            <w:pPr>
              <w:spacing w:after="0" w:line="240" w:lineRule="auto"/>
              <w:rPr>
                <w:color w:val="000000"/>
                <w:sz w:val="20"/>
                <w:szCs w:val="20"/>
              </w:rPr>
            </w:pPr>
            <w:r w:rsidRPr="00602B2C">
              <w:rPr>
                <w:color w:val="000000"/>
                <w:sz w:val="20"/>
                <w:szCs w:val="20"/>
              </w:rPr>
              <w:t>Medications Administered (list)</w:t>
            </w:r>
          </w:p>
        </w:tc>
        <w:tc>
          <w:tcPr>
            <w:tcW w:w="1749" w:type="pct"/>
            <w:tcBorders>
              <w:top w:val="nil"/>
              <w:left w:val="nil"/>
              <w:bottom w:val="single" w:sz="4" w:space="0" w:color="auto"/>
              <w:right w:val="single" w:sz="8" w:space="0" w:color="auto"/>
            </w:tcBorders>
            <w:shd w:val="clear" w:color="auto" w:fill="auto"/>
            <w:noWrap/>
            <w:hideMark/>
          </w:tcPr>
          <w:p w14:paraId="704D59DC" w14:textId="77777777" w:rsidR="008617C7" w:rsidRPr="00602B2C" w:rsidRDefault="008617C7" w:rsidP="008617C7">
            <w:pPr>
              <w:spacing w:after="0" w:line="240" w:lineRule="auto"/>
              <w:rPr>
                <w:color w:val="000000"/>
                <w:sz w:val="20"/>
                <w:szCs w:val="20"/>
              </w:rPr>
            </w:pPr>
            <w:r w:rsidRPr="00602B2C">
              <w:rPr>
                <w:color w:val="000000"/>
                <w:sz w:val="20"/>
                <w:szCs w:val="20"/>
              </w:rPr>
              <w:t>AdministeredMedication</w:t>
            </w:r>
          </w:p>
        </w:tc>
        <w:tc>
          <w:tcPr>
            <w:tcW w:w="1395" w:type="pct"/>
            <w:tcBorders>
              <w:top w:val="single" w:sz="4" w:space="0" w:color="auto"/>
              <w:left w:val="nil"/>
              <w:bottom w:val="single" w:sz="4" w:space="0" w:color="auto"/>
              <w:right w:val="double" w:sz="6" w:space="0" w:color="auto"/>
            </w:tcBorders>
            <w:shd w:val="clear" w:color="auto" w:fill="auto"/>
            <w:noWrap/>
            <w:hideMark/>
          </w:tcPr>
          <w:p w14:paraId="627D32F9" w14:textId="305CD3FA" w:rsidR="008617C7" w:rsidRPr="00602B2C" w:rsidRDefault="008617C7" w:rsidP="008617C7">
            <w:pPr>
              <w:spacing w:after="0" w:line="240" w:lineRule="auto"/>
              <w:rPr>
                <w:color w:val="000000"/>
                <w:sz w:val="20"/>
                <w:szCs w:val="20"/>
              </w:rPr>
            </w:pPr>
            <w:r>
              <w:rPr>
                <w:color w:val="000000"/>
                <w:sz w:val="20"/>
                <w:szCs w:val="20"/>
              </w:rPr>
              <w:t>medicationT</w:t>
            </w:r>
            <w:r w:rsidRPr="00602B2C">
              <w:rPr>
                <w:color w:val="000000"/>
                <w:sz w:val="20"/>
                <w:szCs w:val="20"/>
              </w:rPr>
              <w:t>ypeCode</w:t>
            </w:r>
          </w:p>
        </w:tc>
      </w:tr>
      <w:tr w:rsidR="008617C7" w:rsidRPr="00602B2C" w14:paraId="7D5B28FD" w14:textId="77777777" w:rsidTr="006145A7">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tcPr>
          <w:p w14:paraId="68A9050D" w14:textId="2D406BD2" w:rsidR="008617C7" w:rsidRPr="00602B2C" w:rsidRDefault="008617C7" w:rsidP="008617C7">
            <w:pPr>
              <w:spacing w:after="0" w:line="240" w:lineRule="auto"/>
              <w:rPr>
                <w:color w:val="000000"/>
                <w:sz w:val="20"/>
                <w:szCs w:val="20"/>
              </w:rPr>
            </w:pPr>
            <w:r>
              <w:rPr>
                <w:color w:val="000000"/>
                <w:sz w:val="20"/>
                <w:szCs w:val="20"/>
              </w:rPr>
              <w:t>Immunization Status</w:t>
            </w:r>
          </w:p>
        </w:tc>
        <w:tc>
          <w:tcPr>
            <w:tcW w:w="1749" w:type="pct"/>
            <w:tcBorders>
              <w:top w:val="nil"/>
              <w:left w:val="nil"/>
              <w:bottom w:val="single" w:sz="4" w:space="0" w:color="auto"/>
              <w:right w:val="single" w:sz="8" w:space="0" w:color="auto"/>
            </w:tcBorders>
            <w:shd w:val="clear" w:color="auto" w:fill="auto"/>
            <w:noWrap/>
          </w:tcPr>
          <w:p w14:paraId="3733ADF9" w14:textId="42CDDB52" w:rsidR="008617C7" w:rsidRPr="00602B2C" w:rsidRDefault="008617C7" w:rsidP="008617C7">
            <w:pPr>
              <w:spacing w:after="0" w:line="240" w:lineRule="auto"/>
              <w:rPr>
                <w:color w:val="000000"/>
                <w:sz w:val="20"/>
                <w:szCs w:val="20"/>
              </w:rPr>
            </w:pPr>
            <w:r>
              <w:rPr>
                <w:color w:val="000000"/>
                <w:sz w:val="20"/>
                <w:szCs w:val="20"/>
              </w:rPr>
              <w:t>ImmunizationActivity</w:t>
            </w:r>
          </w:p>
        </w:tc>
        <w:tc>
          <w:tcPr>
            <w:tcW w:w="1395" w:type="pct"/>
            <w:tcBorders>
              <w:top w:val="single" w:sz="4" w:space="0" w:color="auto"/>
              <w:left w:val="nil"/>
              <w:bottom w:val="single" w:sz="4" w:space="0" w:color="auto"/>
              <w:right w:val="double" w:sz="6" w:space="0" w:color="auto"/>
            </w:tcBorders>
            <w:shd w:val="clear" w:color="auto" w:fill="auto"/>
            <w:noWrap/>
          </w:tcPr>
          <w:p w14:paraId="54A5F2A9" w14:textId="03C1F482" w:rsidR="008617C7" w:rsidRPr="00602B2C" w:rsidRDefault="008617C7" w:rsidP="008617C7">
            <w:pPr>
              <w:spacing w:after="0" w:line="240" w:lineRule="auto"/>
              <w:rPr>
                <w:color w:val="000000"/>
                <w:sz w:val="20"/>
                <w:szCs w:val="20"/>
              </w:rPr>
            </w:pPr>
            <w:r>
              <w:rPr>
                <w:color w:val="000000"/>
                <w:sz w:val="20"/>
                <w:szCs w:val="20"/>
              </w:rPr>
              <w:t>vaccineTypeCode</w:t>
            </w:r>
          </w:p>
        </w:tc>
      </w:tr>
      <w:tr w:rsidR="008617C7" w:rsidRPr="00602B2C" w14:paraId="782DFCD4" w14:textId="77777777" w:rsidTr="00107813">
        <w:trPr>
          <w:cantSplit/>
        </w:trPr>
        <w:tc>
          <w:tcPr>
            <w:tcW w:w="1856" w:type="pct"/>
            <w:tcBorders>
              <w:top w:val="single" w:sz="4" w:space="0" w:color="auto"/>
              <w:left w:val="double" w:sz="6" w:space="0" w:color="auto"/>
              <w:bottom w:val="single" w:sz="4" w:space="0" w:color="auto"/>
              <w:right w:val="single" w:sz="8" w:space="0" w:color="auto"/>
            </w:tcBorders>
            <w:shd w:val="clear" w:color="auto" w:fill="auto"/>
            <w:hideMark/>
          </w:tcPr>
          <w:p w14:paraId="15C43A65" w14:textId="77777777" w:rsidR="008617C7" w:rsidRPr="00602B2C" w:rsidRDefault="008617C7" w:rsidP="008617C7">
            <w:pPr>
              <w:spacing w:after="0" w:line="240" w:lineRule="auto"/>
              <w:rPr>
                <w:color w:val="000000"/>
                <w:sz w:val="20"/>
                <w:szCs w:val="20"/>
              </w:rPr>
            </w:pPr>
            <w:r w:rsidRPr="00602B2C">
              <w:rPr>
                <w:color w:val="000000"/>
                <w:sz w:val="20"/>
                <w:szCs w:val="20"/>
              </w:rPr>
              <w:t>Death Date</w:t>
            </w:r>
          </w:p>
        </w:tc>
        <w:tc>
          <w:tcPr>
            <w:tcW w:w="1749" w:type="pct"/>
            <w:tcBorders>
              <w:top w:val="nil"/>
              <w:left w:val="nil"/>
              <w:bottom w:val="single" w:sz="4" w:space="0" w:color="auto"/>
              <w:right w:val="single" w:sz="8" w:space="0" w:color="auto"/>
            </w:tcBorders>
            <w:shd w:val="clear" w:color="auto" w:fill="auto"/>
            <w:noWrap/>
            <w:hideMark/>
          </w:tcPr>
          <w:p w14:paraId="2400EA32" w14:textId="77777777" w:rsidR="008617C7" w:rsidRPr="00602B2C" w:rsidRDefault="008617C7" w:rsidP="008617C7">
            <w:pPr>
              <w:spacing w:after="0" w:line="240" w:lineRule="auto"/>
              <w:rPr>
                <w:color w:val="000000"/>
                <w:sz w:val="20"/>
                <w:szCs w:val="20"/>
              </w:rPr>
            </w:pPr>
            <w:r w:rsidRPr="00602B2C">
              <w:rPr>
                <w:color w:val="000000"/>
                <w:sz w:val="20"/>
                <w:szCs w:val="20"/>
              </w:rPr>
              <w:t>Patient</w:t>
            </w:r>
          </w:p>
        </w:tc>
        <w:tc>
          <w:tcPr>
            <w:tcW w:w="1395" w:type="pct"/>
            <w:tcBorders>
              <w:top w:val="single" w:sz="4" w:space="0" w:color="auto"/>
              <w:left w:val="nil"/>
              <w:bottom w:val="single" w:sz="4" w:space="0" w:color="auto"/>
              <w:right w:val="double" w:sz="6" w:space="0" w:color="auto"/>
            </w:tcBorders>
            <w:shd w:val="clear" w:color="auto" w:fill="auto"/>
            <w:noWrap/>
            <w:hideMark/>
          </w:tcPr>
          <w:p w14:paraId="5225334D" w14:textId="77777777" w:rsidR="008617C7" w:rsidRPr="00602B2C" w:rsidRDefault="008617C7" w:rsidP="008617C7">
            <w:pPr>
              <w:spacing w:after="0" w:line="240" w:lineRule="auto"/>
              <w:rPr>
                <w:color w:val="000000"/>
                <w:sz w:val="20"/>
                <w:szCs w:val="20"/>
              </w:rPr>
            </w:pPr>
            <w:r w:rsidRPr="00602B2C">
              <w:rPr>
                <w:color w:val="000000"/>
                <w:sz w:val="20"/>
                <w:szCs w:val="20"/>
              </w:rPr>
              <w:t>deathDate</w:t>
            </w:r>
          </w:p>
        </w:tc>
      </w:tr>
      <w:tr w:rsidR="008617C7" w:rsidRPr="00602B2C" w14:paraId="427646B3" w14:textId="77777777" w:rsidTr="00107813">
        <w:trPr>
          <w:cantSplit/>
        </w:trPr>
        <w:tc>
          <w:tcPr>
            <w:tcW w:w="1856" w:type="pct"/>
            <w:tcBorders>
              <w:top w:val="single" w:sz="4" w:space="0" w:color="auto"/>
              <w:left w:val="double" w:sz="6" w:space="0" w:color="auto"/>
              <w:bottom w:val="double" w:sz="6" w:space="0" w:color="auto"/>
              <w:right w:val="single" w:sz="8" w:space="0" w:color="auto"/>
            </w:tcBorders>
            <w:shd w:val="clear" w:color="auto" w:fill="auto"/>
            <w:hideMark/>
          </w:tcPr>
          <w:p w14:paraId="729284F4" w14:textId="77777777" w:rsidR="008617C7" w:rsidRPr="00602B2C" w:rsidRDefault="008617C7" w:rsidP="008617C7">
            <w:pPr>
              <w:spacing w:after="0" w:line="240" w:lineRule="auto"/>
              <w:rPr>
                <w:color w:val="000000"/>
                <w:sz w:val="20"/>
                <w:szCs w:val="20"/>
              </w:rPr>
            </w:pPr>
            <w:r w:rsidRPr="00602B2C">
              <w:rPr>
                <w:color w:val="000000"/>
                <w:sz w:val="20"/>
                <w:szCs w:val="20"/>
              </w:rPr>
              <w:t>Patient Class</w:t>
            </w:r>
          </w:p>
        </w:tc>
        <w:tc>
          <w:tcPr>
            <w:tcW w:w="1749" w:type="pct"/>
            <w:tcBorders>
              <w:top w:val="single" w:sz="4" w:space="0" w:color="auto"/>
              <w:left w:val="nil"/>
              <w:bottom w:val="double" w:sz="6" w:space="0" w:color="auto"/>
              <w:right w:val="single" w:sz="8" w:space="0" w:color="auto"/>
            </w:tcBorders>
            <w:shd w:val="clear" w:color="auto" w:fill="auto"/>
            <w:noWrap/>
            <w:hideMark/>
          </w:tcPr>
          <w:p w14:paraId="7A03757B" w14:textId="77777777" w:rsidR="008617C7" w:rsidRPr="00602B2C" w:rsidRDefault="008617C7" w:rsidP="008617C7">
            <w:pPr>
              <w:spacing w:after="0" w:line="240" w:lineRule="auto"/>
              <w:rPr>
                <w:color w:val="000000"/>
                <w:sz w:val="20"/>
                <w:szCs w:val="20"/>
              </w:rPr>
            </w:pPr>
            <w:r w:rsidRPr="00602B2C">
              <w:rPr>
                <w:color w:val="000000"/>
                <w:sz w:val="20"/>
                <w:szCs w:val="20"/>
              </w:rPr>
              <w:t>PatientEncounter</w:t>
            </w:r>
          </w:p>
        </w:tc>
        <w:tc>
          <w:tcPr>
            <w:tcW w:w="1395" w:type="pct"/>
            <w:tcBorders>
              <w:top w:val="single" w:sz="4" w:space="0" w:color="auto"/>
              <w:left w:val="nil"/>
              <w:bottom w:val="double" w:sz="6" w:space="0" w:color="auto"/>
              <w:right w:val="double" w:sz="6" w:space="0" w:color="auto"/>
            </w:tcBorders>
            <w:shd w:val="clear" w:color="auto" w:fill="auto"/>
            <w:noWrap/>
            <w:hideMark/>
          </w:tcPr>
          <w:p w14:paraId="71BEDECD" w14:textId="77777777" w:rsidR="008617C7" w:rsidRPr="00602B2C" w:rsidRDefault="008617C7" w:rsidP="008617C7">
            <w:pPr>
              <w:spacing w:after="0" w:line="240" w:lineRule="auto"/>
              <w:rPr>
                <w:color w:val="000000"/>
                <w:sz w:val="20"/>
                <w:szCs w:val="20"/>
              </w:rPr>
            </w:pPr>
            <w:r w:rsidRPr="00602B2C">
              <w:rPr>
                <w:color w:val="000000"/>
                <w:sz w:val="20"/>
                <w:szCs w:val="20"/>
              </w:rPr>
              <w:t>typeCode</w:t>
            </w:r>
          </w:p>
        </w:tc>
      </w:tr>
    </w:tbl>
    <w:p w14:paraId="2950DC50" w14:textId="77777777" w:rsidR="00271B95" w:rsidRDefault="00271B95" w:rsidP="00107813">
      <w:pPr>
        <w:spacing w:after="0" w:line="240" w:lineRule="auto"/>
        <w:rPr>
          <w:b/>
          <w:sz w:val="28"/>
          <w:szCs w:val="28"/>
        </w:rPr>
      </w:pPr>
      <w:bookmarkStart w:id="498" w:name="_Toc434507889"/>
      <w:bookmarkStart w:id="499" w:name="_Toc436033867"/>
    </w:p>
    <w:p w14:paraId="696EEEC3" w14:textId="77777777" w:rsidR="00271B95" w:rsidRDefault="00271B95">
      <w:pPr>
        <w:rPr>
          <w:b/>
          <w:sz w:val="28"/>
          <w:szCs w:val="28"/>
        </w:rPr>
      </w:pPr>
      <w:r>
        <w:rPr>
          <w:b/>
          <w:sz w:val="28"/>
          <w:szCs w:val="28"/>
        </w:rPr>
        <w:lastRenderedPageBreak/>
        <w:br w:type="page"/>
      </w:r>
    </w:p>
    <w:p w14:paraId="34FB8FA0" w14:textId="50F3870F" w:rsidR="005B4207" w:rsidRDefault="00107813" w:rsidP="00107813">
      <w:pPr>
        <w:spacing w:after="0" w:line="240" w:lineRule="auto"/>
        <w:rPr>
          <w:b/>
          <w:sz w:val="28"/>
          <w:szCs w:val="28"/>
        </w:rPr>
      </w:pPr>
      <w:r>
        <w:rPr>
          <w:b/>
          <w:sz w:val="28"/>
          <w:szCs w:val="28"/>
        </w:rPr>
        <w:lastRenderedPageBreak/>
        <w:t>3.7 eICR</w:t>
      </w:r>
      <w:r w:rsidR="00010BDF" w:rsidRPr="00602B2C">
        <w:rPr>
          <w:b/>
          <w:sz w:val="28"/>
          <w:szCs w:val="28"/>
        </w:rPr>
        <w:t xml:space="preserve"> Template </w:t>
      </w:r>
      <w:bookmarkEnd w:id="498"/>
      <w:r w:rsidR="00B1681B" w:rsidRPr="00602B2C">
        <w:rPr>
          <w:b/>
          <w:sz w:val="28"/>
          <w:szCs w:val="28"/>
        </w:rPr>
        <w:t>Hierarchy</w:t>
      </w:r>
      <w:bookmarkEnd w:id="499"/>
      <w:r w:rsidR="000D72E7">
        <w:rPr>
          <w:b/>
          <w:sz w:val="28"/>
          <w:szCs w:val="28"/>
        </w:rPr>
        <w:t xml:space="preserve"> (Figure 10)</w:t>
      </w:r>
    </w:p>
    <w:p w14:paraId="152272B1" w14:textId="69A3EE22" w:rsidR="00107813" w:rsidRPr="00107813" w:rsidRDefault="00107813" w:rsidP="00107813">
      <w:pPr>
        <w:rPr>
          <w:sz w:val="20"/>
        </w:rPr>
      </w:pPr>
    </w:p>
    <w:tbl>
      <w:tblPr>
        <w:tblW w:w="4756" w:type="pct"/>
        <w:tblLayout w:type="fixed"/>
        <w:tblLook w:val="04A0" w:firstRow="1" w:lastRow="0" w:firstColumn="1" w:lastColumn="0" w:noHBand="0" w:noVBand="1"/>
      </w:tblPr>
      <w:tblGrid>
        <w:gridCol w:w="1440"/>
        <w:gridCol w:w="2898"/>
        <w:gridCol w:w="2053"/>
        <w:gridCol w:w="2718"/>
      </w:tblGrid>
      <w:tr w:rsidR="006145A7" w:rsidRPr="00293796" w14:paraId="0B65B949" w14:textId="77777777" w:rsidTr="00280D56">
        <w:trPr>
          <w:cantSplit/>
          <w:tblHeader/>
        </w:trPr>
        <w:tc>
          <w:tcPr>
            <w:tcW w:w="790" w:type="pct"/>
            <w:tcBorders>
              <w:top w:val="double" w:sz="6" w:space="0" w:color="auto"/>
              <w:left w:val="double" w:sz="6" w:space="0" w:color="auto"/>
              <w:bottom w:val="single" w:sz="4" w:space="0" w:color="auto"/>
              <w:right w:val="single" w:sz="8" w:space="0" w:color="auto"/>
            </w:tcBorders>
            <w:shd w:val="clear" w:color="000000" w:fill="00B0F0"/>
            <w:hideMark/>
          </w:tcPr>
          <w:p w14:paraId="7CFEC520" w14:textId="083D41CD" w:rsidR="006145A7" w:rsidRPr="00293796" w:rsidRDefault="001208EA" w:rsidP="00280D56">
            <w:pPr>
              <w:spacing w:after="0" w:line="240" w:lineRule="auto"/>
              <w:rPr>
                <w:rFonts w:ascii="Calibri" w:hAnsi="Calibri"/>
                <w:b/>
                <w:bCs/>
                <w:color w:val="000000"/>
                <w:szCs w:val="20"/>
              </w:rPr>
            </w:pPr>
            <w:bookmarkStart w:id="500" w:name="_Toc434507890"/>
            <w:r>
              <w:rPr>
                <w:rFonts w:ascii="Calibri" w:eastAsia="Calibri" w:hAnsi="Calibri" w:cs="Calibri"/>
                <w:noProof/>
                <w:color w:val="365F91"/>
                <w:sz w:val="28"/>
              </w:rPr>
              <w:drawing>
                <wp:inline distT="0" distB="0" distL="0" distR="0" wp14:anchorId="0F1A34C5" wp14:editId="43BEF34D">
                  <wp:extent cx="5943600" cy="3322955"/>
                  <wp:effectExtent l="0" t="412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Hierarchy 20160505.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943600" cy="3322955"/>
                          </a:xfrm>
                          <a:prstGeom prst="rect">
                            <a:avLst/>
                          </a:prstGeom>
                        </pic:spPr>
                      </pic:pic>
                    </a:graphicData>
                  </a:graphic>
                </wp:inline>
              </w:drawing>
            </w:r>
            <w:r w:rsidR="00E70C43">
              <w:br w:type="column"/>
            </w:r>
            <w:bookmarkStart w:id="501" w:name="_Toc436033868"/>
            <w:r w:rsidR="00E70C43" w:rsidRPr="009C77AB">
              <w:rPr>
                <w:b/>
              </w:rPr>
              <w:t>3</w:t>
            </w:r>
            <w:r w:rsidR="009C77AB" w:rsidRPr="009C77AB">
              <w:rPr>
                <w:b/>
              </w:rPr>
              <w:t xml:space="preserve">.8  </w:t>
            </w:r>
            <w:r w:rsidR="00010BDF" w:rsidRPr="009C77AB">
              <w:rPr>
                <w:b/>
              </w:rPr>
              <w:t>Mapping of elements to IG Templates</w:t>
            </w:r>
            <w:bookmarkEnd w:id="500"/>
            <w:bookmarkEnd w:id="501"/>
            <w:r w:rsidR="00107813">
              <w:rPr>
                <w:b/>
              </w:rPr>
              <w:t xml:space="preserve"> (Table 5)</w:t>
            </w:r>
            <w:r w:rsidR="006145A7">
              <w:rPr>
                <w:rFonts w:ascii="Calibri" w:hAnsi="Calibri"/>
                <w:b/>
                <w:bCs/>
                <w:color w:val="000000"/>
                <w:szCs w:val="20"/>
              </w:rPr>
              <w:t>Data Element</w:t>
            </w:r>
          </w:p>
        </w:tc>
        <w:tc>
          <w:tcPr>
            <w:tcW w:w="1591" w:type="pct"/>
            <w:tcBorders>
              <w:top w:val="double" w:sz="6" w:space="0" w:color="auto"/>
              <w:left w:val="nil"/>
              <w:bottom w:val="single" w:sz="4" w:space="0" w:color="auto"/>
              <w:right w:val="single" w:sz="8" w:space="0" w:color="auto"/>
            </w:tcBorders>
            <w:shd w:val="clear" w:color="000000" w:fill="FFC000"/>
            <w:hideMark/>
          </w:tcPr>
          <w:p w14:paraId="54DD5E2D" w14:textId="77777777" w:rsidR="006145A7" w:rsidRPr="00293796" w:rsidRDefault="006145A7" w:rsidP="00280D56">
            <w:pPr>
              <w:spacing w:after="0" w:line="240" w:lineRule="auto"/>
              <w:rPr>
                <w:rFonts w:ascii="Calibri" w:hAnsi="Calibri"/>
                <w:b/>
                <w:bCs/>
                <w:color w:val="000000"/>
                <w:szCs w:val="20"/>
              </w:rPr>
            </w:pPr>
            <w:r w:rsidRPr="00293796">
              <w:rPr>
                <w:rFonts w:ascii="Calibri" w:hAnsi="Calibri"/>
                <w:b/>
                <w:bCs/>
                <w:color w:val="000000"/>
                <w:szCs w:val="20"/>
              </w:rPr>
              <w:t>IG Template</w:t>
            </w:r>
          </w:p>
        </w:tc>
        <w:tc>
          <w:tcPr>
            <w:tcW w:w="1127" w:type="pct"/>
            <w:tcBorders>
              <w:top w:val="double" w:sz="6" w:space="0" w:color="auto"/>
              <w:left w:val="nil"/>
              <w:bottom w:val="single" w:sz="4" w:space="0" w:color="auto"/>
              <w:right w:val="single" w:sz="4" w:space="0" w:color="auto"/>
            </w:tcBorders>
            <w:shd w:val="clear" w:color="000000" w:fill="FFC000"/>
          </w:tcPr>
          <w:p w14:paraId="4B72C06F" w14:textId="77777777" w:rsidR="006145A7" w:rsidRPr="002D2A32" w:rsidRDefault="006145A7" w:rsidP="00280D56">
            <w:r w:rsidRPr="00D97170">
              <w:rPr>
                <w:rFonts w:ascii="Calibri" w:hAnsi="Calibri"/>
                <w:b/>
                <w:bCs/>
                <w:color w:val="000000"/>
                <w:szCs w:val="20"/>
              </w:rPr>
              <w:t>IG Constraint (Conformance Identifier)</w:t>
            </w:r>
          </w:p>
        </w:tc>
        <w:tc>
          <w:tcPr>
            <w:tcW w:w="1492" w:type="pct"/>
            <w:tcBorders>
              <w:top w:val="double" w:sz="6" w:space="0" w:color="auto"/>
              <w:left w:val="single" w:sz="4" w:space="0" w:color="auto"/>
              <w:bottom w:val="single" w:sz="4" w:space="0" w:color="auto"/>
              <w:right w:val="double" w:sz="6" w:space="0" w:color="auto"/>
            </w:tcBorders>
            <w:shd w:val="clear" w:color="000000" w:fill="FFC000"/>
            <w:noWrap/>
            <w:hideMark/>
          </w:tcPr>
          <w:p w14:paraId="0C4D453C" w14:textId="77777777" w:rsidR="006145A7" w:rsidRPr="00293796" w:rsidRDefault="006145A7" w:rsidP="00280D56">
            <w:pPr>
              <w:spacing w:after="0" w:line="240" w:lineRule="auto"/>
              <w:rPr>
                <w:rFonts w:ascii="Calibri" w:hAnsi="Calibri"/>
                <w:b/>
                <w:bCs/>
                <w:color w:val="000000"/>
                <w:szCs w:val="20"/>
              </w:rPr>
            </w:pPr>
            <w:r w:rsidRPr="00293796">
              <w:rPr>
                <w:rFonts w:ascii="Calibri" w:hAnsi="Calibri"/>
                <w:b/>
                <w:bCs/>
                <w:color w:val="000000"/>
                <w:szCs w:val="20"/>
              </w:rPr>
              <w:t>Note</w:t>
            </w:r>
          </w:p>
        </w:tc>
      </w:tr>
      <w:tr w:rsidR="006145A7" w:rsidRPr="00293796" w14:paraId="06E0DB1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881D89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Date of the Report</w:t>
            </w:r>
          </w:p>
        </w:tc>
        <w:tc>
          <w:tcPr>
            <w:tcW w:w="1591" w:type="pct"/>
            <w:tcBorders>
              <w:top w:val="nil"/>
              <w:left w:val="nil"/>
              <w:bottom w:val="single" w:sz="4" w:space="0" w:color="auto"/>
              <w:right w:val="single" w:sz="8" w:space="0" w:color="auto"/>
            </w:tcBorders>
            <w:shd w:val="clear" w:color="auto" w:fill="auto"/>
            <w:hideMark/>
          </w:tcPr>
          <w:p w14:paraId="086020F5"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6ADD1EA2"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(CONF:1198-5256)</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FED1F9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5AF35F9B"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7B42AE6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Provider ID</w:t>
            </w:r>
          </w:p>
        </w:tc>
        <w:tc>
          <w:tcPr>
            <w:tcW w:w="1591" w:type="pct"/>
            <w:tcBorders>
              <w:top w:val="nil"/>
              <w:left w:val="nil"/>
              <w:bottom w:val="single" w:sz="4" w:space="0" w:color="auto"/>
              <w:right w:val="single" w:sz="8" w:space="0" w:color="auto"/>
            </w:tcBorders>
            <w:shd w:val="clear" w:color="auto" w:fill="auto"/>
            <w:hideMark/>
          </w:tcPr>
          <w:p w14:paraId="482A124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10B9AFD"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05459F0D"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Th</w:t>
            </w:r>
            <w:r w:rsidRPr="00EA3B1F">
              <w:rPr>
                <w:rFonts w:ascii="Calibri" w:hAnsi="Calibri"/>
                <w:color w:val="000000"/>
                <w:szCs w:val="20"/>
              </w:rPr>
              <w:t>is data element can repeat.</w:t>
            </w:r>
          </w:p>
        </w:tc>
      </w:tr>
      <w:tr w:rsidR="006145A7" w:rsidRPr="00293796" w14:paraId="127E5933"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45A7ABC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Provider Name</w:t>
            </w:r>
          </w:p>
        </w:tc>
        <w:tc>
          <w:tcPr>
            <w:tcW w:w="1591" w:type="pct"/>
            <w:tcBorders>
              <w:top w:val="nil"/>
              <w:left w:val="nil"/>
              <w:bottom w:val="single" w:sz="4" w:space="0" w:color="auto"/>
              <w:right w:val="single" w:sz="8" w:space="0" w:color="auto"/>
            </w:tcBorders>
            <w:shd w:val="clear" w:color="auto" w:fill="auto"/>
            <w:hideMark/>
          </w:tcPr>
          <w:p w14:paraId="4C74DAE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39FF07A5"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(CONF:2218-25)</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07D5071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08F058F9"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1430AA75"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Provider Phone</w:t>
            </w:r>
          </w:p>
        </w:tc>
        <w:tc>
          <w:tcPr>
            <w:tcW w:w="1591" w:type="pct"/>
            <w:tcBorders>
              <w:top w:val="nil"/>
              <w:left w:val="nil"/>
              <w:bottom w:val="single" w:sz="4" w:space="0" w:color="auto"/>
              <w:right w:val="single" w:sz="8" w:space="0" w:color="auto"/>
            </w:tcBorders>
            <w:shd w:val="clear" w:color="auto" w:fill="auto"/>
            <w:hideMark/>
          </w:tcPr>
          <w:p w14:paraId="2A08156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32B0F61"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5F9BDB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‘tel:’.  Th</w:t>
            </w:r>
            <w:r w:rsidRPr="00EA3B1F">
              <w:rPr>
                <w:rFonts w:ascii="Calibri" w:hAnsi="Calibri"/>
                <w:color w:val="000000"/>
                <w:szCs w:val="20"/>
              </w:rPr>
              <w:t>is data element can repeat.</w:t>
            </w:r>
          </w:p>
        </w:tc>
      </w:tr>
      <w:tr w:rsidR="006145A7" w:rsidRPr="00293796" w14:paraId="1CD6155F"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791F83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Provider Fax</w:t>
            </w:r>
          </w:p>
        </w:tc>
        <w:tc>
          <w:tcPr>
            <w:tcW w:w="1591" w:type="pct"/>
            <w:tcBorders>
              <w:top w:val="nil"/>
              <w:left w:val="nil"/>
              <w:bottom w:val="single" w:sz="4" w:space="0" w:color="auto"/>
              <w:right w:val="single" w:sz="8" w:space="0" w:color="auto"/>
            </w:tcBorders>
            <w:shd w:val="clear" w:color="auto" w:fill="auto"/>
            <w:hideMark/>
          </w:tcPr>
          <w:p w14:paraId="05EB17F7"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27031FFF"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DEF352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‘tel:’.  Th</w:t>
            </w:r>
            <w:r w:rsidRPr="00EA3B1F">
              <w:rPr>
                <w:rFonts w:ascii="Calibri" w:hAnsi="Calibri"/>
                <w:color w:val="000000"/>
                <w:szCs w:val="20"/>
              </w:rPr>
              <w:t>is data element can repeat.</w:t>
            </w:r>
          </w:p>
        </w:tc>
      </w:tr>
      <w:tr w:rsidR="006145A7" w:rsidRPr="00293796" w14:paraId="0A93509C"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BFEA3F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Provider Email</w:t>
            </w:r>
          </w:p>
        </w:tc>
        <w:tc>
          <w:tcPr>
            <w:tcW w:w="1591" w:type="pct"/>
            <w:tcBorders>
              <w:top w:val="nil"/>
              <w:left w:val="nil"/>
              <w:bottom w:val="single" w:sz="4" w:space="0" w:color="auto"/>
              <w:right w:val="single" w:sz="8" w:space="0" w:color="auto"/>
            </w:tcBorders>
            <w:shd w:val="clear" w:color="auto" w:fill="auto"/>
            <w:hideMark/>
          </w:tcPr>
          <w:p w14:paraId="52E44ADD"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B18D2DC"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25DFBD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mailto</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7D596C7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0881A8E"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Provider Facility/Office Name</w:t>
            </w:r>
          </w:p>
        </w:tc>
        <w:tc>
          <w:tcPr>
            <w:tcW w:w="1591" w:type="pct"/>
            <w:tcBorders>
              <w:top w:val="nil"/>
              <w:left w:val="nil"/>
              <w:bottom w:val="single" w:sz="4" w:space="0" w:color="auto"/>
              <w:right w:val="single" w:sz="8" w:space="0" w:color="auto"/>
            </w:tcBorders>
            <w:shd w:val="clear" w:color="auto" w:fill="auto"/>
            <w:hideMark/>
          </w:tcPr>
          <w:p w14:paraId="106FA80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268E0AB5"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(CONF:2218-26)</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23D866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0EE2EEC9"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AA3E02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Provider Address</w:t>
            </w:r>
          </w:p>
        </w:tc>
        <w:tc>
          <w:tcPr>
            <w:tcW w:w="1591" w:type="pct"/>
            <w:tcBorders>
              <w:top w:val="nil"/>
              <w:left w:val="nil"/>
              <w:bottom w:val="single" w:sz="4" w:space="0" w:color="auto"/>
              <w:right w:val="single" w:sz="8" w:space="0" w:color="auto"/>
            </w:tcBorders>
            <w:shd w:val="clear" w:color="auto" w:fill="auto"/>
            <w:hideMark/>
          </w:tcPr>
          <w:p w14:paraId="2BDB5C5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972281C"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(CONF:2218-27)</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4B797DF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42AF3F21"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2EF5E6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Facility ID Number</w:t>
            </w:r>
          </w:p>
        </w:tc>
        <w:tc>
          <w:tcPr>
            <w:tcW w:w="1591" w:type="pct"/>
            <w:tcBorders>
              <w:top w:val="nil"/>
              <w:left w:val="nil"/>
              <w:bottom w:val="single" w:sz="4" w:space="0" w:color="auto"/>
              <w:right w:val="single" w:sz="8" w:space="0" w:color="auto"/>
            </w:tcBorders>
            <w:shd w:val="clear" w:color="auto" w:fill="auto"/>
            <w:hideMark/>
          </w:tcPr>
          <w:p w14:paraId="24045C0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564C03A9"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(CONF:2218-13)</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D35594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4A6A5D82"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815A74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Facility Name</w:t>
            </w:r>
          </w:p>
        </w:tc>
        <w:tc>
          <w:tcPr>
            <w:tcW w:w="1591" w:type="pct"/>
            <w:tcBorders>
              <w:top w:val="nil"/>
              <w:left w:val="nil"/>
              <w:bottom w:val="single" w:sz="4" w:space="0" w:color="auto"/>
              <w:right w:val="single" w:sz="8" w:space="0" w:color="auto"/>
            </w:tcBorders>
            <w:shd w:val="clear" w:color="auto" w:fill="auto"/>
            <w:hideMark/>
          </w:tcPr>
          <w:p w14:paraId="51BE79C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3518E5F"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(CONF:2218-33)</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ACFA14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40E6E62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D9219B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Facility Type</w:t>
            </w:r>
          </w:p>
        </w:tc>
        <w:tc>
          <w:tcPr>
            <w:tcW w:w="1591" w:type="pct"/>
            <w:tcBorders>
              <w:top w:val="nil"/>
              <w:left w:val="nil"/>
              <w:bottom w:val="single" w:sz="4" w:space="0" w:color="auto"/>
              <w:right w:val="single" w:sz="8" w:space="0" w:color="auto"/>
            </w:tcBorders>
            <w:shd w:val="clear" w:color="auto" w:fill="auto"/>
            <w:hideMark/>
          </w:tcPr>
          <w:p w14:paraId="18F18B5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057BB791"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(CONF:2218-14)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63DEE2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77A09EC5"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75191E3E"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Facility Phone</w:t>
            </w:r>
          </w:p>
        </w:tc>
        <w:tc>
          <w:tcPr>
            <w:tcW w:w="1591" w:type="pct"/>
            <w:tcBorders>
              <w:top w:val="nil"/>
              <w:left w:val="nil"/>
              <w:bottom w:val="single" w:sz="4" w:space="0" w:color="auto"/>
              <w:right w:val="single" w:sz="8" w:space="0" w:color="auto"/>
            </w:tcBorders>
            <w:shd w:val="clear" w:color="auto" w:fill="auto"/>
            <w:hideMark/>
          </w:tcPr>
          <w:p w14:paraId="5FAA1ED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C6D2027"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(CONF:2218-34)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177450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tel</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691FCFCB"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7F7DB5B"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Facility FAX</w:t>
            </w:r>
          </w:p>
        </w:tc>
        <w:tc>
          <w:tcPr>
            <w:tcW w:w="1591" w:type="pct"/>
            <w:tcBorders>
              <w:top w:val="nil"/>
              <w:left w:val="nil"/>
              <w:bottom w:val="single" w:sz="4" w:space="0" w:color="auto"/>
              <w:right w:val="single" w:sz="8" w:space="0" w:color="auto"/>
            </w:tcBorders>
            <w:shd w:val="clear" w:color="auto" w:fill="auto"/>
            <w:hideMark/>
          </w:tcPr>
          <w:p w14:paraId="2AA7329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6B4B857E"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(CONF:2218-34)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4B4D220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tel</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13BEC2A9"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47389B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Facility Address</w:t>
            </w:r>
          </w:p>
        </w:tc>
        <w:tc>
          <w:tcPr>
            <w:tcW w:w="1591" w:type="pct"/>
            <w:tcBorders>
              <w:top w:val="nil"/>
              <w:left w:val="nil"/>
              <w:bottom w:val="single" w:sz="4" w:space="0" w:color="auto"/>
              <w:right w:val="single" w:sz="8" w:space="0" w:color="auto"/>
            </w:tcBorders>
            <w:shd w:val="clear" w:color="auto" w:fill="auto"/>
            <w:hideMark/>
          </w:tcPr>
          <w:p w14:paraId="5F78268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F6BB19D"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(CONF:2218-32)</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018984F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Pr>
                <w:rFonts w:ascii="Calibri" w:hAnsi="Calibri"/>
                <w:color w:val="000000"/>
                <w:szCs w:val="20"/>
              </w:rPr>
              <w:t>Th</w:t>
            </w:r>
            <w:r w:rsidRPr="00EA3B1F">
              <w:rPr>
                <w:rFonts w:ascii="Calibri" w:hAnsi="Calibri"/>
                <w:color w:val="000000"/>
                <w:szCs w:val="20"/>
              </w:rPr>
              <w:t>is data element can repeat.</w:t>
            </w:r>
          </w:p>
        </w:tc>
      </w:tr>
      <w:tr w:rsidR="006145A7" w:rsidRPr="00293796" w14:paraId="3CEB45E0"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183E9973"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lastRenderedPageBreak/>
              <w:t>Patient Class</w:t>
            </w:r>
          </w:p>
        </w:tc>
        <w:tc>
          <w:tcPr>
            <w:tcW w:w="1591" w:type="pct"/>
            <w:tcBorders>
              <w:top w:val="nil"/>
              <w:left w:val="nil"/>
              <w:bottom w:val="single" w:sz="4" w:space="0" w:color="auto"/>
              <w:right w:val="single" w:sz="8" w:space="0" w:color="auto"/>
            </w:tcBorders>
            <w:shd w:val="clear" w:color="auto" w:fill="auto"/>
            <w:hideMark/>
          </w:tcPr>
          <w:p w14:paraId="34919DC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515E4740"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8E038AE" w14:textId="77777777" w:rsidR="006145A7" w:rsidRPr="00293796" w:rsidRDefault="006145A7" w:rsidP="00280D56">
            <w:pPr>
              <w:spacing w:after="0" w:line="240" w:lineRule="auto"/>
              <w:rPr>
                <w:rFonts w:ascii="Calibri" w:hAnsi="Calibri"/>
                <w:color w:val="000000"/>
                <w:szCs w:val="20"/>
              </w:rPr>
            </w:pPr>
          </w:p>
        </w:tc>
      </w:tr>
      <w:tr w:rsidR="006145A7" w:rsidRPr="00293796" w14:paraId="621B4E29"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28E473F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Patient ID Number</w:t>
            </w:r>
          </w:p>
        </w:tc>
        <w:tc>
          <w:tcPr>
            <w:tcW w:w="1591" w:type="pct"/>
            <w:tcBorders>
              <w:top w:val="nil"/>
              <w:left w:val="nil"/>
              <w:bottom w:val="single" w:sz="4" w:space="0" w:color="auto"/>
              <w:right w:val="single" w:sz="8" w:space="0" w:color="auto"/>
            </w:tcBorders>
            <w:shd w:val="clear" w:color="auto" w:fill="auto"/>
            <w:hideMark/>
          </w:tcPr>
          <w:p w14:paraId="5F41E9E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7EB62F15"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(CONF:1198-5268)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E392A5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Pr>
                <w:rFonts w:ascii="Calibri" w:hAnsi="Calibri"/>
                <w:color w:val="000000"/>
                <w:szCs w:val="20"/>
              </w:rPr>
              <w:t>Th</w:t>
            </w:r>
            <w:r w:rsidRPr="00EA3B1F">
              <w:rPr>
                <w:rFonts w:ascii="Calibri" w:hAnsi="Calibri"/>
                <w:color w:val="000000"/>
                <w:szCs w:val="20"/>
              </w:rPr>
              <w:t>is data element can repeat.</w:t>
            </w:r>
          </w:p>
        </w:tc>
      </w:tr>
      <w:tr w:rsidR="006145A7" w:rsidRPr="00293796" w14:paraId="36674D0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4C9257F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Patient Name</w:t>
            </w:r>
          </w:p>
        </w:tc>
        <w:tc>
          <w:tcPr>
            <w:tcW w:w="1591" w:type="pct"/>
            <w:tcBorders>
              <w:top w:val="nil"/>
              <w:left w:val="nil"/>
              <w:bottom w:val="single" w:sz="4" w:space="0" w:color="auto"/>
              <w:right w:val="single" w:sz="8" w:space="0" w:color="auto"/>
            </w:tcBorders>
            <w:shd w:val="clear" w:color="auto" w:fill="auto"/>
            <w:hideMark/>
          </w:tcPr>
          <w:p w14:paraId="25451C6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675FA9C8"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(CONF:1198-5284)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5C013BFD"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Pr>
                <w:rFonts w:ascii="Calibri" w:hAnsi="Calibri"/>
                <w:color w:val="000000"/>
                <w:szCs w:val="20"/>
              </w:rPr>
              <w:t>Th</w:t>
            </w:r>
            <w:r w:rsidRPr="00EA3B1F">
              <w:rPr>
                <w:rFonts w:ascii="Calibri" w:hAnsi="Calibri"/>
                <w:color w:val="000000"/>
                <w:szCs w:val="20"/>
              </w:rPr>
              <w:t>is data element can repeat.</w:t>
            </w:r>
          </w:p>
        </w:tc>
      </w:tr>
      <w:tr w:rsidR="006145A7" w:rsidRPr="00293796" w14:paraId="06E0ACEB"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tcPr>
          <w:p w14:paraId="3403B40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Patient Phone</w:t>
            </w:r>
          </w:p>
        </w:tc>
        <w:tc>
          <w:tcPr>
            <w:tcW w:w="1591" w:type="pct"/>
            <w:tcBorders>
              <w:top w:val="nil"/>
              <w:left w:val="nil"/>
              <w:bottom w:val="single" w:sz="4" w:space="0" w:color="auto"/>
              <w:right w:val="single" w:sz="8" w:space="0" w:color="auto"/>
            </w:tcBorders>
            <w:shd w:val="clear" w:color="auto" w:fill="auto"/>
          </w:tcPr>
          <w:p w14:paraId="0D1E554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5FB93085"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(CONF:1198-5280)</w:t>
            </w:r>
          </w:p>
        </w:tc>
        <w:tc>
          <w:tcPr>
            <w:tcW w:w="1492" w:type="pct"/>
            <w:tcBorders>
              <w:top w:val="single" w:sz="4" w:space="0" w:color="auto"/>
              <w:left w:val="single" w:sz="4" w:space="0" w:color="auto"/>
              <w:bottom w:val="single" w:sz="4" w:space="0" w:color="auto"/>
              <w:right w:val="double" w:sz="6" w:space="0" w:color="auto"/>
            </w:tcBorders>
            <w:shd w:val="clear" w:color="auto" w:fill="auto"/>
            <w:noWrap/>
          </w:tcPr>
          <w:p w14:paraId="5E8747F7"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tel</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31D0CEA2"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tcPr>
          <w:p w14:paraId="74567335"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 xml:space="preserve">Patient </w:t>
            </w:r>
            <w:r w:rsidRPr="00293796">
              <w:rPr>
                <w:rFonts w:ascii="Calibri" w:hAnsi="Calibri"/>
                <w:color w:val="000000"/>
                <w:szCs w:val="20"/>
              </w:rPr>
              <w:t>Email</w:t>
            </w:r>
          </w:p>
        </w:tc>
        <w:tc>
          <w:tcPr>
            <w:tcW w:w="1591" w:type="pct"/>
            <w:tcBorders>
              <w:top w:val="nil"/>
              <w:left w:val="nil"/>
              <w:bottom w:val="single" w:sz="4" w:space="0" w:color="auto"/>
              <w:right w:val="single" w:sz="8" w:space="0" w:color="auto"/>
            </w:tcBorders>
            <w:shd w:val="clear" w:color="auto" w:fill="auto"/>
          </w:tcPr>
          <w:p w14:paraId="338EAF2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03E2C24B"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(CONF:1198-5280)</w:t>
            </w:r>
          </w:p>
        </w:tc>
        <w:tc>
          <w:tcPr>
            <w:tcW w:w="1492" w:type="pct"/>
            <w:tcBorders>
              <w:top w:val="single" w:sz="4" w:space="0" w:color="auto"/>
              <w:left w:val="single" w:sz="4" w:space="0" w:color="auto"/>
              <w:bottom w:val="single" w:sz="4" w:space="0" w:color="auto"/>
              <w:right w:val="double" w:sz="6" w:space="0" w:color="auto"/>
            </w:tcBorders>
            <w:shd w:val="clear" w:color="auto" w:fill="auto"/>
            <w:noWrap/>
          </w:tcPr>
          <w:p w14:paraId="2D44572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mailto</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10329BBE"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293F7A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Parent/Guardian Name</w:t>
            </w:r>
          </w:p>
        </w:tc>
        <w:tc>
          <w:tcPr>
            <w:tcW w:w="1591" w:type="pct"/>
            <w:tcBorders>
              <w:top w:val="nil"/>
              <w:left w:val="nil"/>
              <w:bottom w:val="single" w:sz="4" w:space="0" w:color="auto"/>
              <w:right w:val="single" w:sz="8" w:space="0" w:color="auto"/>
            </w:tcBorders>
            <w:shd w:val="clear" w:color="auto" w:fill="auto"/>
            <w:hideMark/>
          </w:tcPr>
          <w:p w14:paraId="7191144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65C44B6C"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(CONF:1198-5386)</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68E67D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Pr>
                <w:rFonts w:ascii="Calibri" w:hAnsi="Calibri"/>
                <w:color w:val="000000"/>
                <w:szCs w:val="20"/>
              </w:rPr>
              <w:t>Th</w:t>
            </w:r>
            <w:r w:rsidRPr="00EA3B1F">
              <w:rPr>
                <w:rFonts w:ascii="Calibri" w:hAnsi="Calibri"/>
                <w:color w:val="000000"/>
                <w:szCs w:val="20"/>
              </w:rPr>
              <w:t>is data element can repeat.</w:t>
            </w:r>
          </w:p>
        </w:tc>
      </w:tr>
      <w:tr w:rsidR="006145A7" w:rsidRPr="00293796" w14:paraId="0C3C8FCF"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08D8C7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Parent/Guardian Phone</w:t>
            </w:r>
          </w:p>
        </w:tc>
        <w:tc>
          <w:tcPr>
            <w:tcW w:w="1591" w:type="pct"/>
            <w:tcBorders>
              <w:top w:val="nil"/>
              <w:left w:val="nil"/>
              <w:bottom w:val="single" w:sz="4" w:space="0" w:color="auto"/>
              <w:right w:val="single" w:sz="8" w:space="0" w:color="auto"/>
            </w:tcBorders>
            <w:shd w:val="clear" w:color="auto" w:fill="auto"/>
            <w:hideMark/>
          </w:tcPr>
          <w:p w14:paraId="515151F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37C17FAA"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(CONF:1198-5382)</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154B7E6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tel</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1A7BDD20"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A65A4A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Parent/Guardian Email</w:t>
            </w:r>
          </w:p>
        </w:tc>
        <w:tc>
          <w:tcPr>
            <w:tcW w:w="1591" w:type="pct"/>
            <w:tcBorders>
              <w:top w:val="nil"/>
              <w:left w:val="nil"/>
              <w:bottom w:val="single" w:sz="4" w:space="0" w:color="auto"/>
              <w:right w:val="single" w:sz="8" w:space="0" w:color="auto"/>
            </w:tcBorders>
            <w:shd w:val="clear" w:color="auto" w:fill="auto"/>
            <w:hideMark/>
          </w:tcPr>
          <w:p w14:paraId="7869A9A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089F2EFD"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(CONF:1198-5382)</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5DDA4AFE"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URL.scheme = </w:t>
            </w:r>
            <w:r>
              <w:rPr>
                <w:rFonts w:ascii="Calibri" w:hAnsi="Calibri"/>
                <w:color w:val="000000"/>
                <w:szCs w:val="20"/>
              </w:rPr>
              <w:t>‘</w:t>
            </w:r>
            <w:r w:rsidRPr="00293796">
              <w:rPr>
                <w:rFonts w:ascii="Calibri" w:hAnsi="Calibri"/>
                <w:color w:val="000000"/>
                <w:szCs w:val="20"/>
              </w:rPr>
              <w:t>mailto</w:t>
            </w:r>
            <w:r>
              <w:rPr>
                <w:rFonts w:ascii="Calibri" w:hAnsi="Calibri"/>
                <w:color w:val="000000"/>
                <w:szCs w:val="20"/>
              </w:rPr>
              <w:t>:’.  Th</w:t>
            </w:r>
            <w:r w:rsidRPr="00EA3B1F">
              <w:rPr>
                <w:rFonts w:ascii="Calibri" w:hAnsi="Calibri"/>
                <w:color w:val="000000"/>
                <w:szCs w:val="20"/>
              </w:rPr>
              <w:t>is data element can repeat.</w:t>
            </w:r>
          </w:p>
        </w:tc>
      </w:tr>
      <w:tr w:rsidR="006145A7" w:rsidRPr="00293796" w14:paraId="17408B9E"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1CDEC8D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Street Address</w:t>
            </w:r>
          </w:p>
        </w:tc>
        <w:tc>
          <w:tcPr>
            <w:tcW w:w="1591" w:type="pct"/>
            <w:tcBorders>
              <w:top w:val="nil"/>
              <w:left w:val="nil"/>
              <w:bottom w:val="single" w:sz="4" w:space="0" w:color="auto"/>
              <w:right w:val="single" w:sz="8" w:space="0" w:color="auto"/>
            </w:tcBorders>
            <w:shd w:val="clear" w:color="auto" w:fill="auto"/>
            <w:hideMark/>
          </w:tcPr>
          <w:p w14:paraId="29CC1DD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16A0FE33"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(CONF:1198-5271)</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944962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Pr>
                <w:rFonts w:ascii="Calibri" w:hAnsi="Calibri"/>
                <w:color w:val="000000"/>
                <w:szCs w:val="20"/>
              </w:rPr>
              <w:t>Th</w:t>
            </w:r>
            <w:r w:rsidRPr="00EA3B1F">
              <w:rPr>
                <w:rFonts w:ascii="Calibri" w:hAnsi="Calibri"/>
                <w:color w:val="000000"/>
                <w:szCs w:val="20"/>
              </w:rPr>
              <w:t>is data element can repeat.</w:t>
            </w:r>
          </w:p>
        </w:tc>
      </w:tr>
      <w:tr w:rsidR="006145A7" w:rsidRPr="00293796" w14:paraId="6AEF35D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2238EA2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Birth Date</w:t>
            </w:r>
          </w:p>
        </w:tc>
        <w:tc>
          <w:tcPr>
            <w:tcW w:w="1591" w:type="pct"/>
            <w:tcBorders>
              <w:top w:val="nil"/>
              <w:left w:val="nil"/>
              <w:bottom w:val="single" w:sz="4" w:space="0" w:color="auto"/>
              <w:right w:val="single" w:sz="8" w:space="0" w:color="auto"/>
            </w:tcBorders>
            <w:shd w:val="clear" w:color="auto" w:fill="auto"/>
            <w:hideMark/>
          </w:tcPr>
          <w:p w14:paraId="7C7B345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1D935EC6"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(CONF:1198-5298)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9A786E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27D02C75"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75F25957"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Patient Sex</w:t>
            </w:r>
          </w:p>
        </w:tc>
        <w:tc>
          <w:tcPr>
            <w:tcW w:w="1591" w:type="pct"/>
            <w:tcBorders>
              <w:top w:val="nil"/>
              <w:left w:val="nil"/>
              <w:bottom w:val="single" w:sz="4" w:space="0" w:color="auto"/>
              <w:right w:val="single" w:sz="8" w:space="0" w:color="auto"/>
            </w:tcBorders>
            <w:shd w:val="clear" w:color="auto" w:fill="auto"/>
            <w:hideMark/>
          </w:tcPr>
          <w:p w14:paraId="6D5A5AC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3E58C3EE"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(CONF:1198-6394)</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6E615A4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79EED461"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78464AD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Race</w:t>
            </w:r>
          </w:p>
        </w:tc>
        <w:tc>
          <w:tcPr>
            <w:tcW w:w="1591" w:type="pct"/>
            <w:tcBorders>
              <w:top w:val="nil"/>
              <w:left w:val="nil"/>
              <w:bottom w:val="single" w:sz="4" w:space="0" w:color="auto"/>
              <w:right w:val="single" w:sz="8" w:space="0" w:color="auto"/>
            </w:tcBorders>
            <w:shd w:val="clear" w:color="auto" w:fill="auto"/>
            <w:hideMark/>
          </w:tcPr>
          <w:p w14:paraId="3BB2C94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54E00C8B"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(CONF:1198-5322), (CONF:1198-7263)</w:t>
            </w:r>
            <w:r w:rsidRPr="00D97170">
              <w:rPr>
                <w:rFonts w:ascii="Calibri" w:hAnsi="Calibri"/>
                <w:color w:val="000000"/>
                <w:szCs w:val="20"/>
              </w:rPr>
              <w:br/>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24E1E5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sidRPr="00EA3B1F">
              <w:rPr>
                <w:rFonts w:ascii="Calibri" w:hAnsi="Calibri"/>
                <w:color w:val="000000"/>
                <w:szCs w:val="20"/>
              </w:rPr>
              <w:t>This data element can repeat.</w:t>
            </w:r>
          </w:p>
        </w:tc>
      </w:tr>
      <w:tr w:rsidR="006145A7" w:rsidRPr="00293796" w14:paraId="49E0EAEE"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A56993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Ethnicity</w:t>
            </w:r>
          </w:p>
        </w:tc>
        <w:tc>
          <w:tcPr>
            <w:tcW w:w="1591" w:type="pct"/>
            <w:tcBorders>
              <w:top w:val="nil"/>
              <w:left w:val="nil"/>
              <w:bottom w:val="single" w:sz="4" w:space="0" w:color="auto"/>
              <w:right w:val="single" w:sz="8" w:space="0" w:color="auto"/>
            </w:tcBorders>
            <w:shd w:val="clear" w:color="auto" w:fill="auto"/>
            <w:hideMark/>
          </w:tcPr>
          <w:p w14:paraId="4740456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07B3F86F"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(CONF:1198-5323), (CONF:1198-32901).</w:t>
            </w:r>
          </w:p>
          <w:p w14:paraId="1E4E76A5" w14:textId="77777777" w:rsidR="006145A7" w:rsidRPr="00D97170" w:rsidRDefault="006145A7" w:rsidP="00280D56">
            <w:pPr>
              <w:rPr>
                <w:rFonts w:ascii="Calibri" w:hAnsi="Calibri"/>
                <w:color w:val="000000"/>
                <w:szCs w:val="20"/>
              </w:rPr>
            </w:pP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432A53E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sidRPr="00EA3B1F">
              <w:rPr>
                <w:rFonts w:ascii="Calibri" w:hAnsi="Calibri"/>
                <w:color w:val="000000"/>
                <w:szCs w:val="20"/>
              </w:rPr>
              <w:t>This data element can repeat.</w:t>
            </w:r>
          </w:p>
        </w:tc>
      </w:tr>
      <w:tr w:rsidR="006145A7" w:rsidRPr="00293796" w14:paraId="5EFB2726"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4A1808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Preferred Language</w:t>
            </w:r>
          </w:p>
        </w:tc>
        <w:tc>
          <w:tcPr>
            <w:tcW w:w="1591" w:type="pct"/>
            <w:tcBorders>
              <w:top w:val="nil"/>
              <w:left w:val="nil"/>
              <w:bottom w:val="single" w:sz="4" w:space="0" w:color="auto"/>
              <w:right w:val="single" w:sz="8" w:space="0" w:color="auto"/>
            </w:tcBorders>
            <w:shd w:val="clear" w:color="auto" w:fill="auto"/>
            <w:hideMark/>
          </w:tcPr>
          <w:p w14:paraId="52CCB39A"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US Realm Header (V3)</w:t>
            </w:r>
          </w:p>
        </w:tc>
        <w:tc>
          <w:tcPr>
            <w:tcW w:w="1127" w:type="pct"/>
            <w:tcBorders>
              <w:top w:val="nil"/>
              <w:left w:val="nil"/>
              <w:bottom w:val="single" w:sz="4" w:space="0" w:color="auto"/>
              <w:right w:val="single" w:sz="4" w:space="0" w:color="auto"/>
            </w:tcBorders>
          </w:tcPr>
          <w:p w14:paraId="1212FEC1"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(CONF:1198-5407)</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DC3E37D"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sidRPr="00EA3B1F">
              <w:rPr>
                <w:rFonts w:ascii="Calibri" w:hAnsi="Calibri"/>
                <w:color w:val="000000"/>
                <w:szCs w:val="20"/>
              </w:rPr>
              <w:t>This data element can repeat.</w:t>
            </w:r>
          </w:p>
        </w:tc>
      </w:tr>
      <w:tr w:rsidR="006145A7" w:rsidRPr="00293796" w14:paraId="747137C1"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419B6A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Occupation</w:t>
            </w:r>
          </w:p>
        </w:tc>
        <w:tc>
          <w:tcPr>
            <w:tcW w:w="1591" w:type="pct"/>
            <w:tcBorders>
              <w:top w:val="nil"/>
              <w:left w:val="nil"/>
              <w:bottom w:val="single" w:sz="4" w:space="0" w:color="auto"/>
              <w:right w:val="single" w:sz="8" w:space="0" w:color="auto"/>
            </w:tcBorders>
            <w:shd w:val="clear" w:color="auto" w:fill="auto"/>
            <w:hideMark/>
          </w:tcPr>
          <w:p w14:paraId="4980A99D"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Social History Observation (V3)</w:t>
            </w:r>
          </w:p>
        </w:tc>
        <w:tc>
          <w:tcPr>
            <w:tcW w:w="1127" w:type="pct"/>
            <w:tcBorders>
              <w:top w:val="nil"/>
              <w:left w:val="nil"/>
              <w:bottom w:val="single" w:sz="4" w:space="0" w:color="auto"/>
              <w:right w:val="single" w:sz="4" w:space="0" w:color="auto"/>
            </w:tcBorders>
          </w:tcPr>
          <w:p w14:paraId="67F7C56C"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(CONF:1198-8559)</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75DB4D3" w14:textId="77777777" w:rsidR="006145A7" w:rsidRDefault="006145A7" w:rsidP="00280D56">
            <w:pPr>
              <w:spacing w:after="0" w:line="240" w:lineRule="auto"/>
              <w:rPr>
                <w:rFonts w:ascii="Calibri" w:hAnsi="Calibri"/>
                <w:color w:val="000000"/>
                <w:szCs w:val="20"/>
              </w:rPr>
            </w:pPr>
            <w:r w:rsidRPr="00293796">
              <w:rPr>
                <w:rFonts w:ascii="Calibri" w:hAnsi="Calibri"/>
                <w:color w:val="000000"/>
                <w:szCs w:val="20"/>
              </w:rPr>
              <w:t>Observation.code = SCTID: 14679004</w:t>
            </w:r>
          </w:p>
          <w:p w14:paraId="50EECE67"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p>
        </w:tc>
      </w:tr>
      <w:tr w:rsidR="006145A7" w:rsidRPr="00293796" w14:paraId="3BD223B7"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674EE5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Pregnant</w:t>
            </w:r>
          </w:p>
        </w:tc>
        <w:tc>
          <w:tcPr>
            <w:tcW w:w="1591" w:type="pct"/>
            <w:tcBorders>
              <w:top w:val="nil"/>
              <w:left w:val="nil"/>
              <w:bottom w:val="single" w:sz="4" w:space="0" w:color="auto"/>
              <w:right w:val="single" w:sz="8" w:space="0" w:color="auto"/>
            </w:tcBorders>
            <w:shd w:val="clear" w:color="auto" w:fill="auto"/>
            <w:hideMark/>
          </w:tcPr>
          <w:p w14:paraId="3EE9140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Problem Observation (V3)</w:t>
            </w:r>
          </w:p>
        </w:tc>
        <w:tc>
          <w:tcPr>
            <w:tcW w:w="1127" w:type="pct"/>
            <w:tcBorders>
              <w:top w:val="nil"/>
              <w:left w:val="nil"/>
              <w:bottom w:val="single" w:sz="4" w:space="0" w:color="auto"/>
              <w:right w:val="single" w:sz="4" w:space="0" w:color="auto"/>
            </w:tcBorders>
          </w:tcPr>
          <w:p w14:paraId="0EB1BA11"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(CONF:1198-9058)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533BE522" w14:textId="77777777" w:rsidR="006145A7" w:rsidRPr="00293796" w:rsidRDefault="006145A7" w:rsidP="00280D56">
            <w:pPr>
              <w:spacing w:after="0" w:line="240" w:lineRule="auto"/>
              <w:rPr>
                <w:rFonts w:ascii="Calibri" w:hAnsi="Calibri"/>
                <w:color w:val="000000"/>
                <w:szCs w:val="20"/>
              </w:rPr>
            </w:pPr>
            <w:r w:rsidRPr="00D17ADA">
              <w:rPr>
                <w:rFonts w:ascii="Calibri" w:hAnsi="Calibri"/>
                <w:color w:val="000000"/>
                <w:szCs w:val="20"/>
              </w:rPr>
              <w:t xml:space="preserve">During the DSTU period, the use of the Problems Observation template to indicate pregnancy </w:t>
            </w:r>
            <w:r>
              <w:rPr>
                <w:rFonts w:ascii="Calibri" w:hAnsi="Calibri"/>
                <w:color w:val="000000"/>
                <w:szCs w:val="20"/>
              </w:rPr>
              <w:t>is being evaluated.  T</w:t>
            </w:r>
            <w:r w:rsidRPr="00D17ADA">
              <w:rPr>
                <w:rFonts w:ascii="Calibri" w:hAnsi="Calibri"/>
                <w:color w:val="000000"/>
                <w:szCs w:val="20"/>
              </w:rPr>
              <w:t xml:space="preserve">he </w:t>
            </w:r>
            <w:r>
              <w:rPr>
                <w:rFonts w:ascii="Calibri" w:hAnsi="Calibri"/>
                <w:color w:val="000000"/>
                <w:szCs w:val="20"/>
              </w:rPr>
              <w:t xml:space="preserve">recommended SNOMED value codes are </w:t>
            </w:r>
            <w:r w:rsidRPr="00D17ADA">
              <w:rPr>
                <w:rFonts w:ascii="Calibri" w:hAnsi="Calibri"/>
                <w:color w:val="000000"/>
                <w:szCs w:val="20"/>
              </w:rPr>
              <w:t>'60001007'  Not pregnant (finding), and '77386006'  Patient currently pregnant (finding)</w:t>
            </w:r>
            <w:r>
              <w:rPr>
                <w:rFonts w:ascii="Calibri" w:hAnsi="Calibri"/>
                <w:color w:val="000000"/>
                <w:szCs w:val="20"/>
              </w:rPr>
              <w:t>.</w:t>
            </w:r>
          </w:p>
        </w:tc>
      </w:tr>
      <w:tr w:rsidR="006145A7" w:rsidRPr="00293796" w14:paraId="67D859B6"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7B0FF92"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lastRenderedPageBreak/>
              <w:t>Hospital Unit</w:t>
            </w:r>
          </w:p>
        </w:tc>
        <w:tc>
          <w:tcPr>
            <w:tcW w:w="1591" w:type="pct"/>
            <w:tcBorders>
              <w:top w:val="nil"/>
              <w:left w:val="nil"/>
              <w:bottom w:val="single" w:sz="4" w:space="0" w:color="auto"/>
              <w:right w:val="single" w:sz="8" w:space="0" w:color="auto"/>
            </w:tcBorders>
            <w:shd w:val="clear" w:color="auto" w:fill="auto"/>
            <w:hideMark/>
          </w:tcPr>
          <w:p w14:paraId="2C494095"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113F64FB" w14:textId="77777777" w:rsidR="006145A7" w:rsidRPr="00D97170" w:rsidRDefault="006145A7" w:rsidP="00280D56">
            <w:pPr>
              <w:rPr>
                <w:rFonts w:ascii="Calibri" w:hAnsi="Calibri"/>
                <w:color w:val="000000"/>
                <w:szCs w:val="20"/>
              </w:rPr>
            </w:pPr>
            <w:r>
              <w:rPr>
                <w:rFonts w:ascii="Calibri" w:hAnsi="Calibri"/>
                <w:color w:val="000000"/>
                <w:szCs w:val="20"/>
              </w:rPr>
              <w:t>(CONF:2218-14</w:t>
            </w:r>
            <w:r w:rsidRPr="00D97170">
              <w:rPr>
                <w:rFonts w:ascii="Calibri" w:hAnsi="Calibri"/>
                <w:color w:val="000000"/>
                <w:szCs w:val="20"/>
              </w:rPr>
              <w:t>)</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4811A449" w14:textId="77777777" w:rsidR="006145A7" w:rsidRDefault="006145A7" w:rsidP="00280D56">
            <w:pPr>
              <w:spacing w:after="0" w:line="240" w:lineRule="auto"/>
              <w:rPr>
                <w:rFonts w:ascii="Calibri" w:hAnsi="Calibri"/>
                <w:color w:val="000000"/>
                <w:szCs w:val="20"/>
              </w:rPr>
            </w:pPr>
          </w:p>
        </w:tc>
      </w:tr>
      <w:tr w:rsidR="006145A7" w:rsidRPr="00293796" w14:paraId="4A0115DE"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71F6891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Visit Date/Time</w:t>
            </w:r>
          </w:p>
        </w:tc>
        <w:tc>
          <w:tcPr>
            <w:tcW w:w="1591" w:type="pct"/>
            <w:tcBorders>
              <w:top w:val="nil"/>
              <w:left w:val="nil"/>
              <w:bottom w:val="single" w:sz="4" w:space="0" w:color="auto"/>
              <w:right w:val="single" w:sz="8" w:space="0" w:color="auto"/>
            </w:tcBorders>
            <w:shd w:val="clear" w:color="auto" w:fill="auto"/>
            <w:hideMark/>
          </w:tcPr>
          <w:p w14:paraId="19F6E9E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307786E7"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(CONF:2218-20)</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47F12CC"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For outpatient encounters</w:t>
            </w:r>
          </w:p>
        </w:tc>
      </w:tr>
      <w:tr w:rsidR="006145A7" w:rsidRPr="00293796" w14:paraId="73D4487B"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26B0C5E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Admission Date/Time</w:t>
            </w:r>
          </w:p>
        </w:tc>
        <w:tc>
          <w:tcPr>
            <w:tcW w:w="1591" w:type="pct"/>
            <w:tcBorders>
              <w:top w:val="nil"/>
              <w:left w:val="nil"/>
              <w:bottom w:val="single" w:sz="4" w:space="0" w:color="auto"/>
              <w:right w:val="single" w:sz="8" w:space="0" w:color="auto"/>
            </w:tcBorders>
            <w:shd w:val="clear" w:color="auto" w:fill="auto"/>
            <w:hideMark/>
          </w:tcPr>
          <w:p w14:paraId="66A624F5"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0EE4C19E"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(CONF:2218-20)</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8E4927A"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For Inpatient encounters</w:t>
            </w:r>
          </w:p>
        </w:tc>
      </w:tr>
      <w:tr w:rsidR="006145A7" w:rsidRPr="00293796" w14:paraId="4700E53E"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1ED81C2"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lastRenderedPageBreak/>
              <w:t>Discharge</w:t>
            </w:r>
            <w:r w:rsidRPr="00293796">
              <w:rPr>
                <w:rFonts w:ascii="Calibri" w:hAnsi="Calibri"/>
                <w:color w:val="000000"/>
                <w:szCs w:val="20"/>
              </w:rPr>
              <w:t xml:space="preserve"> Date/Time</w:t>
            </w:r>
          </w:p>
        </w:tc>
        <w:tc>
          <w:tcPr>
            <w:tcW w:w="1591" w:type="pct"/>
            <w:tcBorders>
              <w:top w:val="nil"/>
              <w:left w:val="nil"/>
              <w:bottom w:val="single" w:sz="4" w:space="0" w:color="auto"/>
              <w:right w:val="single" w:sz="8" w:space="0" w:color="auto"/>
            </w:tcBorders>
            <w:shd w:val="clear" w:color="auto" w:fill="auto"/>
            <w:hideMark/>
          </w:tcPr>
          <w:p w14:paraId="7F97B8AE"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7A94D6CE"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(CONF:2218-21)</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B0196BF"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For Inpatient encounters</w:t>
            </w:r>
          </w:p>
        </w:tc>
      </w:tr>
      <w:tr w:rsidR="006145A7" w:rsidRPr="00293796" w14:paraId="325CC28B"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8675CC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History of Present Illness</w:t>
            </w:r>
          </w:p>
        </w:tc>
        <w:tc>
          <w:tcPr>
            <w:tcW w:w="1591" w:type="pct"/>
            <w:tcBorders>
              <w:top w:val="nil"/>
              <w:left w:val="nil"/>
              <w:bottom w:val="single" w:sz="4" w:space="0" w:color="auto"/>
              <w:right w:val="single" w:sz="8" w:space="0" w:color="auto"/>
            </w:tcBorders>
            <w:shd w:val="clear" w:color="auto" w:fill="auto"/>
            <w:hideMark/>
          </w:tcPr>
          <w:p w14:paraId="005F35A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History of Present Illness Section</w:t>
            </w:r>
          </w:p>
        </w:tc>
        <w:tc>
          <w:tcPr>
            <w:tcW w:w="1127" w:type="pct"/>
            <w:tcBorders>
              <w:top w:val="nil"/>
              <w:left w:val="nil"/>
              <w:bottom w:val="single" w:sz="4" w:space="0" w:color="auto"/>
              <w:right w:val="single" w:sz="4" w:space="0" w:color="auto"/>
            </w:tcBorders>
          </w:tcPr>
          <w:p w14:paraId="5F9A2F11" w14:textId="77777777" w:rsidR="006145A7" w:rsidRPr="00D97170" w:rsidRDefault="006145A7" w:rsidP="00280D56">
            <w:pPr>
              <w:rPr>
                <w:rFonts w:ascii="Calibri" w:hAnsi="Calibri"/>
                <w:color w:val="000000"/>
                <w:szCs w:val="20"/>
              </w:rPr>
            </w:pPr>
            <w:r w:rsidRPr="00D97170">
              <w:rPr>
                <w:rFonts w:ascii="Calibri" w:hAnsi="Calibri"/>
                <w:color w:val="000000"/>
                <w:szCs w:val="20"/>
              </w:rPr>
              <w:t>(CONF:81-7851)</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90C927E"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r>
              <w:rPr>
                <w:rFonts w:ascii="Calibri" w:hAnsi="Calibri"/>
                <w:color w:val="000000"/>
                <w:szCs w:val="20"/>
              </w:rPr>
              <w:t xml:space="preserve"> within the text element of this narrative only template.</w:t>
            </w:r>
          </w:p>
        </w:tc>
      </w:tr>
      <w:tr w:rsidR="006145A7" w:rsidRPr="00293796" w14:paraId="33B37C31"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2BA00F03"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Reason for Visit</w:t>
            </w:r>
          </w:p>
        </w:tc>
        <w:tc>
          <w:tcPr>
            <w:tcW w:w="1591" w:type="pct"/>
            <w:tcBorders>
              <w:top w:val="nil"/>
              <w:left w:val="nil"/>
              <w:bottom w:val="single" w:sz="4" w:space="0" w:color="auto"/>
              <w:right w:val="single" w:sz="8" w:space="0" w:color="auto"/>
            </w:tcBorders>
            <w:shd w:val="clear" w:color="auto" w:fill="auto"/>
            <w:hideMark/>
          </w:tcPr>
          <w:p w14:paraId="366CA8A1"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Reason for Visit Section</w:t>
            </w:r>
          </w:p>
        </w:tc>
        <w:tc>
          <w:tcPr>
            <w:tcW w:w="1127" w:type="pct"/>
            <w:tcBorders>
              <w:top w:val="nil"/>
              <w:left w:val="nil"/>
              <w:bottom w:val="single" w:sz="4" w:space="0" w:color="auto"/>
              <w:right w:val="single" w:sz="4" w:space="0" w:color="auto"/>
            </w:tcBorders>
          </w:tcPr>
          <w:p w14:paraId="018DE75B" w14:textId="77777777" w:rsidR="006145A7" w:rsidRPr="00D97170" w:rsidRDefault="006145A7" w:rsidP="00280D56">
            <w:pPr>
              <w:rPr>
                <w:rFonts w:ascii="Calibri" w:hAnsi="Calibri"/>
                <w:color w:val="000000"/>
                <w:szCs w:val="20"/>
              </w:rPr>
            </w:pPr>
            <w:r w:rsidRPr="00D97170">
              <w:rPr>
                <w:rFonts w:ascii="Calibri" w:hAnsi="Calibri"/>
                <w:color w:val="000000"/>
                <w:szCs w:val="20"/>
              </w:rPr>
              <w:t>(CONF:81-7839)</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BF150BF"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r>
              <w:rPr>
                <w:rFonts w:ascii="Calibri" w:hAnsi="Calibri"/>
                <w:color w:val="000000"/>
                <w:szCs w:val="20"/>
              </w:rPr>
              <w:t xml:space="preserve"> within the text element of this narrative only template.</w:t>
            </w:r>
          </w:p>
        </w:tc>
      </w:tr>
      <w:tr w:rsidR="006145A7" w:rsidRPr="00293796" w14:paraId="5363D56F"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7B029B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Date of Onset</w:t>
            </w:r>
          </w:p>
        </w:tc>
        <w:tc>
          <w:tcPr>
            <w:tcW w:w="1591" w:type="pct"/>
            <w:tcBorders>
              <w:top w:val="nil"/>
              <w:left w:val="nil"/>
              <w:bottom w:val="single" w:sz="4" w:space="0" w:color="auto"/>
              <w:right w:val="single" w:sz="8" w:space="0" w:color="auto"/>
            </w:tcBorders>
            <w:shd w:val="clear" w:color="auto" w:fill="auto"/>
            <w:hideMark/>
          </w:tcPr>
          <w:p w14:paraId="0C3CF0A7"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Problem Observation (V3)</w:t>
            </w:r>
          </w:p>
        </w:tc>
        <w:tc>
          <w:tcPr>
            <w:tcW w:w="1127" w:type="pct"/>
            <w:tcBorders>
              <w:top w:val="nil"/>
              <w:left w:val="nil"/>
              <w:bottom w:val="single" w:sz="4" w:space="0" w:color="auto"/>
              <w:right w:val="single" w:sz="4" w:space="0" w:color="auto"/>
            </w:tcBorders>
          </w:tcPr>
          <w:p w14:paraId="18E8FFBA"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(CONF:1198-15603)</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DA739DE"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p>
        </w:tc>
      </w:tr>
      <w:tr w:rsidR="006145A7" w:rsidRPr="00293796" w14:paraId="3675171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7FFF0B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Symptoms (list)</w:t>
            </w:r>
          </w:p>
        </w:tc>
        <w:tc>
          <w:tcPr>
            <w:tcW w:w="1591" w:type="pct"/>
            <w:tcBorders>
              <w:top w:val="nil"/>
              <w:left w:val="nil"/>
              <w:bottom w:val="single" w:sz="4" w:space="0" w:color="auto"/>
              <w:right w:val="single" w:sz="8" w:space="0" w:color="auto"/>
            </w:tcBorders>
            <w:shd w:val="clear" w:color="auto" w:fill="auto"/>
            <w:hideMark/>
          </w:tcPr>
          <w:p w14:paraId="70C2A42C"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Problem Observation (V3)</w:t>
            </w:r>
          </w:p>
        </w:tc>
        <w:tc>
          <w:tcPr>
            <w:tcW w:w="1127" w:type="pct"/>
            <w:tcBorders>
              <w:top w:val="nil"/>
              <w:left w:val="nil"/>
              <w:bottom w:val="single" w:sz="4" w:space="0" w:color="auto"/>
              <w:right w:val="single" w:sz="4" w:space="0" w:color="auto"/>
            </w:tcBorders>
          </w:tcPr>
          <w:p w14:paraId="76212A4F"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(CONF:1198-9058)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161227D"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p>
        </w:tc>
      </w:tr>
      <w:tr w:rsidR="006145A7" w:rsidRPr="00293796" w14:paraId="7FF454D9"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4504773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Lab Order Code</w:t>
            </w:r>
          </w:p>
        </w:tc>
        <w:tc>
          <w:tcPr>
            <w:tcW w:w="1591" w:type="pct"/>
            <w:tcBorders>
              <w:top w:val="nil"/>
              <w:left w:val="nil"/>
              <w:bottom w:val="single" w:sz="4" w:space="0" w:color="auto"/>
              <w:right w:val="single" w:sz="8" w:space="0" w:color="auto"/>
            </w:tcBorders>
            <w:shd w:val="clear" w:color="auto" w:fill="auto"/>
            <w:hideMark/>
          </w:tcPr>
          <w:p w14:paraId="575D93D4"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Result Organizer (V3)</w:t>
            </w:r>
          </w:p>
        </w:tc>
        <w:tc>
          <w:tcPr>
            <w:tcW w:w="1127" w:type="pct"/>
            <w:tcBorders>
              <w:top w:val="nil"/>
              <w:left w:val="nil"/>
              <w:bottom w:val="single" w:sz="4" w:space="0" w:color="auto"/>
              <w:right w:val="single" w:sz="4" w:space="0" w:color="auto"/>
            </w:tcBorders>
          </w:tcPr>
          <w:p w14:paraId="3BFCFD9D"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(CONF:1198-7128)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39A4274" w14:textId="77777777" w:rsidR="006145A7" w:rsidRPr="00293796" w:rsidRDefault="006145A7" w:rsidP="00280D56">
            <w:pPr>
              <w:spacing w:after="0" w:line="240" w:lineRule="auto"/>
              <w:rPr>
                <w:rFonts w:ascii="Calibri" w:hAnsi="Calibri"/>
                <w:color w:val="000000"/>
                <w:szCs w:val="20"/>
              </w:rPr>
            </w:pPr>
            <w:r w:rsidRPr="00EA3B1F">
              <w:rPr>
                <w:rFonts w:ascii="Calibri" w:hAnsi="Calibri"/>
                <w:color w:val="000000"/>
                <w:szCs w:val="20"/>
              </w:rPr>
              <w:t>This data element can repeat.</w:t>
            </w:r>
          </w:p>
        </w:tc>
      </w:tr>
      <w:tr w:rsidR="006145A7" w:rsidRPr="00293796" w14:paraId="24311767"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5B67FAA6"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lastRenderedPageBreak/>
              <w:t>Laboratory Results</w:t>
            </w:r>
          </w:p>
        </w:tc>
        <w:tc>
          <w:tcPr>
            <w:tcW w:w="1591" w:type="pct"/>
            <w:tcBorders>
              <w:top w:val="nil"/>
              <w:left w:val="nil"/>
              <w:bottom w:val="single" w:sz="4" w:space="0" w:color="auto"/>
              <w:right w:val="single" w:sz="8" w:space="0" w:color="auto"/>
            </w:tcBorders>
            <w:shd w:val="clear" w:color="auto" w:fill="auto"/>
            <w:hideMark/>
          </w:tcPr>
          <w:p w14:paraId="3F0788D9"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Result Observation (V3)</w:t>
            </w:r>
          </w:p>
        </w:tc>
        <w:tc>
          <w:tcPr>
            <w:tcW w:w="1127" w:type="pct"/>
            <w:tcBorders>
              <w:top w:val="nil"/>
              <w:left w:val="nil"/>
              <w:bottom w:val="single" w:sz="4" w:space="0" w:color="auto"/>
              <w:right w:val="single" w:sz="4" w:space="0" w:color="auto"/>
            </w:tcBorders>
          </w:tcPr>
          <w:p w14:paraId="1F19BECE"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(CONF:1198-7133), (CONF:1198-7143)</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9B9B3BC"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Laboratory results require both an observation code and an observation value.  This data element can repeat.</w:t>
            </w:r>
          </w:p>
        </w:tc>
      </w:tr>
      <w:tr w:rsidR="006145A7" w:rsidRPr="00293796" w14:paraId="73F18075"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0A5B97AC"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lastRenderedPageBreak/>
              <w:t xml:space="preserve">Filler </w:t>
            </w:r>
            <w:r w:rsidRPr="00293796">
              <w:rPr>
                <w:rFonts w:ascii="Calibri" w:hAnsi="Calibri"/>
                <w:color w:val="000000"/>
                <w:szCs w:val="20"/>
              </w:rPr>
              <w:t>Order Number</w:t>
            </w:r>
          </w:p>
        </w:tc>
        <w:tc>
          <w:tcPr>
            <w:tcW w:w="1591" w:type="pct"/>
            <w:tcBorders>
              <w:top w:val="nil"/>
              <w:left w:val="nil"/>
              <w:bottom w:val="single" w:sz="4" w:space="0" w:color="auto"/>
              <w:right w:val="single" w:sz="8" w:space="0" w:color="auto"/>
            </w:tcBorders>
            <w:shd w:val="clear" w:color="auto" w:fill="auto"/>
            <w:hideMark/>
          </w:tcPr>
          <w:p w14:paraId="76D65F5F"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Result Organizer (V3)</w:t>
            </w:r>
          </w:p>
        </w:tc>
        <w:tc>
          <w:tcPr>
            <w:tcW w:w="1127" w:type="pct"/>
            <w:tcBorders>
              <w:top w:val="nil"/>
              <w:left w:val="nil"/>
              <w:bottom w:val="single" w:sz="4" w:space="0" w:color="auto"/>
              <w:right w:val="single" w:sz="4" w:space="0" w:color="auto"/>
            </w:tcBorders>
          </w:tcPr>
          <w:p w14:paraId="1915C111"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(CONF:1198-7127)</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29C5EE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sidRPr="00DA31A5">
              <w:rPr>
                <w:rFonts w:ascii="Calibri" w:hAnsi="Calibri"/>
                <w:color w:val="000000"/>
                <w:szCs w:val="20"/>
              </w:rPr>
              <w:t>This data element can repeat.</w:t>
            </w:r>
          </w:p>
        </w:tc>
      </w:tr>
      <w:tr w:rsidR="006145A7" w:rsidRPr="00293796" w14:paraId="0EDD9978"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12D9FFB8"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Diagnoses</w:t>
            </w:r>
          </w:p>
        </w:tc>
        <w:tc>
          <w:tcPr>
            <w:tcW w:w="1591" w:type="pct"/>
            <w:tcBorders>
              <w:top w:val="nil"/>
              <w:left w:val="nil"/>
              <w:bottom w:val="single" w:sz="4" w:space="0" w:color="auto"/>
              <w:right w:val="single" w:sz="8" w:space="0" w:color="auto"/>
            </w:tcBorders>
            <w:shd w:val="clear" w:color="auto" w:fill="auto"/>
            <w:hideMark/>
          </w:tcPr>
          <w:p w14:paraId="5033E905"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Problem Observation (V3)</w:t>
            </w:r>
          </w:p>
        </w:tc>
        <w:tc>
          <w:tcPr>
            <w:tcW w:w="1127" w:type="pct"/>
            <w:tcBorders>
              <w:top w:val="nil"/>
              <w:left w:val="nil"/>
              <w:bottom w:val="single" w:sz="4" w:space="0" w:color="auto"/>
              <w:right w:val="single" w:sz="4" w:space="0" w:color="auto"/>
            </w:tcBorders>
          </w:tcPr>
          <w:p w14:paraId="727F40FA"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(CONF:1198-9058)</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16ECA0B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xml:space="preserve">Observation.code = LOINC: </w:t>
            </w:r>
            <w:r w:rsidRPr="00EA3B1F">
              <w:rPr>
                <w:rFonts w:ascii="Calibri" w:hAnsi="Calibri"/>
                <w:color w:val="000000"/>
                <w:szCs w:val="20"/>
              </w:rPr>
              <w:t>29308-4.</w:t>
            </w:r>
            <w:r>
              <w:rPr>
                <w:rFonts w:ascii="Calibri" w:hAnsi="Calibri"/>
                <w:color w:val="000000"/>
                <w:szCs w:val="20"/>
              </w:rPr>
              <w:t xml:space="preserve">  </w:t>
            </w:r>
            <w:r w:rsidRPr="00293796">
              <w:rPr>
                <w:rFonts w:ascii="Calibri" w:hAnsi="Calibri"/>
                <w:color w:val="000000"/>
                <w:szCs w:val="20"/>
              </w:rPr>
              <w:t> </w:t>
            </w:r>
            <w:r w:rsidRPr="00DA31A5">
              <w:rPr>
                <w:rFonts w:ascii="Calibri" w:hAnsi="Calibri"/>
                <w:color w:val="000000"/>
                <w:szCs w:val="20"/>
              </w:rPr>
              <w:t>This data element can repeat.</w:t>
            </w:r>
          </w:p>
        </w:tc>
      </w:tr>
      <w:tr w:rsidR="006145A7" w:rsidRPr="00293796" w14:paraId="1E081C74"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6554B09"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Date of Diagnosis</w:t>
            </w:r>
          </w:p>
        </w:tc>
        <w:tc>
          <w:tcPr>
            <w:tcW w:w="1591" w:type="pct"/>
            <w:tcBorders>
              <w:top w:val="nil"/>
              <w:left w:val="nil"/>
              <w:bottom w:val="single" w:sz="4" w:space="0" w:color="auto"/>
              <w:right w:val="single" w:sz="8" w:space="0" w:color="auto"/>
            </w:tcBorders>
            <w:shd w:val="clear" w:color="auto" w:fill="auto"/>
            <w:hideMark/>
          </w:tcPr>
          <w:p w14:paraId="712C8C2E"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Encounter Activity (V3)</w:t>
            </w:r>
          </w:p>
        </w:tc>
        <w:tc>
          <w:tcPr>
            <w:tcW w:w="1127" w:type="pct"/>
            <w:tcBorders>
              <w:top w:val="nil"/>
              <w:left w:val="nil"/>
              <w:bottom w:val="single" w:sz="4" w:space="0" w:color="auto"/>
              <w:right w:val="single" w:sz="4" w:space="0" w:color="auto"/>
            </w:tcBorders>
          </w:tcPr>
          <w:p w14:paraId="550AC0D6"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(CONF:1198-8715)</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1894C2F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r w:rsidRPr="00DA31A5">
              <w:rPr>
                <w:rFonts w:ascii="Calibri" w:hAnsi="Calibri"/>
                <w:color w:val="000000"/>
                <w:szCs w:val="20"/>
              </w:rPr>
              <w:t>This data element can repeat.</w:t>
            </w:r>
          </w:p>
        </w:tc>
      </w:tr>
      <w:tr w:rsidR="006145A7" w:rsidRPr="00293796" w14:paraId="3F7409FD"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383853C0"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Medications Administered (list)</w:t>
            </w:r>
          </w:p>
        </w:tc>
        <w:tc>
          <w:tcPr>
            <w:tcW w:w="1591" w:type="pct"/>
            <w:tcBorders>
              <w:top w:val="nil"/>
              <w:left w:val="nil"/>
              <w:bottom w:val="single" w:sz="4" w:space="0" w:color="auto"/>
              <w:right w:val="single" w:sz="8" w:space="0" w:color="auto"/>
            </w:tcBorders>
            <w:shd w:val="clear" w:color="auto" w:fill="auto"/>
            <w:hideMark/>
          </w:tcPr>
          <w:p w14:paraId="63F1BCC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Medication Information (V2)</w:t>
            </w:r>
          </w:p>
        </w:tc>
        <w:tc>
          <w:tcPr>
            <w:tcW w:w="1127" w:type="pct"/>
            <w:tcBorders>
              <w:top w:val="nil"/>
              <w:left w:val="nil"/>
              <w:bottom w:val="single" w:sz="4" w:space="0" w:color="auto"/>
              <w:right w:val="single" w:sz="4" w:space="0" w:color="auto"/>
            </w:tcBorders>
          </w:tcPr>
          <w:p w14:paraId="4BE3D178" w14:textId="77777777" w:rsidR="006145A7" w:rsidRPr="00D97170" w:rsidRDefault="006145A7" w:rsidP="00280D56">
            <w:pPr>
              <w:rPr>
                <w:rFonts w:ascii="Calibri" w:hAnsi="Calibri"/>
                <w:color w:val="000000"/>
                <w:szCs w:val="20"/>
              </w:rPr>
            </w:pPr>
            <w:r w:rsidRPr="00D97170">
              <w:rPr>
                <w:rFonts w:ascii="Calibri" w:hAnsi="Calibri"/>
                <w:color w:val="000000"/>
                <w:szCs w:val="20"/>
              </w:rPr>
              <w:t>(CONF:1098-7412)</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7DE7C4C1" w14:textId="77777777" w:rsidR="006145A7" w:rsidRPr="00293796" w:rsidRDefault="006145A7" w:rsidP="00280D56">
            <w:pPr>
              <w:spacing w:after="0" w:line="240" w:lineRule="auto"/>
              <w:rPr>
                <w:rFonts w:ascii="Calibri" w:hAnsi="Calibri"/>
                <w:color w:val="000000"/>
                <w:szCs w:val="20"/>
              </w:rPr>
            </w:pPr>
            <w:r w:rsidRPr="00DA31A5">
              <w:rPr>
                <w:rFonts w:ascii="Calibri" w:hAnsi="Calibri"/>
                <w:color w:val="000000"/>
                <w:szCs w:val="20"/>
              </w:rPr>
              <w:t>This data element can repeat.</w:t>
            </w:r>
          </w:p>
        </w:tc>
      </w:tr>
      <w:tr w:rsidR="006145A7" w:rsidRPr="00293796" w14:paraId="2B3E513F"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61AFFBB6"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lastRenderedPageBreak/>
              <w:t>Death Date</w:t>
            </w:r>
          </w:p>
        </w:tc>
        <w:tc>
          <w:tcPr>
            <w:tcW w:w="1591" w:type="pct"/>
            <w:tcBorders>
              <w:top w:val="nil"/>
              <w:left w:val="nil"/>
              <w:bottom w:val="single" w:sz="4" w:space="0" w:color="auto"/>
              <w:right w:val="single" w:sz="8" w:space="0" w:color="auto"/>
            </w:tcBorders>
            <w:shd w:val="clear" w:color="auto" w:fill="auto"/>
            <w:hideMark/>
          </w:tcPr>
          <w:p w14:paraId="375855ED"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eICR Initial Public Health Case Report Document</w:t>
            </w:r>
          </w:p>
        </w:tc>
        <w:tc>
          <w:tcPr>
            <w:tcW w:w="1127" w:type="pct"/>
            <w:tcBorders>
              <w:top w:val="nil"/>
              <w:left w:val="nil"/>
              <w:bottom w:val="single" w:sz="4" w:space="0" w:color="auto"/>
              <w:right w:val="single" w:sz="4" w:space="0" w:color="auto"/>
            </w:tcBorders>
          </w:tcPr>
          <w:p w14:paraId="52E532A6" w14:textId="77777777" w:rsidR="006145A7" w:rsidRPr="00D97170" w:rsidRDefault="006145A7" w:rsidP="00280D56">
            <w:pPr>
              <w:rPr>
                <w:rFonts w:ascii="Calibri" w:hAnsi="Calibri"/>
                <w:color w:val="000000"/>
                <w:szCs w:val="20"/>
              </w:rPr>
            </w:pPr>
            <w:r w:rsidRPr="00D97170">
              <w:rPr>
                <w:rFonts w:ascii="Calibri" w:hAnsi="Calibri"/>
                <w:color w:val="000000"/>
                <w:szCs w:val="20"/>
              </w:rPr>
              <w:t>(CONF:1198-106)</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3DD4E412"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r w:rsidR="006145A7" w:rsidRPr="00293796" w14:paraId="371F9FB5" w14:textId="77777777" w:rsidTr="00280D56">
        <w:trPr>
          <w:cantSplit/>
        </w:trPr>
        <w:tc>
          <w:tcPr>
            <w:tcW w:w="790" w:type="pct"/>
            <w:tcBorders>
              <w:top w:val="single" w:sz="4" w:space="0" w:color="auto"/>
              <w:left w:val="double" w:sz="6" w:space="0" w:color="auto"/>
              <w:bottom w:val="single" w:sz="4" w:space="0" w:color="auto"/>
              <w:right w:val="single" w:sz="8" w:space="0" w:color="auto"/>
            </w:tcBorders>
            <w:shd w:val="clear" w:color="auto" w:fill="auto"/>
            <w:hideMark/>
          </w:tcPr>
          <w:p w14:paraId="10BF950A" w14:textId="77777777" w:rsidR="006145A7" w:rsidRPr="00293796" w:rsidRDefault="006145A7" w:rsidP="00280D56">
            <w:pPr>
              <w:spacing w:after="0" w:line="240" w:lineRule="auto"/>
              <w:rPr>
                <w:rFonts w:ascii="Calibri" w:hAnsi="Calibri"/>
                <w:color w:val="000000"/>
                <w:szCs w:val="20"/>
              </w:rPr>
            </w:pPr>
            <w:r>
              <w:rPr>
                <w:rFonts w:ascii="Calibri" w:hAnsi="Calibri"/>
                <w:color w:val="000000"/>
                <w:szCs w:val="20"/>
              </w:rPr>
              <w:t>Immunization Status</w:t>
            </w:r>
          </w:p>
        </w:tc>
        <w:tc>
          <w:tcPr>
            <w:tcW w:w="1591" w:type="pct"/>
            <w:tcBorders>
              <w:top w:val="nil"/>
              <w:left w:val="nil"/>
              <w:bottom w:val="single" w:sz="4" w:space="0" w:color="auto"/>
              <w:right w:val="single" w:sz="8" w:space="0" w:color="auto"/>
            </w:tcBorders>
            <w:shd w:val="clear" w:color="auto" w:fill="auto"/>
            <w:hideMark/>
          </w:tcPr>
          <w:p w14:paraId="20C5481F" w14:textId="77777777" w:rsidR="006145A7" w:rsidRPr="00293796" w:rsidRDefault="006145A7" w:rsidP="00280D56">
            <w:pPr>
              <w:spacing w:after="0" w:line="240" w:lineRule="auto"/>
              <w:rPr>
                <w:rFonts w:ascii="Calibri" w:hAnsi="Calibri"/>
                <w:color w:val="000000"/>
                <w:szCs w:val="20"/>
              </w:rPr>
            </w:pPr>
            <w:r w:rsidRPr="00DA31A5">
              <w:rPr>
                <w:rFonts w:ascii="Calibri" w:hAnsi="Calibri"/>
                <w:color w:val="000000"/>
                <w:szCs w:val="20"/>
              </w:rPr>
              <w:t>Immunizations Section (entries required) (V3)</w:t>
            </w:r>
          </w:p>
        </w:tc>
        <w:tc>
          <w:tcPr>
            <w:tcW w:w="1127" w:type="pct"/>
            <w:tcBorders>
              <w:top w:val="nil"/>
              <w:left w:val="nil"/>
              <w:bottom w:val="single" w:sz="4" w:space="0" w:color="auto"/>
              <w:right w:val="single" w:sz="4" w:space="0" w:color="auto"/>
            </w:tcBorders>
          </w:tcPr>
          <w:p w14:paraId="4B6C9C89" w14:textId="77777777" w:rsidR="006145A7" w:rsidRPr="00D97170" w:rsidRDefault="006145A7" w:rsidP="00280D56">
            <w:pPr>
              <w:rPr>
                <w:rFonts w:ascii="Calibri" w:hAnsi="Calibri"/>
                <w:color w:val="000000"/>
                <w:szCs w:val="20"/>
              </w:rPr>
            </w:pPr>
            <w:r w:rsidRPr="00D97170">
              <w:rPr>
                <w:rFonts w:ascii="Calibri" w:hAnsi="Calibri"/>
                <w:color w:val="000000"/>
                <w:szCs w:val="20"/>
              </w:rPr>
              <w:t>(CONF:2218-149)</w:t>
            </w:r>
          </w:p>
        </w:tc>
        <w:tc>
          <w:tcPr>
            <w:tcW w:w="1492" w:type="pct"/>
            <w:tcBorders>
              <w:top w:val="single" w:sz="4" w:space="0" w:color="auto"/>
              <w:left w:val="single" w:sz="4" w:space="0" w:color="auto"/>
              <w:bottom w:val="single" w:sz="4" w:space="0" w:color="auto"/>
              <w:right w:val="double" w:sz="6" w:space="0" w:color="auto"/>
            </w:tcBorders>
            <w:shd w:val="clear" w:color="auto" w:fill="auto"/>
            <w:noWrap/>
            <w:hideMark/>
          </w:tcPr>
          <w:p w14:paraId="20BE145B" w14:textId="77777777" w:rsidR="006145A7" w:rsidRPr="00293796" w:rsidRDefault="006145A7" w:rsidP="00280D56">
            <w:pPr>
              <w:spacing w:after="0" w:line="240" w:lineRule="auto"/>
              <w:rPr>
                <w:rFonts w:ascii="Calibri" w:hAnsi="Calibri"/>
                <w:color w:val="000000"/>
                <w:szCs w:val="20"/>
              </w:rPr>
            </w:pPr>
            <w:r w:rsidRPr="00293796">
              <w:rPr>
                <w:rFonts w:ascii="Calibri" w:hAnsi="Calibri"/>
                <w:color w:val="000000"/>
                <w:szCs w:val="20"/>
              </w:rPr>
              <w:t> </w:t>
            </w:r>
          </w:p>
        </w:tc>
      </w:tr>
    </w:tbl>
    <w:p w14:paraId="3CBE512F" w14:textId="77777777" w:rsidR="008E617E" w:rsidRDefault="008E617E">
      <w:r>
        <w:br w:type="page"/>
      </w:r>
    </w:p>
    <w:p w14:paraId="7681B5CF" w14:textId="4550DEFD" w:rsidR="008E617E" w:rsidRPr="00107813" w:rsidRDefault="008E617E" w:rsidP="008E617E">
      <w:pPr>
        <w:rPr>
          <w:b/>
          <w:sz w:val="28"/>
        </w:rPr>
      </w:pPr>
      <w:r w:rsidRPr="00107813">
        <w:rPr>
          <w:b/>
          <w:sz w:val="28"/>
        </w:rPr>
        <w:lastRenderedPageBreak/>
        <w:t>A</w:t>
      </w:r>
      <w:r w:rsidR="005F71DE" w:rsidRPr="00107813">
        <w:rPr>
          <w:b/>
          <w:sz w:val="28"/>
        </w:rPr>
        <w:t xml:space="preserve">ppendix </w:t>
      </w:r>
      <w:r w:rsidRPr="00107813">
        <w:rPr>
          <w:b/>
          <w:sz w:val="28"/>
        </w:rPr>
        <w:t>A —</w:t>
      </w:r>
      <w:r w:rsidR="00107813">
        <w:rPr>
          <w:b/>
          <w:sz w:val="28"/>
        </w:rPr>
        <w:t xml:space="preserve"> </w:t>
      </w:r>
      <w:r w:rsidRPr="00107813">
        <w:rPr>
          <w:b/>
          <w:sz w:val="28"/>
        </w:rPr>
        <w:t>E</w:t>
      </w:r>
      <w:r w:rsidR="005F71DE" w:rsidRPr="00107813">
        <w:rPr>
          <w:b/>
          <w:sz w:val="28"/>
        </w:rPr>
        <w:t xml:space="preserve">xtensions to CDA R2 </w:t>
      </w:r>
    </w:p>
    <w:p w14:paraId="6928BE88" w14:textId="77777777" w:rsidR="008E617E" w:rsidRPr="00107813" w:rsidRDefault="008E617E" w:rsidP="008E617E">
      <w:pPr>
        <w:rPr>
          <w:sz w:val="24"/>
        </w:rPr>
      </w:pPr>
      <w:r w:rsidRPr="00107813">
        <w:rPr>
          <w:sz w:val="24"/>
        </w:rPr>
        <w:t>Where there is a need to communicate information for which there is no suitable representation in CDA R2, extensions to CDA R2 have been developed. These extensions are described above in the context of the section where they are used. This section serves to summarize the extensions and provide implementation guidance.</w:t>
      </w:r>
    </w:p>
    <w:p w14:paraId="5B225CD1" w14:textId="77777777" w:rsidR="008E617E" w:rsidRPr="00107813" w:rsidRDefault="008E617E" w:rsidP="008E617E">
      <w:pPr>
        <w:rPr>
          <w:sz w:val="24"/>
        </w:rPr>
      </w:pPr>
      <w:r w:rsidRPr="00107813">
        <w:rPr>
          <w:sz w:val="24"/>
        </w:rPr>
        <w:t>Extensions created for this guide include:</w:t>
      </w:r>
    </w:p>
    <w:tbl>
      <w:tblPr>
        <w:tblStyle w:val="TableGrid0"/>
        <w:tblW w:w="0" w:type="auto"/>
        <w:tblLook w:val="04A0" w:firstRow="1" w:lastRow="0" w:firstColumn="1" w:lastColumn="0" w:noHBand="0" w:noVBand="1"/>
      </w:tblPr>
      <w:tblGrid>
        <w:gridCol w:w="3203"/>
        <w:gridCol w:w="6373"/>
      </w:tblGrid>
      <w:tr w:rsidR="006D1EA9" w:rsidRPr="00107813" w14:paraId="0A0AFAB1" w14:textId="77777777" w:rsidTr="005F71DE">
        <w:tc>
          <w:tcPr>
            <w:tcW w:w="2898" w:type="dxa"/>
          </w:tcPr>
          <w:p w14:paraId="1B06EF72" w14:textId="1AEFEB9D"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sdtc:raceCode</w:t>
            </w:r>
          </w:p>
        </w:tc>
        <w:tc>
          <w:tcPr>
            <w:tcW w:w="6678" w:type="dxa"/>
          </w:tcPr>
          <w:p w14:paraId="741CA5A1" w14:textId="0C55FF33"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raceCode extension allows for multiple races to be reported for a patient.</w:t>
            </w:r>
          </w:p>
        </w:tc>
      </w:tr>
      <w:tr w:rsidR="006D1EA9" w:rsidRPr="00107813" w14:paraId="1A95ADCF" w14:textId="77777777" w:rsidTr="005F71DE">
        <w:tc>
          <w:tcPr>
            <w:tcW w:w="2898" w:type="dxa"/>
          </w:tcPr>
          <w:p w14:paraId="62400CAD" w14:textId="74B2EB72"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sdtc:ethnicGroupCode</w:t>
            </w:r>
          </w:p>
        </w:tc>
        <w:tc>
          <w:tcPr>
            <w:tcW w:w="6678" w:type="dxa"/>
          </w:tcPr>
          <w:p w14:paraId="4E33216A" w14:textId="2E22F80A"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ethnicGroupCode extension allows for additional ethnicity groups for the recordTarget or subjectPerson.</w:t>
            </w:r>
          </w:p>
        </w:tc>
      </w:tr>
      <w:tr w:rsidR="006D1EA9" w:rsidRPr="00107813" w14:paraId="485A2330" w14:textId="77777777" w:rsidTr="005F71DE">
        <w:tc>
          <w:tcPr>
            <w:tcW w:w="2898" w:type="dxa"/>
          </w:tcPr>
          <w:p w14:paraId="7B39B0EB" w14:textId="17BA69E1"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sdtc:deceasedInd</w:t>
            </w:r>
          </w:p>
        </w:tc>
        <w:tc>
          <w:tcPr>
            <w:tcW w:w="6678" w:type="dxa"/>
          </w:tcPr>
          <w:p w14:paraId="6F451597" w14:textId="3577146B"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deceasedIndextension (= “true” or “false”) in the family history organizer on the related subject is used inside to indicate if a family member is deceased.</w:t>
            </w:r>
          </w:p>
        </w:tc>
      </w:tr>
      <w:tr w:rsidR="006D1EA9" w:rsidRPr="00107813" w14:paraId="095E943F" w14:textId="77777777" w:rsidTr="005F71DE">
        <w:tc>
          <w:tcPr>
            <w:tcW w:w="2898" w:type="dxa"/>
          </w:tcPr>
          <w:p w14:paraId="4504C07A" w14:textId="01B0A6B5"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sdtc:deceasedTime</w:t>
            </w:r>
          </w:p>
        </w:tc>
        <w:tc>
          <w:tcPr>
            <w:tcW w:w="6678" w:type="dxa"/>
          </w:tcPr>
          <w:p w14:paraId="6258F291" w14:textId="187EBC59"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deceasedTime extension in the family history organizer on the related subject allows for reporting the date and time a family member died.</w:t>
            </w:r>
          </w:p>
        </w:tc>
      </w:tr>
      <w:tr w:rsidR="006D1EA9" w:rsidRPr="00107813" w14:paraId="0B1BAEFC" w14:textId="77777777" w:rsidTr="005F71DE">
        <w:tc>
          <w:tcPr>
            <w:tcW w:w="2898" w:type="dxa"/>
          </w:tcPr>
          <w:p w14:paraId="0C69FA20" w14:textId="531235BB"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sdtc:dischargeDispositionCode</w:t>
            </w:r>
          </w:p>
        </w:tc>
        <w:tc>
          <w:tcPr>
            <w:tcW w:w="6678" w:type="dxa"/>
          </w:tcPr>
          <w:p w14:paraId="58AD4ACE" w14:textId="5B521821"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dischargeDispositionCode extension allows the provider to record a discharge disposition in an encounter activity.</w:t>
            </w:r>
          </w:p>
        </w:tc>
      </w:tr>
      <w:tr w:rsidR="006D1EA9" w:rsidRPr="00107813" w14:paraId="34EE4FEE" w14:textId="77777777" w:rsidTr="005F71DE">
        <w:tc>
          <w:tcPr>
            <w:tcW w:w="2898" w:type="dxa"/>
          </w:tcPr>
          <w:p w14:paraId="4014AD79" w14:textId="4A023614" w:rsidR="006D1EA9" w:rsidRPr="00107813" w:rsidRDefault="006D1EA9"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sdtc:signatureText</w:t>
            </w:r>
          </w:p>
        </w:tc>
        <w:tc>
          <w:tcPr>
            <w:tcW w:w="6678" w:type="dxa"/>
          </w:tcPr>
          <w:p w14:paraId="744FD013" w14:textId="6BBA0BF8" w:rsidR="006D1EA9" w:rsidRPr="00107813" w:rsidRDefault="005F71DE" w:rsidP="008E617E">
            <w:pPr>
              <w:rPr>
                <w:rFonts w:asciiTheme="minorHAnsi" w:eastAsiaTheme="minorHAnsi" w:hAnsiTheme="minorHAnsi" w:cstheme="minorBidi"/>
                <w:sz w:val="24"/>
                <w:szCs w:val="22"/>
              </w:rPr>
            </w:pPr>
            <w:r w:rsidRPr="00107813">
              <w:rPr>
                <w:rFonts w:asciiTheme="minorHAnsi" w:eastAsiaTheme="minorHAnsi" w:hAnsiTheme="minorHAnsi" w:cstheme="minorBidi"/>
                <w:sz w:val="24"/>
                <w:szCs w:val="22"/>
              </w:rPr>
              <w:t>The 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Implementation Guide for CDA® Release 2: Digital Signatures and Delegation of Rights, Release 1.</w:t>
            </w:r>
          </w:p>
        </w:tc>
      </w:tr>
    </w:tbl>
    <w:p w14:paraId="7ECD2FE3" w14:textId="77777777" w:rsidR="006D1EA9" w:rsidRPr="00107813" w:rsidRDefault="006D1EA9" w:rsidP="008E617E">
      <w:pPr>
        <w:rPr>
          <w:sz w:val="24"/>
        </w:rPr>
      </w:pPr>
    </w:p>
    <w:p w14:paraId="02EA8C48" w14:textId="77777777" w:rsidR="008E617E" w:rsidRPr="00107813" w:rsidRDefault="008E617E" w:rsidP="008E617E">
      <w:pPr>
        <w:rPr>
          <w:sz w:val="24"/>
        </w:rPr>
      </w:pPr>
      <w:r w:rsidRPr="00107813">
        <w:rPr>
          <w:sz w:val="24"/>
        </w:rPr>
        <w:t>To resolve issues that need to be addressed by extension, the developers of this guide chose to approach extensions as follows:</w:t>
      </w:r>
    </w:p>
    <w:p w14:paraId="1D250850"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An extension is a collection of element or attribute declarations and rules for their application to the CDA Release 2.0.</w:t>
      </w:r>
    </w:p>
    <w:p w14:paraId="30BC958B"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All extensions are optional. An extension may be used, but need not be under this guide.</w:t>
      </w:r>
    </w:p>
    <w:p w14:paraId="4DC1BCFA"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A single namespace for all extension elements or attributes that may be used by this guide will be defined.</w:t>
      </w:r>
    </w:p>
    <w:p w14:paraId="1C7BA79A"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The namespace for extensions created by the HL7 Structured Documents Working Group (formerly Structured Documents Technical Committee) shall be urn:hl7-org:sdtc.</w:t>
      </w:r>
    </w:p>
    <w:p w14:paraId="4ED97E2F"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This namespace shall be used as the namespace for any extension elements or attributes that are defined by this implementation guide.</w:t>
      </w:r>
    </w:p>
    <w:p w14:paraId="08CAB69B" w14:textId="77777777" w:rsidR="006D1EA9" w:rsidRPr="00107813" w:rsidRDefault="006D1EA9" w:rsidP="005F71DE">
      <w:pPr>
        <w:spacing w:after="0" w:line="240" w:lineRule="auto"/>
        <w:ind w:left="576" w:hanging="288"/>
        <w:rPr>
          <w:sz w:val="24"/>
        </w:rPr>
      </w:pPr>
      <w:r w:rsidRPr="00107813">
        <w:rPr>
          <w:sz w:val="24"/>
        </w:rPr>
        <w:t>•</w:t>
      </w:r>
      <w:r w:rsidRPr="00107813">
        <w:rPr>
          <w:sz w:val="24"/>
        </w:rPr>
        <w:tab/>
        <w:t>Each extension element shall use the same HL7 vocabularies and data types used by CDA Release 2.0.</w:t>
      </w:r>
    </w:p>
    <w:p w14:paraId="63CC1081" w14:textId="77777777" w:rsidR="006D1EA9" w:rsidRDefault="006D1EA9" w:rsidP="005F71DE">
      <w:pPr>
        <w:spacing w:after="0" w:line="240" w:lineRule="auto"/>
        <w:ind w:left="576" w:hanging="288"/>
        <w:rPr>
          <w:sz w:val="24"/>
        </w:rPr>
      </w:pPr>
      <w:r w:rsidRPr="00107813">
        <w:rPr>
          <w:sz w:val="24"/>
        </w:rPr>
        <w:lastRenderedPageBreak/>
        <w:t>•</w:t>
      </w:r>
      <w:r w:rsidRPr="00107813">
        <w:rPr>
          <w:sz w:val="24"/>
        </w:rPr>
        <w:tab/>
        <w:t>Each extension element shall use the same conventions for order and naming as is used by the current HL7 tooling.</w:t>
      </w:r>
    </w:p>
    <w:p w14:paraId="4A87675A" w14:textId="77777777" w:rsidR="00107813" w:rsidRPr="00107813" w:rsidRDefault="00107813" w:rsidP="005F71DE">
      <w:pPr>
        <w:spacing w:after="0" w:line="240" w:lineRule="auto"/>
        <w:ind w:left="576" w:hanging="288"/>
        <w:rPr>
          <w:sz w:val="24"/>
        </w:rPr>
      </w:pPr>
    </w:p>
    <w:p w14:paraId="740DFAA4" w14:textId="77777777" w:rsidR="008E617E" w:rsidRPr="00107813" w:rsidRDefault="008E617E" w:rsidP="008E617E">
      <w:pPr>
        <w:rPr>
          <w:sz w:val="24"/>
        </w:rPr>
      </w:pPr>
      <w:r w:rsidRPr="00107813">
        <w:rPr>
          <w:sz w:val="24"/>
        </w:rPr>
        <w:t>An extension element shall appear in the XML where the expected RIM element of the same name would have appeared</w:t>
      </w:r>
    </w:p>
    <w:p w14:paraId="2F98EDAA" w14:textId="77777777" w:rsidR="00010BDF" w:rsidRDefault="00010BDF" w:rsidP="00010BDF"/>
    <w:p w14:paraId="1611D9B8" w14:textId="77777777" w:rsidR="004500A2" w:rsidRDefault="004500A2">
      <w:bookmarkStart w:id="502" w:name="_GoBack"/>
      <w:bookmarkEnd w:id="502"/>
    </w:p>
    <w:sectPr w:rsidR="004500A2" w:rsidSect="00B049B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844C7" w14:textId="77777777" w:rsidR="008E1C8D" w:rsidRDefault="008E1C8D" w:rsidP="00E5696D">
      <w:pPr>
        <w:spacing w:after="0" w:line="240" w:lineRule="auto"/>
      </w:pPr>
      <w:r>
        <w:separator/>
      </w:r>
    </w:p>
  </w:endnote>
  <w:endnote w:type="continuationSeparator" w:id="0">
    <w:p w14:paraId="5DC201E4" w14:textId="77777777" w:rsidR="008E1C8D" w:rsidRDefault="008E1C8D" w:rsidP="00E5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151009"/>
      <w:docPartObj>
        <w:docPartGallery w:val="Page Numbers (Bottom of Page)"/>
        <w:docPartUnique/>
      </w:docPartObj>
    </w:sdtPr>
    <w:sdtContent>
      <w:p w14:paraId="549CC19A" w14:textId="702056F6" w:rsidR="006D36F1" w:rsidRDefault="006D36F1" w:rsidP="00A25198">
        <w:pPr>
          <w:pStyle w:val="Footer"/>
        </w:pPr>
        <w:r>
          <w:t xml:space="preserve">eICR CDA IG - C-CDA </w:t>
        </w:r>
        <w:r>
          <w:tab/>
          <w:t>April 2016</w:t>
        </w:r>
        <w:r>
          <w:tab/>
          <w:t xml:space="preserve">Page | </w:t>
        </w:r>
        <w:r>
          <w:fldChar w:fldCharType="begin"/>
        </w:r>
        <w:r>
          <w:instrText xml:space="preserve"> PAGE   \* MERGEFORMAT </w:instrText>
        </w:r>
        <w:r>
          <w:fldChar w:fldCharType="separate"/>
        </w:r>
        <w:r w:rsidR="009C42C7">
          <w:rPr>
            <w:noProof/>
          </w:rPr>
          <w:t>63</w:t>
        </w:r>
        <w:r>
          <w:rPr>
            <w:noProof/>
          </w:rPr>
          <w:fldChar w:fldCharType="end"/>
        </w:r>
        <w:r>
          <w:t xml:space="preserve"> </w:t>
        </w:r>
      </w:p>
    </w:sdtContent>
  </w:sdt>
  <w:p w14:paraId="37BDAB15" w14:textId="14109288" w:rsidR="006D36F1" w:rsidRDefault="006D36F1">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D5429" w14:textId="77777777" w:rsidR="008E1C8D" w:rsidRDefault="008E1C8D" w:rsidP="00E5696D">
      <w:pPr>
        <w:spacing w:after="0" w:line="240" w:lineRule="auto"/>
      </w:pPr>
      <w:r>
        <w:separator/>
      </w:r>
    </w:p>
  </w:footnote>
  <w:footnote w:type="continuationSeparator" w:id="0">
    <w:p w14:paraId="4888CF3F" w14:textId="77777777" w:rsidR="008E1C8D" w:rsidRDefault="008E1C8D" w:rsidP="00E5696D">
      <w:pPr>
        <w:spacing w:after="0" w:line="240" w:lineRule="auto"/>
      </w:pPr>
      <w:r>
        <w:continuationSeparator/>
      </w:r>
    </w:p>
  </w:footnote>
  <w:footnote w:id="1">
    <w:p w14:paraId="3DC3A912" w14:textId="55BC7C47" w:rsidR="006D36F1" w:rsidRDefault="006D36F1">
      <w:pPr>
        <w:pStyle w:val="FootnoteText"/>
      </w:pPr>
      <w:r>
        <w:rPr>
          <w:rStyle w:val="FootnoteReference"/>
        </w:rPr>
        <w:footnoteRef/>
      </w:r>
      <w:r>
        <w:t xml:space="preserve"> www.cste.org/group/RCKMS</w:t>
      </w:r>
    </w:p>
  </w:footnote>
  <w:footnote w:id="2">
    <w:p w14:paraId="357B2DCB" w14:textId="7BB1F8C5" w:rsidR="006D36F1" w:rsidRDefault="006D36F1" w:rsidP="00D800AA">
      <w:pPr>
        <w:pStyle w:val="FootnoteText"/>
      </w:pPr>
      <w:r>
        <w:rPr>
          <w:rStyle w:val="FootnoteReference"/>
        </w:rPr>
        <w:footnoteRef/>
      </w:r>
      <w:r>
        <w:t xml:space="preserve"> </w:t>
      </w:r>
      <w:r w:rsidRPr="00D800AA">
        <w:t>http://www.cdc.gov/media/releases/2013/p0819-lyme-disease.html</w:t>
      </w:r>
    </w:p>
  </w:footnote>
  <w:footnote w:id="3">
    <w:p w14:paraId="4E3817C7" w14:textId="31E9144C" w:rsidR="006D36F1" w:rsidRDefault="006D36F1">
      <w:pPr>
        <w:pStyle w:val="FootnoteText"/>
      </w:pPr>
      <w:r>
        <w:rPr>
          <w:rStyle w:val="FootnoteReference"/>
        </w:rPr>
        <w:footnoteRef/>
      </w:r>
      <w:r>
        <w:t xml:space="preserve"> www.thephcp.org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490602"/>
      <w:docPartObj>
        <w:docPartGallery w:val="Watermarks"/>
        <w:docPartUnique/>
      </w:docPartObj>
    </w:sdtPr>
    <w:sdtContent>
      <w:p w14:paraId="5C5FFD03" w14:textId="77777777" w:rsidR="006D36F1" w:rsidRDefault="006D36F1">
        <w:pPr>
          <w:pStyle w:val="Header"/>
        </w:pPr>
        <w:r>
          <w:rPr>
            <w:noProof/>
            <w:lang w:eastAsia="zh-TW"/>
          </w:rPr>
          <w:pict w14:anchorId="36EAC6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DA9"/>
    <w:multiLevelType w:val="hybridMultilevel"/>
    <w:tmpl w:val="8B303BA0"/>
    <w:lvl w:ilvl="0" w:tplc="ECD8C2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82F2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320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4E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295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4818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68C7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2A0E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D212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EE3B05"/>
    <w:multiLevelType w:val="hybridMultilevel"/>
    <w:tmpl w:val="C1AC6404"/>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0C4D0976"/>
    <w:multiLevelType w:val="hybridMultilevel"/>
    <w:tmpl w:val="3A927AF4"/>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782F2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3203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B4E9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295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4818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68C7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2A0E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D212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6A3D1B"/>
    <w:multiLevelType w:val="hybridMultilevel"/>
    <w:tmpl w:val="DF8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8290D"/>
    <w:multiLevelType w:val="hybridMultilevel"/>
    <w:tmpl w:val="0EC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353FF"/>
    <w:multiLevelType w:val="hybridMultilevel"/>
    <w:tmpl w:val="5E961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A30C3C"/>
    <w:multiLevelType w:val="hybridMultilevel"/>
    <w:tmpl w:val="02F256A0"/>
    <w:lvl w:ilvl="0" w:tplc="97D65DB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6A682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B6CCC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6CDD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85C4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F8B23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7A2F9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F629D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683E1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A05FC1"/>
    <w:multiLevelType w:val="hybridMultilevel"/>
    <w:tmpl w:val="7108DF74"/>
    <w:lvl w:ilvl="0" w:tplc="D220AB48">
      <w:start w:val="1"/>
      <w:numFmt w:val="lowerLetter"/>
      <w:lvlText w:val="%1."/>
      <w:lvlJc w:val="left"/>
      <w:pPr>
        <w:ind w:left="2439" w:hanging="360"/>
      </w:pPr>
      <w:rPr>
        <w:rFonts w:hint="default"/>
      </w:rPr>
    </w:lvl>
    <w:lvl w:ilvl="1" w:tplc="04090019" w:tentative="1">
      <w:start w:val="1"/>
      <w:numFmt w:val="lowerLetter"/>
      <w:lvlText w:val="%2."/>
      <w:lvlJc w:val="left"/>
      <w:pPr>
        <w:ind w:left="3159" w:hanging="360"/>
      </w:pPr>
    </w:lvl>
    <w:lvl w:ilvl="2" w:tplc="0409001B" w:tentative="1">
      <w:start w:val="1"/>
      <w:numFmt w:val="lowerRoman"/>
      <w:lvlText w:val="%3."/>
      <w:lvlJc w:val="right"/>
      <w:pPr>
        <w:ind w:left="3879" w:hanging="180"/>
      </w:pPr>
    </w:lvl>
    <w:lvl w:ilvl="3" w:tplc="0409000F" w:tentative="1">
      <w:start w:val="1"/>
      <w:numFmt w:val="decimal"/>
      <w:lvlText w:val="%4."/>
      <w:lvlJc w:val="left"/>
      <w:pPr>
        <w:ind w:left="4599" w:hanging="360"/>
      </w:pPr>
    </w:lvl>
    <w:lvl w:ilvl="4" w:tplc="04090019" w:tentative="1">
      <w:start w:val="1"/>
      <w:numFmt w:val="lowerLetter"/>
      <w:lvlText w:val="%5."/>
      <w:lvlJc w:val="left"/>
      <w:pPr>
        <w:ind w:left="5319" w:hanging="360"/>
      </w:pPr>
    </w:lvl>
    <w:lvl w:ilvl="5" w:tplc="0409001B" w:tentative="1">
      <w:start w:val="1"/>
      <w:numFmt w:val="lowerRoman"/>
      <w:lvlText w:val="%6."/>
      <w:lvlJc w:val="right"/>
      <w:pPr>
        <w:ind w:left="6039" w:hanging="180"/>
      </w:pPr>
    </w:lvl>
    <w:lvl w:ilvl="6" w:tplc="0409000F" w:tentative="1">
      <w:start w:val="1"/>
      <w:numFmt w:val="decimal"/>
      <w:lvlText w:val="%7."/>
      <w:lvlJc w:val="left"/>
      <w:pPr>
        <w:ind w:left="6759" w:hanging="360"/>
      </w:pPr>
    </w:lvl>
    <w:lvl w:ilvl="7" w:tplc="04090019" w:tentative="1">
      <w:start w:val="1"/>
      <w:numFmt w:val="lowerLetter"/>
      <w:lvlText w:val="%8."/>
      <w:lvlJc w:val="left"/>
      <w:pPr>
        <w:ind w:left="7479" w:hanging="360"/>
      </w:pPr>
    </w:lvl>
    <w:lvl w:ilvl="8" w:tplc="0409001B" w:tentative="1">
      <w:start w:val="1"/>
      <w:numFmt w:val="lowerRoman"/>
      <w:lvlText w:val="%9."/>
      <w:lvlJc w:val="right"/>
      <w:pPr>
        <w:ind w:left="8199" w:hanging="180"/>
      </w:pPr>
    </w:lvl>
  </w:abstractNum>
  <w:abstractNum w:abstractNumId="8" w15:restartNumberingAfterBreak="0">
    <w:nsid w:val="25740CA3"/>
    <w:multiLevelType w:val="hybridMultilevel"/>
    <w:tmpl w:val="99F6D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83E1B"/>
    <w:multiLevelType w:val="hybridMultilevel"/>
    <w:tmpl w:val="B9D4A14C"/>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9F0E83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A651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DA25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926B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B832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0A50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AC7F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78B1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636883"/>
    <w:multiLevelType w:val="hybridMultilevel"/>
    <w:tmpl w:val="56B6149E"/>
    <w:lvl w:ilvl="0" w:tplc="04090001">
      <w:start w:val="1"/>
      <w:numFmt w:val="bullet"/>
      <w:lvlText w:val=""/>
      <w:lvlJc w:val="left"/>
      <w:pPr>
        <w:ind w:left="72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D805C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66F0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DC78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2405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290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D0A4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09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4AB6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BB3C18"/>
    <w:multiLevelType w:val="multilevel"/>
    <w:tmpl w:val="6662231A"/>
    <w:lvl w:ilvl="0">
      <w:start w:val="3"/>
      <w:numFmt w:val="decimal"/>
      <w:lvlText w:val="%1"/>
      <w:lvlJc w:val="left"/>
      <w:pPr>
        <w:ind w:left="375" w:hanging="375"/>
      </w:pPr>
      <w:rPr>
        <w:rFonts w:hint="default"/>
        <w:color w:val="auto"/>
      </w:rPr>
    </w:lvl>
    <w:lvl w:ilvl="1">
      <w:start w:val="5"/>
      <w:numFmt w:val="decimal"/>
      <w:lvlText w:val="%1.%2"/>
      <w:lvlJc w:val="left"/>
      <w:pPr>
        <w:ind w:left="1125" w:hanging="375"/>
      </w:pPr>
      <w:rPr>
        <w:rFonts w:hint="default"/>
        <w:color w:val="auto"/>
      </w:rPr>
    </w:lvl>
    <w:lvl w:ilvl="2">
      <w:start w:val="1"/>
      <w:numFmt w:val="decimal"/>
      <w:lvlText w:val="%1.%2.%3"/>
      <w:lvlJc w:val="left"/>
      <w:pPr>
        <w:ind w:left="2220" w:hanging="720"/>
      </w:pPr>
      <w:rPr>
        <w:rFonts w:hint="default"/>
        <w:color w:val="auto"/>
      </w:rPr>
    </w:lvl>
    <w:lvl w:ilvl="3">
      <w:start w:val="1"/>
      <w:numFmt w:val="decimal"/>
      <w:lvlText w:val="%1.%2.%3.%4"/>
      <w:lvlJc w:val="left"/>
      <w:pPr>
        <w:ind w:left="3330" w:hanging="1080"/>
      </w:pPr>
      <w:rPr>
        <w:rFonts w:hint="default"/>
        <w:color w:val="auto"/>
      </w:rPr>
    </w:lvl>
    <w:lvl w:ilvl="4">
      <w:start w:val="1"/>
      <w:numFmt w:val="decimal"/>
      <w:lvlText w:val="%1.%2.%3.%4.%5"/>
      <w:lvlJc w:val="left"/>
      <w:pPr>
        <w:ind w:left="4080" w:hanging="1080"/>
      </w:pPr>
      <w:rPr>
        <w:rFonts w:hint="default"/>
        <w:color w:val="auto"/>
      </w:rPr>
    </w:lvl>
    <w:lvl w:ilvl="5">
      <w:start w:val="1"/>
      <w:numFmt w:val="decimal"/>
      <w:lvlText w:val="%1.%2.%3.%4.%5.%6"/>
      <w:lvlJc w:val="left"/>
      <w:pPr>
        <w:ind w:left="5190" w:hanging="1440"/>
      </w:pPr>
      <w:rPr>
        <w:rFonts w:hint="default"/>
        <w:color w:val="auto"/>
      </w:rPr>
    </w:lvl>
    <w:lvl w:ilvl="6">
      <w:start w:val="1"/>
      <w:numFmt w:val="decimal"/>
      <w:lvlText w:val="%1.%2.%3.%4.%5.%6.%7"/>
      <w:lvlJc w:val="left"/>
      <w:pPr>
        <w:ind w:left="5940" w:hanging="1440"/>
      </w:pPr>
      <w:rPr>
        <w:rFonts w:hint="default"/>
        <w:color w:val="auto"/>
      </w:rPr>
    </w:lvl>
    <w:lvl w:ilvl="7">
      <w:start w:val="1"/>
      <w:numFmt w:val="decimal"/>
      <w:lvlText w:val="%1.%2.%3.%4.%5.%6.%7.%8"/>
      <w:lvlJc w:val="left"/>
      <w:pPr>
        <w:ind w:left="7050" w:hanging="1800"/>
      </w:pPr>
      <w:rPr>
        <w:rFonts w:hint="default"/>
        <w:color w:val="auto"/>
      </w:rPr>
    </w:lvl>
    <w:lvl w:ilvl="8">
      <w:start w:val="1"/>
      <w:numFmt w:val="decimal"/>
      <w:lvlText w:val="%1.%2.%3.%4.%5.%6.%7.%8.%9"/>
      <w:lvlJc w:val="left"/>
      <w:pPr>
        <w:ind w:left="8160" w:hanging="2160"/>
      </w:pPr>
      <w:rPr>
        <w:rFonts w:hint="default"/>
        <w:color w:val="auto"/>
      </w:rPr>
    </w:lvl>
  </w:abstractNum>
  <w:abstractNum w:abstractNumId="12" w15:restartNumberingAfterBreak="0">
    <w:nsid w:val="3B1E25C7"/>
    <w:multiLevelType w:val="hybridMultilevel"/>
    <w:tmpl w:val="DB44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90224"/>
    <w:multiLevelType w:val="hybridMultilevel"/>
    <w:tmpl w:val="91B4295C"/>
    <w:lvl w:ilvl="0" w:tplc="F6580F8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0F1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0E51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52CF8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1636A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49F1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AA792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4CCE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FA1AC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F416E6C"/>
    <w:multiLevelType w:val="hybridMultilevel"/>
    <w:tmpl w:val="E24AB9F2"/>
    <w:lvl w:ilvl="0" w:tplc="2BBA0850">
      <w:numFmt w:val="bullet"/>
      <w:lvlText w:val="•"/>
      <w:lvlJc w:val="left"/>
      <w:pPr>
        <w:ind w:left="1080" w:hanging="360"/>
      </w:pPr>
      <w:rPr>
        <w:rFonts w:ascii="Calibri" w:eastAsiaTheme="minorHAnsi" w:hAnsi="Calibri"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273B6C"/>
    <w:multiLevelType w:val="hybridMultilevel"/>
    <w:tmpl w:val="DF78BD3C"/>
    <w:lvl w:ilvl="0" w:tplc="348E78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0E83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A651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DA25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926B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B832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C0A50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AC7F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78B1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17" w15:restartNumberingAfterBreak="0">
    <w:nsid w:val="42F26EAB"/>
    <w:multiLevelType w:val="hybridMultilevel"/>
    <w:tmpl w:val="D5501C12"/>
    <w:lvl w:ilvl="0" w:tplc="2C54FBA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BC6F2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32B0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6C198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54DE1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5CCEE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FC25B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FAF6F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DCF12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3D61E5"/>
    <w:multiLevelType w:val="hybridMultilevel"/>
    <w:tmpl w:val="D17293B2"/>
    <w:lvl w:ilvl="0" w:tplc="7C8803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805C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66F0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DC78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2405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6290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D0A4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09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4AB6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6F0767E"/>
    <w:multiLevelType w:val="hybridMultilevel"/>
    <w:tmpl w:val="15B4F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93CF8"/>
    <w:multiLevelType w:val="hybridMultilevel"/>
    <w:tmpl w:val="CA583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D4502F"/>
    <w:multiLevelType w:val="hybridMultilevel"/>
    <w:tmpl w:val="B236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75684"/>
    <w:multiLevelType w:val="hybridMultilevel"/>
    <w:tmpl w:val="95600B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52F0AEE"/>
    <w:multiLevelType w:val="hybridMultilevel"/>
    <w:tmpl w:val="DA3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94648"/>
    <w:multiLevelType w:val="hybridMultilevel"/>
    <w:tmpl w:val="A8C295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E94D5E"/>
    <w:multiLevelType w:val="hybridMultilevel"/>
    <w:tmpl w:val="A5B8F9EE"/>
    <w:lvl w:ilvl="0" w:tplc="1E621AB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C35AC"/>
    <w:multiLevelType w:val="hybridMultilevel"/>
    <w:tmpl w:val="2A1A8582"/>
    <w:lvl w:ilvl="0" w:tplc="2BBA0850">
      <w:numFmt w:val="bullet"/>
      <w:lvlText w:val="•"/>
      <w:lvlJc w:val="left"/>
      <w:pPr>
        <w:ind w:left="720" w:hanging="360"/>
      </w:pPr>
      <w:rPr>
        <w:rFonts w:ascii="Calibri" w:eastAsiaTheme="minorHAns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30D99"/>
    <w:multiLevelType w:val="multilevel"/>
    <w:tmpl w:val="C0FAAFAA"/>
    <w:lvl w:ilvl="0">
      <w:start w:val="4"/>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15"/>
  </w:num>
  <w:num w:numId="3">
    <w:abstractNumId w:val="0"/>
  </w:num>
  <w:num w:numId="4">
    <w:abstractNumId w:val="18"/>
  </w:num>
  <w:num w:numId="5">
    <w:abstractNumId w:val="13"/>
  </w:num>
  <w:num w:numId="6">
    <w:abstractNumId w:val="17"/>
  </w:num>
  <w:num w:numId="7">
    <w:abstractNumId w:val="6"/>
  </w:num>
  <w:num w:numId="8">
    <w:abstractNumId w:val="29"/>
  </w:num>
  <w:num w:numId="9">
    <w:abstractNumId w:val="28"/>
  </w:num>
  <w:num w:numId="10">
    <w:abstractNumId w:val="16"/>
  </w:num>
  <w:num w:numId="11">
    <w:abstractNumId w:val="25"/>
  </w:num>
  <w:num w:numId="12">
    <w:abstractNumId w:val="5"/>
  </w:num>
  <w:num w:numId="13">
    <w:abstractNumId w:val="12"/>
  </w:num>
  <w:num w:numId="14">
    <w:abstractNumId w:val="4"/>
  </w:num>
  <w:num w:numId="15">
    <w:abstractNumId w:val="11"/>
  </w:num>
  <w:num w:numId="16">
    <w:abstractNumId w:val="27"/>
  </w:num>
  <w:num w:numId="17">
    <w:abstractNumId w:val="9"/>
  </w:num>
  <w:num w:numId="18">
    <w:abstractNumId w:val="2"/>
  </w:num>
  <w:num w:numId="19">
    <w:abstractNumId w:val="10"/>
  </w:num>
  <w:num w:numId="20">
    <w:abstractNumId w:val="21"/>
  </w:num>
  <w:num w:numId="21">
    <w:abstractNumId w:val="26"/>
  </w:num>
  <w:num w:numId="22">
    <w:abstractNumId w:val="22"/>
  </w:num>
  <w:num w:numId="23">
    <w:abstractNumId w:val="3"/>
  </w:num>
  <w:num w:numId="24">
    <w:abstractNumId w:val="23"/>
  </w:num>
  <w:num w:numId="25">
    <w:abstractNumId w:val="1"/>
  </w:num>
  <w:num w:numId="26">
    <w:abstractNumId w:val="20"/>
  </w:num>
  <w:num w:numId="27">
    <w:abstractNumId w:val="24"/>
  </w:num>
  <w:num w:numId="28">
    <w:abstractNumId w:val="19"/>
  </w:num>
  <w:num w:numId="29">
    <w:abstractNumId w:val="14"/>
  </w:num>
  <w:num w:numId="30">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24"/>
    <w:rsid w:val="0000247B"/>
    <w:rsid w:val="000106CF"/>
    <w:rsid w:val="00010BDF"/>
    <w:rsid w:val="0001531E"/>
    <w:rsid w:val="00016BAD"/>
    <w:rsid w:val="0002492E"/>
    <w:rsid w:val="00027EB6"/>
    <w:rsid w:val="000325E1"/>
    <w:rsid w:val="00032A5F"/>
    <w:rsid w:val="0003701E"/>
    <w:rsid w:val="00045BE6"/>
    <w:rsid w:val="00051F2A"/>
    <w:rsid w:val="00061B5E"/>
    <w:rsid w:val="00064246"/>
    <w:rsid w:val="00073662"/>
    <w:rsid w:val="00075A5C"/>
    <w:rsid w:val="00077D39"/>
    <w:rsid w:val="00083565"/>
    <w:rsid w:val="00084D98"/>
    <w:rsid w:val="00092037"/>
    <w:rsid w:val="000D72E7"/>
    <w:rsid w:val="000E017D"/>
    <w:rsid w:val="000E0BAF"/>
    <w:rsid w:val="000E75B7"/>
    <w:rsid w:val="000F3FDE"/>
    <w:rsid w:val="000F5CE9"/>
    <w:rsid w:val="000F6CCC"/>
    <w:rsid w:val="00107175"/>
    <w:rsid w:val="00107813"/>
    <w:rsid w:val="00111ACD"/>
    <w:rsid w:val="00116458"/>
    <w:rsid w:val="001208EA"/>
    <w:rsid w:val="0012108F"/>
    <w:rsid w:val="001235C8"/>
    <w:rsid w:val="0012370B"/>
    <w:rsid w:val="0012437B"/>
    <w:rsid w:val="0012651A"/>
    <w:rsid w:val="00133BB0"/>
    <w:rsid w:val="00135329"/>
    <w:rsid w:val="001377D7"/>
    <w:rsid w:val="00160197"/>
    <w:rsid w:val="001642C4"/>
    <w:rsid w:val="00170CA3"/>
    <w:rsid w:val="00172F4A"/>
    <w:rsid w:val="001777D8"/>
    <w:rsid w:val="00180455"/>
    <w:rsid w:val="00183F25"/>
    <w:rsid w:val="001907F5"/>
    <w:rsid w:val="001A082A"/>
    <w:rsid w:val="001A3BA5"/>
    <w:rsid w:val="001B5F98"/>
    <w:rsid w:val="001C37E8"/>
    <w:rsid w:val="001C3B6C"/>
    <w:rsid w:val="001D16D5"/>
    <w:rsid w:val="001D5E04"/>
    <w:rsid w:val="001E17FD"/>
    <w:rsid w:val="001E5810"/>
    <w:rsid w:val="001E7512"/>
    <w:rsid w:val="00200D2F"/>
    <w:rsid w:val="00202430"/>
    <w:rsid w:val="00202439"/>
    <w:rsid w:val="00203846"/>
    <w:rsid w:val="00203DFB"/>
    <w:rsid w:val="00212B92"/>
    <w:rsid w:val="00215BEB"/>
    <w:rsid w:val="00225F34"/>
    <w:rsid w:val="00253852"/>
    <w:rsid w:val="002616C6"/>
    <w:rsid w:val="00265B70"/>
    <w:rsid w:val="00266115"/>
    <w:rsid w:val="00271B95"/>
    <w:rsid w:val="00271E0D"/>
    <w:rsid w:val="00274421"/>
    <w:rsid w:val="00280D56"/>
    <w:rsid w:val="0028488C"/>
    <w:rsid w:val="00286A79"/>
    <w:rsid w:val="00290FE7"/>
    <w:rsid w:val="002A514C"/>
    <w:rsid w:val="002B6C4F"/>
    <w:rsid w:val="002C0289"/>
    <w:rsid w:val="002D5146"/>
    <w:rsid w:val="002D7024"/>
    <w:rsid w:val="002E0450"/>
    <w:rsid w:val="002E248C"/>
    <w:rsid w:val="002E6BA4"/>
    <w:rsid w:val="002F1FF6"/>
    <w:rsid w:val="002F3502"/>
    <w:rsid w:val="002F748B"/>
    <w:rsid w:val="00301594"/>
    <w:rsid w:val="00314144"/>
    <w:rsid w:val="0031483F"/>
    <w:rsid w:val="00336912"/>
    <w:rsid w:val="00344472"/>
    <w:rsid w:val="0034793E"/>
    <w:rsid w:val="00357B22"/>
    <w:rsid w:val="00360ED1"/>
    <w:rsid w:val="00370C30"/>
    <w:rsid w:val="00372EBE"/>
    <w:rsid w:val="00383C40"/>
    <w:rsid w:val="003A3D70"/>
    <w:rsid w:val="003B3FF4"/>
    <w:rsid w:val="003E090F"/>
    <w:rsid w:val="003E4801"/>
    <w:rsid w:val="003F1654"/>
    <w:rsid w:val="003F5758"/>
    <w:rsid w:val="0040791E"/>
    <w:rsid w:val="00410D7B"/>
    <w:rsid w:val="004124A6"/>
    <w:rsid w:val="0041413B"/>
    <w:rsid w:val="00423BF4"/>
    <w:rsid w:val="0043477B"/>
    <w:rsid w:val="00445E7C"/>
    <w:rsid w:val="004500A2"/>
    <w:rsid w:val="00457B70"/>
    <w:rsid w:val="004722A7"/>
    <w:rsid w:val="00476F82"/>
    <w:rsid w:val="00480456"/>
    <w:rsid w:val="00480CC2"/>
    <w:rsid w:val="00490D28"/>
    <w:rsid w:val="0049148A"/>
    <w:rsid w:val="00493DD4"/>
    <w:rsid w:val="00494A83"/>
    <w:rsid w:val="004A6725"/>
    <w:rsid w:val="004B35CD"/>
    <w:rsid w:val="004C143A"/>
    <w:rsid w:val="004C456E"/>
    <w:rsid w:val="004D6041"/>
    <w:rsid w:val="004E7722"/>
    <w:rsid w:val="004F53AD"/>
    <w:rsid w:val="004F73CA"/>
    <w:rsid w:val="00501BC1"/>
    <w:rsid w:val="00515BB8"/>
    <w:rsid w:val="00520A70"/>
    <w:rsid w:val="0053361C"/>
    <w:rsid w:val="00534702"/>
    <w:rsid w:val="00535D2C"/>
    <w:rsid w:val="00537191"/>
    <w:rsid w:val="00551137"/>
    <w:rsid w:val="005527A8"/>
    <w:rsid w:val="0055337F"/>
    <w:rsid w:val="00555D3A"/>
    <w:rsid w:val="005656A1"/>
    <w:rsid w:val="00583A18"/>
    <w:rsid w:val="005865DB"/>
    <w:rsid w:val="005A1C90"/>
    <w:rsid w:val="005B4207"/>
    <w:rsid w:val="005B4406"/>
    <w:rsid w:val="005B6B9E"/>
    <w:rsid w:val="005C6134"/>
    <w:rsid w:val="005C71F6"/>
    <w:rsid w:val="005D22B6"/>
    <w:rsid w:val="005D7946"/>
    <w:rsid w:val="005D79B1"/>
    <w:rsid w:val="005E0806"/>
    <w:rsid w:val="005F01CA"/>
    <w:rsid w:val="005F6E5A"/>
    <w:rsid w:val="005F71DE"/>
    <w:rsid w:val="006003DD"/>
    <w:rsid w:val="00602B2C"/>
    <w:rsid w:val="00607579"/>
    <w:rsid w:val="006079FF"/>
    <w:rsid w:val="00612068"/>
    <w:rsid w:val="00612DEB"/>
    <w:rsid w:val="00614204"/>
    <w:rsid w:val="006145A7"/>
    <w:rsid w:val="006308E7"/>
    <w:rsid w:val="00633723"/>
    <w:rsid w:val="00645E6C"/>
    <w:rsid w:val="00646528"/>
    <w:rsid w:val="0065463B"/>
    <w:rsid w:val="00665700"/>
    <w:rsid w:val="00667176"/>
    <w:rsid w:val="00683582"/>
    <w:rsid w:val="0068617C"/>
    <w:rsid w:val="00686D1B"/>
    <w:rsid w:val="006A6939"/>
    <w:rsid w:val="006A7C2D"/>
    <w:rsid w:val="006B5964"/>
    <w:rsid w:val="006C5076"/>
    <w:rsid w:val="006C5BB1"/>
    <w:rsid w:val="006D1EA9"/>
    <w:rsid w:val="006D36F1"/>
    <w:rsid w:val="006E1390"/>
    <w:rsid w:val="006F24E0"/>
    <w:rsid w:val="006F51B7"/>
    <w:rsid w:val="0071672B"/>
    <w:rsid w:val="0071782E"/>
    <w:rsid w:val="00720433"/>
    <w:rsid w:val="00720518"/>
    <w:rsid w:val="00730634"/>
    <w:rsid w:val="00730EF5"/>
    <w:rsid w:val="0073112F"/>
    <w:rsid w:val="0073412B"/>
    <w:rsid w:val="00736CE5"/>
    <w:rsid w:val="0074349A"/>
    <w:rsid w:val="00743C19"/>
    <w:rsid w:val="00744322"/>
    <w:rsid w:val="007470C0"/>
    <w:rsid w:val="0076555F"/>
    <w:rsid w:val="00766FF9"/>
    <w:rsid w:val="00767738"/>
    <w:rsid w:val="007707B1"/>
    <w:rsid w:val="007731AB"/>
    <w:rsid w:val="00777040"/>
    <w:rsid w:val="007811AB"/>
    <w:rsid w:val="007813DF"/>
    <w:rsid w:val="0078599F"/>
    <w:rsid w:val="00787368"/>
    <w:rsid w:val="00790767"/>
    <w:rsid w:val="00795243"/>
    <w:rsid w:val="00797E3B"/>
    <w:rsid w:val="007B3747"/>
    <w:rsid w:val="007D6406"/>
    <w:rsid w:val="007F2434"/>
    <w:rsid w:val="007F56C2"/>
    <w:rsid w:val="00800519"/>
    <w:rsid w:val="00801A19"/>
    <w:rsid w:val="00804D65"/>
    <w:rsid w:val="00804DFF"/>
    <w:rsid w:val="008109CA"/>
    <w:rsid w:val="0083565E"/>
    <w:rsid w:val="008403DC"/>
    <w:rsid w:val="00843982"/>
    <w:rsid w:val="008548FE"/>
    <w:rsid w:val="008617C7"/>
    <w:rsid w:val="00875FD7"/>
    <w:rsid w:val="00876E32"/>
    <w:rsid w:val="00877FAC"/>
    <w:rsid w:val="00880694"/>
    <w:rsid w:val="00881721"/>
    <w:rsid w:val="00882ABE"/>
    <w:rsid w:val="0088729A"/>
    <w:rsid w:val="0089257F"/>
    <w:rsid w:val="008A1281"/>
    <w:rsid w:val="008A1353"/>
    <w:rsid w:val="008B1A9D"/>
    <w:rsid w:val="008B2732"/>
    <w:rsid w:val="008C05F2"/>
    <w:rsid w:val="008C51D5"/>
    <w:rsid w:val="008D29E2"/>
    <w:rsid w:val="008D393A"/>
    <w:rsid w:val="008D62F0"/>
    <w:rsid w:val="008D7121"/>
    <w:rsid w:val="008E1C8D"/>
    <w:rsid w:val="008E2BDE"/>
    <w:rsid w:val="008E617E"/>
    <w:rsid w:val="008F440A"/>
    <w:rsid w:val="008F67E9"/>
    <w:rsid w:val="009004C7"/>
    <w:rsid w:val="00901A87"/>
    <w:rsid w:val="009057EF"/>
    <w:rsid w:val="00907144"/>
    <w:rsid w:val="0092544C"/>
    <w:rsid w:val="009469BC"/>
    <w:rsid w:val="0095066E"/>
    <w:rsid w:val="00956EBB"/>
    <w:rsid w:val="00972699"/>
    <w:rsid w:val="009812CC"/>
    <w:rsid w:val="0098651F"/>
    <w:rsid w:val="009916E7"/>
    <w:rsid w:val="009A37C4"/>
    <w:rsid w:val="009B61EF"/>
    <w:rsid w:val="009B6E55"/>
    <w:rsid w:val="009B70F9"/>
    <w:rsid w:val="009C0E6D"/>
    <w:rsid w:val="009C0EBD"/>
    <w:rsid w:val="009C42C7"/>
    <w:rsid w:val="009C70E2"/>
    <w:rsid w:val="009C77AB"/>
    <w:rsid w:val="009E112C"/>
    <w:rsid w:val="009F6857"/>
    <w:rsid w:val="009F7B51"/>
    <w:rsid w:val="00A02B4C"/>
    <w:rsid w:val="00A2020D"/>
    <w:rsid w:val="00A21181"/>
    <w:rsid w:val="00A25198"/>
    <w:rsid w:val="00A34022"/>
    <w:rsid w:val="00A3451B"/>
    <w:rsid w:val="00A47DA2"/>
    <w:rsid w:val="00A616A8"/>
    <w:rsid w:val="00A62ABB"/>
    <w:rsid w:val="00A63343"/>
    <w:rsid w:val="00A637FA"/>
    <w:rsid w:val="00A73CE0"/>
    <w:rsid w:val="00A74778"/>
    <w:rsid w:val="00A74F4A"/>
    <w:rsid w:val="00A800BE"/>
    <w:rsid w:val="00AC536A"/>
    <w:rsid w:val="00AE1697"/>
    <w:rsid w:val="00AE3357"/>
    <w:rsid w:val="00AE7B13"/>
    <w:rsid w:val="00AF5EC7"/>
    <w:rsid w:val="00B049B3"/>
    <w:rsid w:val="00B04B0E"/>
    <w:rsid w:val="00B1681B"/>
    <w:rsid w:val="00B17CB8"/>
    <w:rsid w:val="00B2354A"/>
    <w:rsid w:val="00B25DAC"/>
    <w:rsid w:val="00B270A4"/>
    <w:rsid w:val="00B3158C"/>
    <w:rsid w:val="00B34C51"/>
    <w:rsid w:val="00B36FAE"/>
    <w:rsid w:val="00B40C6F"/>
    <w:rsid w:val="00B459B3"/>
    <w:rsid w:val="00B51A27"/>
    <w:rsid w:val="00B608AD"/>
    <w:rsid w:val="00B6282D"/>
    <w:rsid w:val="00B652D1"/>
    <w:rsid w:val="00B71B95"/>
    <w:rsid w:val="00B73487"/>
    <w:rsid w:val="00B9530B"/>
    <w:rsid w:val="00B9584B"/>
    <w:rsid w:val="00BA2433"/>
    <w:rsid w:val="00BA367A"/>
    <w:rsid w:val="00BB17C3"/>
    <w:rsid w:val="00BB211E"/>
    <w:rsid w:val="00BB5205"/>
    <w:rsid w:val="00BC155D"/>
    <w:rsid w:val="00BC6A3F"/>
    <w:rsid w:val="00BD4FB0"/>
    <w:rsid w:val="00BD62EC"/>
    <w:rsid w:val="00BD6E08"/>
    <w:rsid w:val="00C0763F"/>
    <w:rsid w:val="00C15B09"/>
    <w:rsid w:val="00C22A16"/>
    <w:rsid w:val="00C22B23"/>
    <w:rsid w:val="00C23963"/>
    <w:rsid w:val="00C248E1"/>
    <w:rsid w:val="00C32DC0"/>
    <w:rsid w:val="00C32F8D"/>
    <w:rsid w:val="00C3765D"/>
    <w:rsid w:val="00C41223"/>
    <w:rsid w:val="00C46DA0"/>
    <w:rsid w:val="00C50F3C"/>
    <w:rsid w:val="00C53116"/>
    <w:rsid w:val="00C55941"/>
    <w:rsid w:val="00C614EB"/>
    <w:rsid w:val="00C671D1"/>
    <w:rsid w:val="00C712BC"/>
    <w:rsid w:val="00C7548D"/>
    <w:rsid w:val="00C75DF6"/>
    <w:rsid w:val="00CA2881"/>
    <w:rsid w:val="00CB375A"/>
    <w:rsid w:val="00CE0523"/>
    <w:rsid w:val="00CE7B2E"/>
    <w:rsid w:val="00D0682D"/>
    <w:rsid w:val="00D1432F"/>
    <w:rsid w:val="00D16BCE"/>
    <w:rsid w:val="00D24674"/>
    <w:rsid w:val="00D24CD0"/>
    <w:rsid w:val="00D270F0"/>
    <w:rsid w:val="00D4093E"/>
    <w:rsid w:val="00D50D36"/>
    <w:rsid w:val="00D54A69"/>
    <w:rsid w:val="00D55A8E"/>
    <w:rsid w:val="00D73BCD"/>
    <w:rsid w:val="00D7556C"/>
    <w:rsid w:val="00D773F7"/>
    <w:rsid w:val="00D800AA"/>
    <w:rsid w:val="00D93671"/>
    <w:rsid w:val="00DB0BF6"/>
    <w:rsid w:val="00DB2678"/>
    <w:rsid w:val="00DB58AC"/>
    <w:rsid w:val="00DD00B0"/>
    <w:rsid w:val="00DD2C01"/>
    <w:rsid w:val="00DD554A"/>
    <w:rsid w:val="00DD7056"/>
    <w:rsid w:val="00DF0CBA"/>
    <w:rsid w:val="00DF337A"/>
    <w:rsid w:val="00DF4996"/>
    <w:rsid w:val="00DF4DFD"/>
    <w:rsid w:val="00DF50AD"/>
    <w:rsid w:val="00E01F1E"/>
    <w:rsid w:val="00E03197"/>
    <w:rsid w:val="00E15683"/>
    <w:rsid w:val="00E159A9"/>
    <w:rsid w:val="00E21617"/>
    <w:rsid w:val="00E21CC3"/>
    <w:rsid w:val="00E47CD4"/>
    <w:rsid w:val="00E530F6"/>
    <w:rsid w:val="00E53956"/>
    <w:rsid w:val="00E54693"/>
    <w:rsid w:val="00E54AE6"/>
    <w:rsid w:val="00E5696D"/>
    <w:rsid w:val="00E613E2"/>
    <w:rsid w:val="00E62427"/>
    <w:rsid w:val="00E6350B"/>
    <w:rsid w:val="00E706C4"/>
    <w:rsid w:val="00E70C43"/>
    <w:rsid w:val="00E81E0E"/>
    <w:rsid w:val="00E82B3A"/>
    <w:rsid w:val="00E87C7C"/>
    <w:rsid w:val="00EA4397"/>
    <w:rsid w:val="00EB087E"/>
    <w:rsid w:val="00EB0C9C"/>
    <w:rsid w:val="00EC16D9"/>
    <w:rsid w:val="00EC1914"/>
    <w:rsid w:val="00ED5B23"/>
    <w:rsid w:val="00EE168D"/>
    <w:rsid w:val="00EF4D33"/>
    <w:rsid w:val="00F155F5"/>
    <w:rsid w:val="00F251C8"/>
    <w:rsid w:val="00F25957"/>
    <w:rsid w:val="00F32011"/>
    <w:rsid w:val="00F32E1A"/>
    <w:rsid w:val="00F3757D"/>
    <w:rsid w:val="00F63E75"/>
    <w:rsid w:val="00F7687A"/>
    <w:rsid w:val="00F82428"/>
    <w:rsid w:val="00FA105A"/>
    <w:rsid w:val="00FA4D4C"/>
    <w:rsid w:val="00FA61C3"/>
    <w:rsid w:val="00FB300B"/>
    <w:rsid w:val="00FB305C"/>
    <w:rsid w:val="00FB691B"/>
    <w:rsid w:val="00FB6DBD"/>
    <w:rsid w:val="00FC1644"/>
    <w:rsid w:val="00FD31A6"/>
    <w:rsid w:val="00FE5E9F"/>
    <w:rsid w:val="00FE6F82"/>
    <w:rsid w:val="00FE7415"/>
    <w:rsid w:val="00FF52E0"/>
    <w:rsid w:val="00FF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023A24"/>
  <w15:docId w15:val="{B7E813E9-F502-41E9-BB7E-3664D2D9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5D79B1"/>
    <w:pPr>
      <w:keepNext/>
      <w:keepLines/>
      <w:spacing w:after="2" w:line="263" w:lineRule="auto"/>
      <w:ind w:left="10" w:hanging="10"/>
      <w:outlineLvl w:val="0"/>
    </w:pPr>
    <w:rPr>
      <w:rFonts w:ascii="Calibri" w:eastAsia="Calibri" w:hAnsi="Calibri" w:cs="Calibri"/>
      <w:color w:val="365F91"/>
      <w:sz w:val="28"/>
    </w:rPr>
  </w:style>
  <w:style w:type="paragraph" w:styleId="Heading2">
    <w:name w:val="heading 2"/>
    <w:aliases w:val="l2"/>
    <w:basedOn w:val="Normal"/>
    <w:next w:val="Normal"/>
    <w:link w:val="Heading2Char"/>
    <w:unhideWhenUsed/>
    <w:qFormat/>
    <w:rsid w:val="00032A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55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BodyText"/>
    <w:link w:val="Heading4Char"/>
    <w:qFormat/>
    <w:rsid w:val="005C6134"/>
    <w:pPr>
      <w:keepLines w:val="0"/>
      <w:tabs>
        <w:tab w:val="left" w:pos="720"/>
        <w:tab w:val="left" w:pos="936"/>
      </w:tabs>
      <w:spacing w:before="360" w:after="120" w:line="260" w:lineRule="exact"/>
      <w:ind w:left="864" w:hanging="864"/>
      <w:outlineLvl w:val="3"/>
    </w:pPr>
    <w:rPr>
      <w:rFonts w:ascii="Bookman Old Style" w:eastAsia="Times New Roman" w:hAnsi="Bookman Old Style" w:cs="Times New Roman"/>
      <w:color w:val="auto"/>
      <w:sz w:val="22"/>
      <w:szCs w:val="26"/>
    </w:rPr>
  </w:style>
  <w:style w:type="paragraph" w:styleId="Heading5">
    <w:name w:val="heading 5"/>
    <w:basedOn w:val="Normal"/>
    <w:next w:val="Normal"/>
    <w:link w:val="Heading5Char"/>
    <w:qFormat/>
    <w:rsid w:val="005C6134"/>
    <w:pPr>
      <w:keepNext/>
      <w:spacing w:before="240" w:after="60" w:line="260" w:lineRule="exact"/>
      <w:ind w:left="1008" w:hanging="1008"/>
      <w:outlineLvl w:val="4"/>
    </w:pPr>
    <w:rPr>
      <w:rFonts w:ascii="Bookman Old Style" w:eastAsia="Times New Roman" w:hAnsi="Bookman Old Style" w:cs="Times New Roman"/>
      <w:sz w:val="20"/>
      <w:szCs w:val="24"/>
    </w:rPr>
  </w:style>
  <w:style w:type="paragraph" w:styleId="Heading6">
    <w:name w:val="heading 6"/>
    <w:basedOn w:val="Normal"/>
    <w:next w:val="Normal"/>
    <w:link w:val="Heading6Char"/>
    <w:qFormat/>
    <w:rsid w:val="005C6134"/>
    <w:pPr>
      <w:spacing w:before="240" w:after="60" w:line="260" w:lineRule="exact"/>
      <w:ind w:left="1152" w:hanging="1152"/>
      <w:outlineLvl w:val="5"/>
    </w:pPr>
    <w:rPr>
      <w:rFonts w:ascii="Bookman Old Style" w:eastAsia="Times New Roman" w:hAnsi="Bookman Old Style" w:cs="Times New Roman"/>
      <w:sz w:val="20"/>
      <w:szCs w:val="24"/>
    </w:rPr>
  </w:style>
  <w:style w:type="paragraph" w:styleId="Heading7">
    <w:name w:val="heading 7"/>
    <w:aliases w:val="appendix"/>
    <w:basedOn w:val="Normal"/>
    <w:next w:val="Normal"/>
    <w:link w:val="Heading7Char"/>
    <w:qFormat/>
    <w:rsid w:val="005C6134"/>
    <w:pPr>
      <w:spacing w:before="240" w:after="60" w:line="260" w:lineRule="exact"/>
      <w:ind w:left="1296" w:hanging="1296"/>
      <w:outlineLvl w:val="6"/>
    </w:pPr>
    <w:rPr>
      <w:rFonts w:ascii="Bookman Old Style" w:eastAsia="Times New Roman" w:hAnsi="Bookman Old Style" w:cs="Times New Roman"/>
      <w:sz w:val="20"/>
      <w:szCs w:val="24"/>
    </w:rPr>
  </w:style>
  <w:style w:type="paragraph" w:styleId="Heading8">
    <w:name w:val="heading 8"/>
    <w:basedOn w:val="Normal"/>
    <w:next w:val="Normal"/>
    <w:link w:val="Heading8Char"/>
    <w:qFormat/>
    <w:rsid w:val="005C6134"/>
    <w:pPr>
      <w:spacing w:before="240" w:after="60" w:line="260" w:lineRule="exact"/>
      <w:ind w:left="1440" w:hanging="1440"/>
      <w:outlineLvl w:val="7"/>
    </w:pPr>
    <w:rPr>
      <w:rFonts w:ascii="Bookman Old Style" w:eastAsia="Times New Roman" w:hAnsi="Bookman Old Style" w:cs="Times New Roman"/>
      <w:sz w:val="20"/>
      <w:szCs w:val="24"/>
    </w:rPr>
  </w:style>
  <w:style w:type="paragraph" w:styleId="Heading9">
    <w:name w:val="heading 9"/>
    <w:basedOn w:val="Normal"/>
    <w:next w:val="Normal"/>
    <w:link w:val="Heading9Char"/>
    <w:qFormat/>
    <w:rsid w:val="005C6134"/>
    <w:pPr>
      <w:spacing w:before="240" w:after="60" w:line="260" w:lineRule="exact"/>
      <w:ind w:left="1584" w:hanging="1584"/>
      <w:outlineLvl w:val="8"/>
    </w:pPr>
    <w:rPr>
      <w:rFonts w:ascii="Bookman Old Style" w:eastAsia="Times New Roman" w:hAnsi="Bookman Old Style"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801"/>
    <w:pPr>
      <w:ind w:left="720"/>
      <w:contextualSpacing/>
    </w:pPr>
  </w:style>
  <w:style w:type="paragraph" w:styleId="NormalWeb">
    <w:name w:val="Normal (Web)"/>
    <w:basedOn w:val="Normal"/>
    <w:uiPriority w:val="99"/>
    <w:unhideWhenUsed/>
    <w:rsid w:val="00AE3357"/>
    <w:pPr>
      <w:spacing w:after="0" w:line="240" w:lineRule="auto"/>
    </w:pPr>
    <w:rPr>
      <w:rFonts w:ascii="Times New Roman" w:hAnsi="Times New Roman" w:cs="Times New Roman"/>
      <w:sz w:val="24"/>
      <w:szCs w:val="24"/>
    </w:rPr>
  </w:style>
  <w:style w:type="paragraph" w:styleId="Header">
    <w:name w:val="header"/>
    <w:basedOn w:val="Normal"/>
    <w:link w:val="HeaderChar"/>
    <w:unhideWhenUsed/>
    <w:rsid w:val="00E5696D"/>
    <w:pPr>
      <w:tabs>
        <w:tab w:val="center" w:pos="4680"/>
        <w:tab w:val="right" w:pos="9360"/>
      </w:tabs>
      <w:spacing w:after="0" w:line="240" w:lineRule="auto"/>
    </w:pPr>
  </w:style>
  <w:style w:type="character" w:customStyle="1" w:styleId="HeaderChar">
    <w:name w:val="Header Char"/>
    <w:basedOn w:val="DefaultParagraphFont"/>
    <w:link w:val="Header"/>
    <w:rsid w:val="00E5696D"/>
  </w:style>
  <w:style w:type="paragraph" w:styleId="Footer">
    <w:name w:val="footer"/>
    <w:basedOn w:val="Normal"/>
    <w:link w:val="FooterChar"/>
    <w:unhideWhenUsed/>
    <w:rsid w:val="00E5696D"/>
    <w:pPr>
      <w:tabs>
        <w:tab w:val="center" w:pos="4680"/>
        <w:tab w:val="right" w:pos="9360"/>
      </w:tabs>
      <w:spacing w:after="0" w:line="240" w:lineRule="auto"/>
    </w:pPr>
  </w:style>
  <w:style w:type="character" w:customStyle="1" w:styleId="FooterChar">
    <w:name w:val="Footer Char"/>
    <w:basedOn w:val="DefaultParagraphFont"/>
    <w:link w:val="Footer"/>
    <w:rsid w:val="00E5696D"/>
  </w:style>
  <w:style w:type="paragraph" w:styleId="BalloonText">
    <w:name w:val="Balloon Text"/>
    <w:basedOn w:val="Normal"/>
    <w:link w:val="BalloonTextChar"/>
    <w:uiPriority w:val="99"/>
    <w:unhideWhenUsed/>
    <w:rsid w:val="00177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7D8"/>
    <w:rPr>
      <w:rFonts w:ascii="Segoe UI" w:hAnsi="Segoe UI" w:cs="Segoe UI"/>
      <w:sz w:val="18"/>
      <w:szCs w:val="18"/>
    </w:rPr>
  </w:style>
  <w:style w:type="character" w:styleId="CommentReference">
    <w:name w:val="annotation reference"/>
    <w:basedOn w:val="DefaultParagraphFont"/>
    <w:uiPriority w:val="99"/>
    <w:semiHidden/>
    <w:unhideWhenUsed/>
    <w:rsid w:val="001777D8"/>
    <w:rPr>
      <w:sz w:val="16"/>
      <w:szCs w:val="16"/>
    </w:rPr>
  </w:style>
  <w:style w:type="paragraph" w:styleId="CommentText">
    <w:name w:val="annotation text"/>
    <w:basedOn w:val="Normal"/>
    <w:link w:val="CommentTextChar"/>
    <w:unhideWhenUsed/>
    <w:rsid w:val="001777D8"/>
    <w:pPr>
      <w:spacing w:line="240" w:lineRule="auto"/>
    </w:pPr>
    <w:rPr>
      <w:sz w:val="20"/>
      <w:szCs w:val="20"/>
    </w:rPr>
  </w:style>
  <w:style w:type="character" w:customStyle="1" w:styleId="CommentTextChar">
    <w:name w:val="Comment Text Char"/>
    <w:basedOn w:val="DefaultParagraphFont"/>
    <w:link w:val="CommentText"/>
    <w:rsid w:val="001777D8"/>
    <w:rPr>
      <w:sz w:val="20"/>
      <w:szCs w:val="20"/>
    </w:rPr>
  </w:style>
  <w:style w:type="paragraph" w:styleId="CommentSubject">
    <w:name w:val="annotation subject"/>
    <w:basedOn w:val="CommentText"/>
    <w:next w:val="CommentText"/>
    <w:link w:val="CommentSubjectChar"/>
    <w:uiPriority w:val="99"/>
    <w:semiHidden/>
    <w:unhideWhenUsed/>
    <w:rsid w:val="001777D8"/>
    <w:rPr>
      <w:b/>
      <w:bCs/>
    </w:rPr>
  </w:style>
  <w:style w:type="character" w:customStyle="1" w:styleId="CommentSubjectChar">
    <w:name w:val="Comment Subject Char"/>
    <w:basedOn w:val="CommentTextChar"/>
    <w:link w:val="CommentSubject"/>
    <w:uiPriority w:val="99"/>
    <w:semiHidden/>
    <w:rsid w:val="001777D8"/>
    <w:rPr>
      <w:b/>
      <w:bCs/>
      <w:sz w:val="20"/>
      <w:szCs w:val="20"/>
    </w:rPr>
  </w:style>
  <w:style w:type="character" w:styleId="Strong">
    <w:name w:val="Strong"/>
    <w:basedOn w:val="DefaultParagraphFont"/>
    <w:uiPriority w:val="22"/>
    <w:qFormat/>
    <w:rsid w:val="00F7687A"/>
    <w:rPr>
      <w:b/>
      <w:bCs/>
    </w:rPr>
  </w:style>
  <w:style w:type="character" w:customStyle="1" w:styleId="Heading1Char">
    <w:name w:val="Heading 1 Char"/>
    <w:basedOn w:val="DefaultParagraphFont"/>
    <w:link w:val="Heading1"/>
    <w:rsid w:val="005D79B1"/>
    <w:rPr>
      <w:rFonts w:ascii="Calibri" w:eastAsia="Calibri" w:hAnsi="Calibri" w:cs="Calibri"/>
      <w:color w:val="365F91"/>
      <w:sz w:val="28"/>
    </w:rPr>
  </w:style>
  <w:style w:type="table" w:customStyle="1" w:styleId="TableGrid">
    <w:name w:val="TableGrid"/>
    <w:rsid w:val="005D79B1"/>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aliases w:val="l2 Char"/>
    <w:basedOn w:val="DefaultParagraphFont"/>
    <w:link w:val="Heading2"/>
    <w:rsid w:val="00032A5F"/>
    <w:rPr>
      <w:rFonts w:asciiTheme="majorHAnsi" w:eastAsiaTheme="majorEastAsia" w:hAnsiTheme="majorHAnsi" w:cstheme="majorBidi"/>
      <w:color w:val="365F91" w:themeColor="accent1" w:themeShade="BF"/>
      <w:sz w:val="26"/>
      <w:szCs w:val="26"/>
    </w:rPr>
  </w:style>
  <w:style w:type="paragraph" w:customStyle="1" w:styleId="footnotedescription">
    <w:name w:val="footnote description"/>
    <w:next w:val="Normal"/>
    <w:link w:val="footnotedescriptionChar"/>
    <w:hidden/>
    <w:rsid w:val="00032A5F"/>
    <w:pPr>
      <w:spacing w:after="0" w:line="259" w:lineRule="auto"/>
    </w:pPr>
    <w:rPr>
      <w:rFonts w:ascii="Calibri" w:eastAsia="Calibri" w:hAnsi="Calibri" w:cs="Calibri"/>
      <w:color w:val="000000"/>
      <w:sz w:val="20"/>
    </w:rPr>
  </w:style>
  <w:style w:type="character" w:customStyle="1" w:styleId="footnotedescriptionChar">
    <w:name w:val="footnote description Char"/>
    <w:link w:val="footnotedescription"/>
    <w:rsid w:val="00032A5F"/>
    <w:rPr>
      <w:rFonts w:ascii="Calibri" w:eastAsia="Calibri" w:hAnsi="Calibri" w:cs="Calibri"/>
      <w:color w:val="000000"/>
      <w:sz w:val="20"/>
    </w:rPr>
  </w:style>
  <w:style w:type="character" w:customStyle="1" w:styleId="footnotemark">
    <w:name w:val="footnote mark"/>
    <w:hidden/>
    <w:rsid w:val="00032A5F"/>
    <w:rPr>
      <w:rFonts w:ascii="Calibri" w:eastAsia="Calibri" w:hAnsi="Calibri" w:cs="Calibri"/>
      <w:color w:val="000000"/>
      <w:sz w:val="20"/>
      <w:vertAlign w:val="superscript"/>
    </w:rPr>
  </w:style>
  <w:style w:type="character" w:customStyle="1" w:styleId="Heading3Char">
    <w:name w:val="Heading 3 Char"/>
    <w:basedOn w:val="DefaultParagraphFont"/>
    <w:link w:val="Heading3"/>
    <w:uiPriority w:val="9"/>
    <w:rsid w:val="00D7556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5C6134"/>
    <w:rPr>
      <w:rFonts w:ascii="Bookman Old Style" w:eastAsia="Times New Roman" w:hAnsi="Bookman Old Style" w:cs="Times New Roman"/>
      <w:szCs w:val="26"/>
    </w:rPr>
  </w:style>
  <w:style w:type="character" w:customStyle="1" w:styleId="Heading5Char">
    <w:name w:val="Heading 5 Char"/>
    <w:basedOn w:val="DefaultParagraphFont"/>
    <w:link w:val="Heading5"/>
    <w:rsid w:val="005C6134"/>
    <w:rPr>
      <w:rFonts w:ascii="Bookman Old Style" w:eastAsia="Times New Roman" w:hAnsi="Bookman Old Style" w:cs="Times New Roman"/>
      <w:sz w:val="20"/>
      <w:szCs w:val="24"/>
    </w:rPr>
  </w:style>
  <w:style w:type="character" w:customStyle="1" w:styleId="Heading6Char">
    <w:name w:val="Heading 6 Char"/>
    <w:basedOn w:val="DefaultParagraphFont"/>
    <w:link w:val="Heading6"/>
    <w:rsid w:val="005C6134"/>
    <w:rPr>
      <w:rFonts w:ascii="Bookman Old Style" w:eastAsia="Times New Roman" w:hAnsi="Bookman Old Style" w:cs="Times New Roman"/>
      <w:sz w:val="20"/>
      <w:szCs w:val="24"/>
    </w:rPr>
  </w:style>
  <w:style w:type="character" w:customStyle="1" w:styleId="Heading7Char">
    <w:name w:val="Heading 7 Char"/>
    <w:aliases w:val="appendix Char"/>
    <w:basedOn w:val="DefaultParagraphFont"/>
    <w:link w:val="Heading7"/>
    <w:rsid w:val="005C6134"/>
    <w:rPr>
      <w:rFonts w:ascii="Bookman Old Style" w:eastAsia="Times New Roman" w:hAnsi="Bookman Old Style" w:cs="Times New Roman"/>
      <w:sz w:val="20"/>
      <w:szCs w:val="24"/>
    </w:rPr>
  </w:style>
  <w:style w:type="character" w:customStyle="1" w:styleId="Heading8Char">
    <w:name w:val="Heading 8 Char"/>
    <w:basedOn w:val="DefaultParagraphFont"/>
    <w:link w:val="Heading8"/>
    <w:rsid w:val="005C6134"/>
    <w:rPr>
      <w:rFonts w:ascii="Bookman Old Style" w:eastAsia="Times New Roman" w:hAnsi="Bookman Old Style" w:cs="Times New Roman"/>
      <w:sz w:val="20"/>
      <w:szCs w:val="24"/>
    </w:rPr>
  </w:style>
  <w:style w:type="character" w:customStyle="1" w:styleId="Heading9Char">
    <w:name w:val="Heading 9 Char"/>
    <w:basedOn w:val="DefaultParagraphFont"/>
    <w:link w:val="Heading9"/>
    <w:rsid w:val="005C6134"/>
    <w:rPr>
      <w:rFonts w:ascii="Bookman Old Style" w:eastAsia="Times New Roman" w:hAnsi="Bookman Old Style" w:cs="Times New Roman"/>
      <w:sz w:val="18"/>
      <w:szCs w:val="24"/>
    </w:rPr>
  </w:style>
  <w:style w:type="character" w:customStyle="1" w:styleId="BalloonTextChar4">
    <w:name w:val="Balloon Text Char4"/>
    <w:uiPriority w:val="99"/>
    <w:semiHidden/>
    <w:rsid w:val="005C6134"/>
    <w:rPr>
      <w:rFonts w:ascii="Lucida Grande" w:hAnsi="Lucida Grande"/>
      <w:sz w:val="18"/>
      <w:szCs w:val="18"/>
    </w:rPr>
  </w:style>
  <w:style w:type="character" w:customStyle="1" w:styleId="BalloonTextChar3">
    <w:name w:val="Balloon Text Char3"/>
    <w:uiPriority w:val="99"/>
    <w:semiHidden/>
    <w:rsid w:val="005C6134"/>
    <w:rPr>
      <w:rFonts w:ascii="Lucida Grande" w:hAnsi="Lucida Grande"/>
      <w:sz w:val="18"/>
      <w:szCs w:val="18"/>
    </w:rPr>
  </w:style>
  <w:style w:type="character" w:customStyle="1" w:styleId="BalloonTextChar1">
    <w:name w:val="Balloon Text Char1"/>
    <w:uiPriority w:val="99"/>
    <w:rsid w:val="005C6134"/>
    <w:rPr>
      <w:rFonts w:ascii="Lucida Grande" w:hAnsi="Lucida Grande"/>
      <w:sz w:val="18"/>
      <w:szCs w:val="18"/>
    </w:rPr>
  </w:style>
  <w:style w:type="paragraph" w:customStyle="1" w:styleId="MediumShading2-Accent61">
    <w:name w:val="Medium Shading 2 - Accent 61"/>
    <w:hidden/>
    <w:rsid w:val="005C6134"/>
    <w:pPr>
      <w:spacing w:after="0" w:line="240" w:lineRule="auto"/>
    </w:pPr>
    <w:rPr>
      <w:rFonts w:ascii="Bookman Old Style" w:eastAsia="Times New Roman" w:hAnsi="Bookman Old Style" w:cs="Times New Roman"/>
      <w:sz w:val="20"/>
      <w:szCs w:val="24"/>
    </w:rPr>
  </w:style>
  <w:style w:type="paragraph" w:styleId="DocumentMap">
    <w:name w:val="Document Map"/>
    <w:basedOn w:val="Normal"/>
    <w:link w:val="DocumentMapChar"/>
    <w:uiPriority w:val="99"/>
    <w:rsid w:val="005C6134"/>
    <w:pPr>
      <w:spacing w:after="40" w:line="260" w:lineRule="exact"/>
    </w:pPr>
    <w:rPr>
      <w:rFonts w:ascii="Lucida Grande" w:eastAsia="Times New Roman" w:hAnsi="Lucida Grande" w:cs="Times New Roman"/>
      <w:sz w:val="24"/>
      <w:szCs w:val="24"/>
    </w:rPr>
  </w:style>
  <w:style w:type="character" w:customStyle="1" w:styleId="DocumentMapChar">
    <w:name w:val="Document Map Char"/>
    <w:basedOn w:val="DefaultParagraphFont"/>
    <w:link w:val="DocumentMap"/>
    <w:uiPriority w:val="99"/>
    <w:rsid w:val="005C6134"/>
    <w:rPr>
      <w:rFonts w:ascii="Lucida Grande" w:eastAsia="Times New Roman" w:hAnsi="Lucida Grande" w:cs="Times New Roman"/>
      <w:sz w:val="24"/>
      <w:szCs w:val="24"/>
    </w:rPr>
  </w:style>
  <w:style w:type="character" w:customStyle="1" w:styleId="keyword">
    <w:name w:val="keyword"/>
    <w:rsid w:val="005C6134"/>
    <w:rPr>
      <w:rFonts w:ascii="Bookman Old Style" w:hAnsi="Bookman Old Style"/>
      <w:b/>
      <w:caps/>
      <w:sz w:val="16"/>
    </w:rPr>
  </w:style>
  <w:style w:type="paragraph" w:styleId="ListBullet">
    <w:name w:val="List Bullet"/>
    <w:basedOn w:val="Normal"/>
    <w:rsid w:val="005C6134"/>
    <w:pPr>
      <w:numPr>
        <w:numId w:val="10"/>
      </w:numPr>
      <w:tabs>
        <w:tab w:val="left" w:pos="1440"/>
      </w:tabs>
      <w:spacing w:after="120" w:line="260" w:lineRule="exact"/>
      <w:ind w:left="1440"/>
    </w:pPr>
    <w:rPr>
      <w:rFonts w:ascii="Bookman Old Style" w:eastAsia="Times New Roman" w:hAnsi="Bookman Old Style" w:cs="Times New Roman"/>
      <w:sz w:val="20"/>
      <w:szCs w:val="24"/>
    </w:rPr>
  </w:style>
  <w:style w:type="paragraph" w:styleId="Title">
    <w:name w:val="Title"/>
    <w:basedOn w:val="Normal"/>
    <w:link w:val="TitleChar"/>
    <w:qFormat/>
    <w:rsid w:val="005C6134"/>
    <w:pPr>
      <w:spacing w:before="240" w:after="60" w:line="260" w:lineRule="exact"/>
      <w:jc w:val="center"/>
    </w:pPr>
    <w:rPr>
      <w:rFonts w:ascii="Verdana" w:eastAsia="Times New Roman" w:hAnsi="Verdana" w:cs="Times New Roman"/>
      <w:b/>
      <w:kern w:val="28"/>
      <w:sz w:val="32"/>
      <w:szCs w:val="24"/>
    </w:rPr>
  </w:style>
  <w:style w:type="character" w:customStyle="1" w:styleId="TitleChar">
    <w:name w:val="Title Char"/>
    <w:basedOn w:val="DefaultParagraphFont"/>
    <w:link w:val="Title"/>
    <w:rsid w:val="005C6134"/>
    <w:rPr>
      <w:rFonts w:ascii="Verdana" w:eastAsia="Times New Roman" w:hAnsi="Verdana" w:cs="Times New Roman"/>
      <w:b/>
      <w:kern w:val="28"/>
      <w:sz w:val="32"/>
      <w:szCs w:val="24"/>
    </w:rPr>
  </w:style>
  <w:style w:type="paragraph" w:styleId="TOC2">
    <w:name w:val="toc 2"/>
    <w:next w:val="TOC3"/>
    <w:autoRedefine/>
    <w:uiPriority w:val="39"/>
    <w:rsid w:val="00C22B23"/>
    <w:pPr>
      <w:tabs>
        <w:tab w:val="right" w:leader="dot" w:pos="9360"/>
      </w:tabs>
      <w:spacing w:after="120" w:line="240" w:lineRule="auto"/>
      <w:ind w:left="202"/>
      <w:outlineLvl w:val="1"/>
    </w:pPr>
    <w:rPr>
      <w:rFonts w:eastAsia="Times New Roman" w:cs="Tahoma"/>
      <w:b/>
      <w:noProof/>
      <w:sz w:val="24"/>
      <w:szCs w:val="24"/>
    </w:rPr>
  </w:style>
  <w:style w:type="paragraph" w:styleId="TOC3">
    <w:name w:val="toc 3"/>
    <w:uiPriority w:val="39"/>
    <w:rsid w:val="005C6134"/>
    <w:pPr>
      <w:tabs>
        <w:tab w:val="left" w:pos="1267"/>
        <w:tab w:val="right" w:leader="dot" w:pos="9360"/>
      </w:tabs>
      <w:spacing w:after="120" w:line="240" w:lineRule="auto"/>
      <w:ind w:left="403"/>
      <w:outlineLvl w:val="2"/>
    </w:pPr>
    <w:rPr>
      <w:rFonts w:ascii="Bookman Old Style" w:eastAsia="Times New Roman" w:hAnsi="Bookman Old Style" w:cs="Arial"/>
      <w:noProof/>
      <w:sz w:val="20"/>
      <w:szCs w:val="32"/>
    </w:rPr>
  </w:style>
  <w:style w:type="paragraph" w:styleId="TOC1">
    <w:name w:val="toc 1"/>
    <w:next w:val="TOC2"/>
    <w:uiPriority w:val="39"/>
    <w:rsid w:val="005C6134"/>
    <w:pPr>
      <w:keepNext/>
      <w:tabs>
        <w:tab w:val="left" w:pos="450"/>
        <w:tab w:val="right" w:leader="dot" w:pos="9360"/>
      </w:tabs>
      <w:spacing w:before="240" w:after="120" w:line="240" w:lineRule="auto"/>
      <w:ind w:left="446" w:right="720" w:hanging="446"/>
    </w:pPr>
    <w:rPr>
      <w:rFonts w:ascii="Bookman Old Style" w:eastAsia="Times New Roman" w:hAnsi="Bookman Old Style" w:cs="Arial"/>
      <w:caps/>
      <w:noProof/>
      <w:sz w:val="20"/>
      <w:szCs w:val="24"/>
    </w:rPr>
  </w:style>
  <w:style w:type="paragraph" w:styleId="TOC4">
    <w:name w:val="toc 4"/>
    <w:autoRedefine/>
    <w:uiPriority w:val="39"/>
    <w:rsid w:val="005C6134"/>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5C6134"/>
    <w:pPr>
      <w:tabs>
        <w:tab w:val="left" w:pos="1800"/>
        <w:tab w:val="right" w:leader="dot" w:pos="9350"/>
      </w:tabs>
      <w:spacing w:after="120" w:line="240" w:lineRule="auto"/>
      <w:ind w:left="806"/>
    </w:pPr>
    <w:rPr>
      <w:rFonts w:ascii="Bookman Old Style" w:eastAsia="SimSun" w:hAnsi="Bookman Old Style" w:cs="Times New Roman"/>
      <w:sz w:val="24"/>
      <w:szCs w:val="24"/>
      <w:lang w:eastAsia="zh-CN"/>
    </w:rPr>
  </w:style>
  <w:style w:type="paragraph" w:styleId="TOC6">
    <w:name w:val="toc 6"/>
    <w:basedOn w:val="Normal"/>
    <w:next w:val="TOC7"/>
    <w:uiPriority w:val="39"/>
    <w:rsid w:val="005C6134"/>
    <w:pPr>
      <w:keepNext/>
      <w:tabs>
        <w:tab w:val="left" w:pos="1620"/>
        <w:tab w:val="right" w:leader="dot" w:pos="9360"/>
      </w:tabs>
      <w:spacing w:before="240" w:after="120" w:line="260" w:lineRule="exact"/>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5C6134"/>
    <w:pPr>
      <w:spacing w:after="40" w:line="260" w:lineRule="exact"/>
      <w:ind w:left="1320"/>
    </w:pPr>
    <w:rPr>
      <w:rFonts w:ascii="Bookman Old Style" w:eastAsia="Times New Roman" w:hAnsi="Bookman Old Style" w:cs="Times New Roman"/>
      <w:sz w:val="18"/>
      <w:szCs w:val="24"/>
    </w:rPr>
  </w:style>
  <w:style w:type="paragraph" w:styleId="TOC8">
    <w:name w:val="toc 8"/>
    <w:basedOn w:val="Normal"/>
    <w:next w:val="Normal"/>
    <w:autoRedefine/>
    <w:uiPriority w:val="39"/>
    <w:rsid w:val="005C6134"/>
    <w:pPr>
      <w:spacing w:after="40" w:line="260" w:lineRule="exact"/>
      <w:ind w:left="1540"/>
    </w:pPr>
    <w:rPr>
      <w:rFonts w:ascii="Bookman Old Style" w:eastAsia="Times New Roman" w:hAnsi="Bookman Old Style" w:cs="Times New Roman"/>
      <w:sz w:val="18"/>
      <w:szCs w:val="24"/>
    </w:rPr>
  </w:style>
  <w:style w:type="paragraph" w:styleId="TOC9">
    <w:name w:val="toc 9"/>
    <w:basedOn w:val="Normal"/>
    <w:next w:val="Normal"/>
    <w:autoRedefine/>
    <w:uiPriority w:val="39"/>
    <w:rsid w:val="005C6134"/>
    <w:pPr>
      <w:spacing w:after="40" w:line="260" w:lineRule="exact"/>
      <w:ind w:left="1760"/>
    </w:pPr>
    <w:rPr>
      <w:rFonts w:ascii="Bookman Old Style" w:eastAsia="Times New Roman" w:hAnsi="Bookman Old Style" w:cs="Times New Roman"/>
      <w:sz w:val="18"/>
      <w:szCs w:val="24"/>
    </w:rPr>
  </w:style>
  <w:style w:type="paragraph" w:styleId="FootnoteText">
    <w:name w:val="footnote text"/>
    <w:basedOn w:val="Normal"/>
    <w:link w:val="FootnoteTextChar"/>
    <w:uiPriority w:val="99"/>
    <w:rsid w:val="005C6134"/>
    <w:pPr>
      <w:spacing w:after="40" w:line="260" w:lineRule="exact"/>
    </w:pPr>
    <w:rPr>
      <w:rFonts w:ascii="Bookman Old Style" w:eastAsia="Times New Roman" w:hAnsi="Bookman Old Style" w:cs="Times New Roman"/>
      <w:sz w:val="18"/>
      <w:szCs w:val="24"/>
    </w:rPr>
  </w:style>
  <w:style w:type="character" w:customStyle="1" w:styleId="FootnoteTextChar">
    <w:name w:val="Footnote Text Char"/>
    <w:basedOn w:val="DefaultParagraphFont"/>
    <w:link w:val="FootnoteText"/>
    <w:uiPriority w:val="99"/>
    <w:rsid w:val="005C6134"/>
    <w:rPr>
      <w:rFonts w:ascii="Bookman Old Style" w:eastAsia="Times New Roman" w:hAnsi="Bookman Old Style" w:cs="Times New Roman"/>
      <w:sz w:val="18"/>
      <w:szCs w:val="24"/>
    </w:rPr>
  </w:style>
  <w:style w:type="character" w:styleId="FootnoteReference">
    <w:name w:val="footnote reference"/>
    <w:uiPriority w:val="99"/>
    <w:rsid w:val="005C6134"/>
    <w:rPr>
      <w:vertAlign w:val="superscript"/>
    </w:rPr>
  </w:style>
  <w:style w:type="paragraph" w:customStyle="1" w:styleId="Quotation">
    <w:name w:val="Quotation"/>
    <w:basedOn w:val="Normal"/>
    <w:rsid w:val="005C6134"/>
    <w:pPr>
      <w:spacing w:after="120" w:line="220" w:lineRule="exact"/>
      <w:ind w:left="1440" w:right="1440"/>
    </w:pPr>
    <w:rPr>
      <w:rFonts w:ascii="Bookman Old Style" w:eastAsia="Times New Roman" w:hAnsi="Bookman Old Style" w:cs="Times New Roman"/>
      <w:sz w:val="20"/>
      <w:szCs w:val="24"/>
    </w:rPr>
  </w:style>
  <w:style w:type="paragraph" w:customStyle="1" w:styleId="Example">
    <w:name w:val="Example"/>
    <w:basedOn w:val="Normal"/>
    <w:link w:val="ExampleChar"/>
    <w:rsid w:val="005C6134"/>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rPr>
  </w:style>
  <w:style w:type="character" w:customStyle="1" w:styleId="ExampleChar">
    <w:name w:val="Example Char"/>
    <w:link w:val="Example"/>
    <w:rsid w:val="005C6134"/>
    <w:rPr>
      <w:rFonts w:ascii="Courier New" w:eastAsia="Times New Roman" w:hAnsi="Courier New" w:cs="Times New Roman"/>
      <w:sz w:val="18"/>
      <w:szCs w:val="20"/>
    </w:rPr>
  </w:style>
  <w:style w:type="paragraph" w:customStyle="1" w:styleId="TableHead">
    <w:name w:val="TableHead"/>
    <w:basedOn w:val="Normal"/>
    <w:next w:val="Normal"/>
    <w:link w:val="TableHeadChar"/>
    <w:qFormat/>
    <w:rsid w:val="005C6134"/>
    <w:pPr>
      <w:keepNext/>
      <w:spacing w:before="60" w:after="60" w:line="220" w:lineRule="exact"/>
    </w:pPr>
    <w:rPr>
      <w:rFonts w:ascii="Bookman Old Style" w:eastAsia="Times New Roman" w:hAnsi="Bookman Old Style" w:cs="Times New Roman"/>
      <w:b/>
      <w:bCs/>
      <w:color w:val="000000"/>
      <w:sz w:val="18"/>
      <w:szCs w:val="18"/>
    </w:rPr>
  </w:style>
  <w:style w:type="character" w:customStyle="1" w:styleId="TableHeadChar">
    <w:name w:val="TableHead Char"/>
    <w:link w:val="TableHead"/>
    <w:rsid w:val="005C6134"/>
    <w:rPr>
      <w:rFonts w:ascii="Bookman Old Style" w:eastAsia="Times New Roman" w:hAnsi="Bookman Old Style" w:cs="Times New Roman"/>
      <w:b/>
      <w:bCs/>
      <w:color w:val="000000"/>
      <w:sz w:val="18"/>
      <w:szCs w:val="18"/>
    </w:rPr>
  </w:style>
  <w:style w:type="paragraph" w:customStyle="1" w:styleId="TableText">
    <w:name w:val="TableText"/>
    <w:basedOn w:val="Normal"/>
    <w:link w:val="TableTextChar"/>
    <w:rsid w:val="005C6134"/>
    <w:pPr>
      <w:keepNext/>
      <w:spacing w:before="40" w:after="40" w:line="220" w:lineRule="exact"/>
    </w:pPr>
    <w:rPr>
      <w:rFonts w:ascii="Bookman Old Style" w:eastAsia="Times New Roman" w:hAnsi="Bookman Old Style" w:cs="Times New Roman"/>
      <w:noProof/>
      <w:sz w:val="18"/>
      <w:szCs w:val="18"/>
    </w:rPr>
  </w:style>
  <w:style w:type="character" w:customStyle="1" w:styleId="TableTextChar">
    <w:name w:val="TableText Char"/>
    <w:link w:val="TableText"/>
    <w:rsid w:val="005C6134"/>
    <w:rPr>
      <w:rFonts w:ascii="Bookman Old Style" w:eastAsia="Times New Roman" w:hAnsi="Bookman Old Style" w:cs="Times New Roman"/>
      <w:noProof/>
      <w:sz w:val="18"/>
      <w:szCs w:val="18"/>
    </w:rPr>
  </w:style>
  <w:style w:type="paragraph" w:styleId="Caption">
    <w:name w:val="caption"/>
    <w:basedOn w:val="Normal"/>
    <w:next w:val="Normal"/>
    <w:link w:val="CaptionChar"/>
    <w:uiPriority w:val="35"/>
    <w:qFormat/>
    <w:rsid w:val="005C6134"/>
    <w:pPr>
      <w:keepNext/>
      <w:spacing w:before="200" w:after="120" w:line="260" w:lineRule="exact"/>
      <w:ind w:left="720"/>
      <w:jc w:val="center"/>
    </w:pPr>
    <w:rPr>
      <w:rFonts w:ascii="Bookman Old Style" w:eastAsia="?l?r ??’c" w:hAnsi="Bookman Old Style" w:cs="Times New Roman"/>
      <w:b/>
      <w:i/>
      <w:iCs/>
      <w:noProof/>
      <w:color w:val="000000"/>
      <w:sz w:val="18"/>
      <w:szCs w:val="18"/>
      <w:lang w:eastAsia="zh-CN"/>
    </w:rPr>
  </w:style>
  <w:style w:type="character" w:styleId="FollowedHyperlink">
    <w:name w:val="FollowedHyperlink"/>
    <w:uiPriority w:val="99"/>
    <w:rsid w:val="005C6134"/>
    <w:rPr>
      <w:color w:val="800080"/>
      <w:u w:val="single"/>
    </w:rPr>
  </w:style>
  <w:style w:type="character" w:customStyle="1" w:styleId="XMLvalue">
    <w:name w:val="XMLvalue"/>
    <w:rsid w:val="005C6134"/>
    <w:rPr>
      <w:rFonts w:ascii="Bookman Old Style" w:hAnsi="Bookman Old Style"/>
      <w:i/>
      <w:iCs/>
      <w:dstrike w:val="0"/>
      <w:noProof/>
      <w:sz w:val="20"/>
      <w:vertAlign w:val="baseline"/>
    </w:rPr>
  </w:style>
  <w:style w:type="paragraph" w:customStyle="1" w:styleId="Appendix1">
    <w:name w:val="Appendix 1"/>
    <w:next w:val="BodyText"/>
    <w:rsid w:val="005C6134"/>
    <w:pPr>
      <w:pageBreakBefore/>
      <w:widowControl w:val="0"/>
      <w:numPr>
        <w:numId w:val="8"/>
      </w:numPr>
      <w:tabs>
        <w:tab w:val="left" w:pos="2700"/>
      </w:tabs>
      <w:spacing w:before="240" w:after="120" w:line="320" w:lineRule="exact"/>
      <w:ind w:left="720" w:hanging="720"/>
      <w:outlineLvl w:val="0"/>
    </w:pPr>
    <w:rPr>
      <w:rFonts w:ascii="Century Gothic" w:eastAsia="Times New Roman" w:hAnsi="Century Gothic" w:cs="Times New Roman"/>
      <w:b/>
      <w:caps/>
      <w:color w:val="333399"/>
      <w:spacing w:val="40"/>
      <w:kern w:val="32"/>
      <w:sz w:val="28"/>
      <w:szCs w:val="24"/>
    </w:rPr>
  </w:style>
  <w:style w:type="numbering" w:customStyle="1" w:styleId="Constraints">
    <w:name w:val="Constraints"/>
    <w:rsid w:val="005C6134"/>
    <w:pPr>
      <w:numPr>
        <w:numId w:val="9"/>
      </w:numPr>
    </w:pPr>
  </w:style>
  <w:style w:type="paragraph" w:styleId="ListBullet2">
    <w:name w:val="List Bullet 2"/>
    <w:basedOn w:val="ListBullet"/>
    <w:rsid w:val="005C6134"/>
    <w:pPr>
      <w:numPr>
        <w:numId w:val="0"/>
      </w:numPr>
      <w:ind w:left="1958" w:hanging="259"/>
    </w:pPr>
  </w:style>
  <w:style w:type="paragraph" w:customStyle="1" w:styleId="ConformanceExample">
    <w:name w:val="ConformanceExample"/>
    <w:basedOn w:val="Normal"/>
    <w:rsid w:val="005C6134"/>
    <w:pPr>
      <w:spacing w:after="120" w:line="260" w:lineRule="exact"/>
      <w:ind w:left="1901" w:hanging="1181"/>
    </w:pPr>
    <w:rPr>
      <w:rFonts w:ascii="Bookman Old Style" w:eastAsia="Times New Roman" w:hAnsi="Bookman Old Style" w:cs="Times New Roman"/>
      <w:sz w:val="20"/>
      <w:szCs w:val="24"/>
    </w:rPr>
  </w:style>
  <w:style w:type="paragraph" w:customStyle="1" w:styleId="Appendix2">
    <w:name w:val="Appendix 2"/>
    <w:basedOn w:val="Heading2"/>
    <w:next w:val="Normal"/>
    <w:rsid w:val="005C6134"/>
    <w:pPr>
      <w:keepLines w:val="0"/>
      <w:tabs>
        <w:tab w:val="left" w:pos="720"/>
        <w:tab w:val="left" w:pos="864"/>
      </w:tabs>
      <w:spacing w:before="360" w:after="120" w:line="260" w:lineRule="exact"/>
    </w:pPr>
    <w:rPr>
      <w:rFonts w:ascii="Century Gothic" w:eastAsia="Times New Roman" w:hAnsi="Century Gothic" w:cs="Times New Roman"/>
      <w:b/>
      <w:i/>
      <w:color w:val="auto"/>
      <w:sz w:val="24"/>
      <w:szCs w:val="28"/>
    </w:rPr>
  </w:style>
  <w:style w:type="paragraph" w:customStyle="1" w:styleId="TOCTitle">
    <w:name w:val="TOC Title"/>
    <w:basedOn w:val="Normal"/>
    <w:next w:val="Normal"/>
    <w:link w:val="TOCTitleChar"/>
    <w:rsid w:val="005C6134"/>
    <w:pPr>
      <w:keepNext/>
      <w:spacing w:before="240" w:after="240" w:line="260" w:lineRule="exact"/>
    </w:pPr>
    <w:rPr>
      <w:rFonts w:ascii="Arial" w:eastAsia="Times New Roman" w:hAnsi="Arial" w:cs="Times New Roman"/>
      <w:b/>
      <w:sz w:val="28"/>
      <w:szCs w:val="28"/>
    </w:rPr>
  </w:style>
  <w:style w:type="character" w:customStyle="1" w:styleId="TOCTitleChar">
    <w:name w:val="TOC Title Char"/>
    <w:link w:val="TOCTitle"/>
    <w:rsid w:val="005C6134"/>
    <w:rPr>
      <w:rFonts w:ascii="Arial" w:eastAsia="Times New Roman" w:hAnsi="Arial" w:cs="Times New Roman"/>
      <w:b/>
      <w:sz w:val="28"/>
      <w:szCs w:val="28"/>
    </w:rPr>
  </w:style>
  <w:style w:type="table" w:styleId="TableGrid0">
    <w:name w:val="Table Grid"/>
    <w:basedOn w:val="TableNormal"/>
    <w:uiPriority w:val="59"/>
    <w:rsid w:val="005C613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C6134"/>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5C6134"/>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5C6134"/>
    <w:pPr>
      <w:spacing w:after="120" w:line="260" w:lineRule="exact"/>
      <w:ind w:left="475" w:hanging="475"/>
    </w:pPr>
    <w:rPr>
      <w:rFonts w:ascii="Bookman Old Style" w:eastAsia="Times New Roman" w:hAnsi="Bookman Old Style" w:cs="Times New Roman"/>
      <w:sz w:val="20"/>
      <w:szCs w:val="24"/>
    </w:rPr>
  </w:style>
  <w:style w:type="character" w:customStyle="1" w:styleId="XMLname">
    <w:name w:val="XMLname"/>
    <w:qFormat/>
    <w:rsid w:val="005C6134"/>
    <w:rPr>
      <w:rFonts w:ascii="Courier New" w:hAnsi="Courier New" w:cs="TimesNewRomanPSMT"/>
      <w:sz w:val="20"/>
      <w:lang w:eastAsia="en-US"/>
    </w:rPr>
  </w:style>
  <w:style w:type="paragraph" w:customStyle="1" w:styleId="ColorfulShading-Accent11">
    <w:name w:val="Colorful Shading - Accent 11"/>
    <w:hidden/>
    <w:rsid w:val="005C6134"/>
    <w:pPr>
      <w:spacing w:after="0" w:line="240" w:lineRule="auto"/>
    </w:pPr>
    <w:rPr>
      <w:rFonts w:ascii="Times New Roman" w:eastAsia="Times New Roman" w:hAnsi="Times New Roman" w:cs="Times New Roman"/>
      <w:sz w:val="24"/>
      <w:szCs w:val="24"/>
    </w:rPr>
  </w:style>
  <w:style w:type="paragraph" w:customStyle="1" w:styleId="DocumentName">
    <w:name w:val="Document Name"/>
    <w:basedOn w:val="Normal"/>
    <w:rsid w:val="005C6134"/>
    <w:pPr>
      <w:spacing w:after="40" w:line="260" w:lineRule="exact"/>
      <w:jc w:val="right"/>
    </w:pPr>
    <w:rPr>
      <w:rFonts w:ascii="Arial Narrow" w:eastAsia="Times New Roman" w:hAnsi="Arial Narrow" w:cs="Arial"/>
      <w:sz w:val="32"/>
      <w:szCs w:val="32"/>
      <w:lang w:val="pt-BR"/>
    </w:rPr>
  </w:style>
  <w:style w:type="paragraph" w:customStyle="1" w:styleId="BodyTitle">
    <w:name w:val="Body Title"/>
    <w:basedOn w:val="Normal"/>
    <w:semiHidden/>
    <w:rsid w:val="005C6134"/>
    <w:pPr>
      <w:spacing w:after="240" w:line="260" w:lineRule="exact"/>
      <w:jc w:val="center"/>
    </w:pPr>
    <w:rPr>
      <w:rFonts w:ascii="Arial" w:eastAsia="?l?r ??’c" w:hAnsi="Arial" w:cs="Arial"/>
      <w:b/>
      <w:noProof/>
      <w:sz w:val="20"/>
      <w:szCs w:val="24"/>
    </w:rPr>
  </w:style>
  <w:style w:type="paragraph" w:customStyle="1" w:styleId="acronyms">
    <w:name w:val="acronyms"/>
    <w:basedOn w:val="Normal"/>
    <w:rsid w:val="005C6134"/>
    <w:pPr>
      <w:spacing w:after="120" w:line="260" w:lineRule="exact"/>
      <w:ind w:left="2070" w:hanging="1350"/>
    </w:pPr>
    <w:rPr>
      <w:rFonts w:ascii="Bookman Old Style" w:eastAsia="Times New Roman" w:hAnsi="Bookman Old Style" w:cs="Times New Roman"/>
      <w:sz w:val="20"/>
      <w:szCs w:val="24"/>
    </w:rPr>
  </w:style>
  <w:style w:type="paragraph" w:customStyle="1" w:styleId="TOC1Appendix">
    <w:name w:val="TOC 1 Appendix"/>
    <w:basedOn w:val="TOC1"/>
    <w:autoRedefine/>
    <w:rsid w:val="005C6134"/>
    <w:pPr>
      <w:tabs>
        <w:tab w:val="clear" w:pos="450"/>
        <w:tab w:val="left" w:pos="1620"/>
      </w:tabs>
    </w:pPr>
    <w:rPr>
      <w:rFonts w:cs="Times New Roman"/>
    </w:rPr>
  </w:style>
  <w:style w:type="paragraph" w:customStyle="1" w:styleId="DarkList-Accent31">
    <w:name w:val="Dark List - Accent 31"/>
    <w:hidden/>
    <w:rsid w:val="005C6134"/>
    <w:pPr>
      <w:spacing w:after="0" w:line="240" w:lineRule="auto"/>
    </w:pPr>
    <w:rPr>
      <w:rFonts w:ascii="Times New Roman" w:eastAsia="Times New Roman" w:hAnsi="Times New Roman" w:cs="Times New Roman"/>
      <w:sz w:val="24"/>
      <w:szCs w:val="24"/>
    </w:rPr>
  </w:style>
  <w:style w:type="paragraph" w:customStyle="1" w:styleId="SubTitle">
    <w:name w:val="Sub Title"/>
    <w:basedOn w:val="Title"/>
    <w:rsid w:val="005C6134"/>
    <w:pPr>
      <w:spacing w:before="0" w:after="0"/>
    </w:pPr>
    <w:rPr>
      <w:bCs/>
      <w:sz w:val="24"/>
    </w:rPr>
  </w:style>
  <w:style w:type="paragraph" w:customStyle="1" w:styleId="DocumentTitle">
    <w:name w:val="Document Title"/>
    <w:next w:val="Normal"/>
    <w:rsid w:val="005C6134"/>
    <w:pPr>
      <w:spacing w:after="0" w:line="240" w:lineRule="auto"/>
      <w:jc w:val="right"/>
    </w:pPr>
    <w:rPr>
      <w:rFonts w:ascii="Arial Narrow" w:eastAsia="SimSun" w:hAnsi="Arial Narrow" w:cs="Times New Roman"/>
      <w:noProof/>
      <w:sz w:val="32"/>
      <w:szCs w:val="24"/>
      <w:lang w:eastAsia="zh-CN"/>
    </w:rPr>
  </w:style>
  <w:style w:type="character" w:customStyle="1" w:styleId="HyperlinkText10pt">
    <w:name w:val="Hyperlink Text 10 pt"/>
    <w:basedOn w:val="Hyperlink"/>
    <w:rsid w:val="005C6134"/>
    <w:rPr>
      <w:rFonts w:ascii="Bookman Old Style" w:hAnsi="Bookman Old Style" w:cs="Arial"/>
      <w:dstrike w:val="0"/>
      <w:color w:val="333399"/>
      <w:sz w:val="20"/>
      <w:szCs w:val="24"/>
      <w:u w:val="single"/>
      <w:vertAlign w:val="baseline"/>
      <w:lang w:val="en-US" w:eastAsia="zh-CN" w:bidi="ar-SA"/>
    </w:rPr>
  </w:style>
  <w:style w:type="paragraph" w:customStyle="1" w:styleId="LightList-Accent31">
    <w:name w:val="Light List - Accent 31"/>
    <w:hidden/>
    <w:rsid w:val="005C6134"/>
    <w:pPr>
      <w:spacing w:after="0" w:line="240" w:lineRule="auto"/>
    </w:pPr>
    <w:rPr>
      <w:rFonts w:ascii="Bookman Old Style" w:eastAsia="Times New Roman" w:hAnsi="Bookman Old Style" w:cs="Times New Roman"/>
      <w:sz w:val="24"/>
      <w:szCs w:val="24"/>
    </w:rPr>
  </w:style>
  <w:style w:type="paragraph" w:customStyle="1" w:styleId="Default">
    <w:name w:val="Default"/>
    <w:basedOn w:val="Normal"/>
    <w:rsid w:val="005C6134"/>
    <w:pPr>
      <w:autoSpaceDE w:val="0"/>
      <w:autoSpaceDN w:val="0"/>
      <w:spacing w:after="40" w:line="260" w:lineRule="exact"/>
    </w:pPr>
    <w:rPr>
      <w:rFonts w:ascii="Bookman Old Style" w:eastAsia="Calibri" w:hAnsi="Bookman Old Style" w:cs="Times New Roman"/>
      <w:color w:val="000000"/>
      <w:sz w:val="20"/>
      <w:szCs w:val="24"/>
    </w:rPr>
  </w:style>
  <w:style w:type="character" w:customStyle="1" w:styleId="CaptionChar">
    <w:name w:val="Caption Char"/>
    <w:link w:val="Caption"/>
    <w:uiPriority w:val="35"/>
    <w:rsid w:val="005C6134"/>
    <w:rPr>
      <w:rFonts w:ascii="Bookman Old Style" w:eastAsia="?l?r ??’c" w:hAnsi="Bookman Old Style" w:cs="Times New Roman"/>
      <w:b/>
      <w:i/>
      <w:iCs/>
      <w:noProof/>
      <w:color w:val="000000"/>
      <w:sz w:val="18"/>
      <w:szCs w:val="18"/>
      <w:lang w:eastAsia="zh-CN"/>
    </w:rPr>
  </w:style>
  <w:style w:type="paragraph" w:customStyle="1" w:styleId="ColorfulGrid-Accent61">
    <w:name w:val="Colorful Grid - Accent 61"/>
    <w:hidden/>
    <w:uiPriority w:val="99"/>
    <w:semiHidden/>
    <w:rsid w:val="005C6134"/>
    <w:pPr>
      <w:spacing w:after="0" w:line="240" w:lineRule="auto"/>
    </w:pPr>
    <w:rPr>
      <w:rFonts w:ascii="Bookman Old Style" w:eastAsia="Times New Roman" w:hAnsi="Bookman Old Style" w:cs="Times New Roman"/>
      <w:sz w:val="24"/>
      <w:szCs w:val="24"/>
    </w:rPr>
  </w:style>
  <w:style w:type="paragraph" w:customStyle="1" w:styleId="MediumGrid3-Accent51">
    <w:name w:val="Medium Grid 3 - Accent 51"/>
    <w:hidden/>
    <w:rsid w:val="005C6134"/>
    <w:pPr>
      <w:spacing w:after="0" w:line="240" w:lineRule="auto"/>
    </w:pPr>
    <w:rPr>
      <w:rFonts w:ascii="Bookman Old Style" w:eastAsia="Times New Roman" w:hAnsi="Bookman Old Style" w:cs="Times New Roman"/>
      <w:sz w:val="24"/>
      <w:szCs w:val="24"/>
    </w:rPr>
  </w:style>
  <w:style w:type="paragraph" w:customStyle="1" w:styleId="BodyText">
    <w:name w:val="BodyText"/>
    <w:link w:val="BodyTextChar"/>
    <w:qFormat/>
    <w:rsid w:val="005C6134"/>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
    <w:name w:val="BodyText Char"/>
    <w:link w:val="BodyText"/>
    <w:rsid w:val="005C6134"/>
    <w:rPr>
      <w:rFonts w:ascii="Bookman Old Style" w:eastAsia="?l?r ??’c" w:hAnsi="Bookman Old Style" w:cs="Times New Roman"/>
      <w:noProof/>
      <w:sz w:val="20"/>
      <w:szCs w:val="24"/>
    </w:rPr>
  </w:style>
  <w:style w:type="character" w:customStyle="1" w:styleId="XMLnameBold">
    <w:name w:val="XMLnameBold"/>
    <w:rsid w:val="005C6134"/>
    <w:rPr>
      <w:rFonts w:ascii="Courier New" w:hAnsi="Courier New" w:cs="TimesNewRomanPSMT"/>
      <w:b/>
      <w:bCs/>
      <w:sz w:val="20"/>
      <w:lang w:eastAsia="en-US"/>
    </w:rPr>
  </w:style>
  <w:style w:type="paragraph" w:customStyle="1" w:styleId="Conformance">
    <w:name w:val="Conformance"/>
    <w:basedOn w:val="Normal"/>
    <w:link w:val="ConformanceChar"/>
    <w:rsid w:val="005C6134"/>
    <w:pPr>
      <w:tabs>
        <w:tab w:val="num" w:pos="432"/>
        <w:tab w:val="left" w:pos="2232"/>
        <w:tab w:val="left" w:pos="2376"/>
      </w:tabs>
      <w:spacing w:after="120" w:line="260" w:lineRule="exact"/>
      <w:ind w:left="1800" w:hanging="1080"/>
    </w:pPr>
    <w:rPr>
      <w:rFonts w:ascii="Bookman Old Style" w:eastAsia="Times New Roman" w:hAnsi="Bookman Old Style" w:cs="Times New Roman"/>
      <w:sz w:val="20"/>
      <w:szCs w:val="20"/>
    </w:rPr>
  </w:style>
  <w:style w:type="character" w:customStyle="1" w:styleId="ConformanceChar">
    <w:name w:val="Conformance Char"/>
    <w:link w:val="Conformance"/>
    <w:rsid w:val="005C6134"/>
    <w:rPr>
      <w:rFonts w:ascii="Bookman Old Style" w:eastAsia="Times New Roman" w:hAnsi="Bookman Old Style" w:cs="Times New Roman"/>
      <w:sz w:val="20"/>
      <w:szCs w:val="20"/>
    </w:rPr>
  </w:style>
  <w:style w:type="paragraph" w:customStyle="1" w:styleId="ColorfulGrid-Accent63">
    <w:name w:val="Colorful Grid - Accent 63"/>
    <w:hidden/>
    <w:rsid w:val="005C6134"/>
    <w:pPr>
      <w:spacing w:after="0" w:line="240" w:lineRule="auto"/>
    </w:pPr>
    <w:rPr>
      <w:rFonts w:ascii="Bookman Old Style" w:eastAsia="Times New Roman" w:hAnsi="Bookman Old Style" w:cs="Times New Roman"/>
      <w:sz w:val="20"/>
      <w:szCs w:val="24"/>
    </w:rPr>
  </w:style>
  <w:style w:type="paragraph" w:customStyle="1" w:styleId="TableHeading">
    <w:name w:val="TableHeading"/>
    <w:basedOn w:val="Normal"/>
    <w:autoRedefine/>
    <w:semiHidden/>
    <w:rsid w:val="005C6134"/>
    <w:pPr>
      <w:spacing w:before="40" w:after="40" w:line="260" w:lineRule="exact"/>
      <w:jc w:val="center"/>
    </w:pPr>
    <w:rPr>
      <w:rFonts w:ascii="Times New Roman" w:eastAsia="Times New Roman" w:hAnsi="Times New Roman" w:cs="Times New Roman"/>
      <w:b/>
      <w:sz w:val="20"/>
      <w:szCs w:val="24"/>
    </w:rPr>
  </w:style>
  <w:style w:type="paragraph" w:customStyle="1" w:styleId="BodyImage">
    <w:name w:val="Body Image"/>
    <w:basedOn w:val="Normal"/>
    <w:qFormat/>
    <w:rsid w:val="005C6134"/>
    <w:pPr>
      <w:spacing w:after="40" w:line="260" w:lineRule="exact"/>
      <w:ind w:left="720"/>
      <w:jc w:val="center"/>
    </w:pPr>
    <w:rPr>
      <w:rFonts w:ascii="Bookman Old Style" w:eastAsia="Times New Roman" w:hAnsi="Bookman Old Style" w:cs="Times New Roman"/>
      <w:sz w:val="20"/>
      <w:szCs w:val="24"/>
    </w:rPr>
  </w:style>
  <w:style w:type="paragraph" w:customStyle="1" w:styleId="ColorfulGrid-Accent62">
    <w:name w:val="Colorful Grid - Accent 62"/>
    <w:hidden/>
    <w:uiPriority w:val="99"/>
    <w:rsid w:val="005C6134"/>
    <w:pPr>
      <w:spacing w:after="0" w:line="240" w:lineRule="auto"/>
    </w:pPr>
    <w:rPr>
      <w:rFonts w:ascii="Times New Roman" w:eastAsia="Times New Roman" w:hAnsi="Times New Roman" w:cs="Times New Roman"/>
      <w:sz w:val="24"/>
      <w:szCs w:val="24"/>
    </w:rPr>
  </w:style>
  <w:style w:type="paragraph" w:customStyle="1" w:styleId="BracketData">
    <w:name w:val="BracketData"/>
    <w:basedOn w:val="Normal"/>
    <w:next w:val="BodyText"/>
    <w:rsid w:val="005C6134"/>
    <w:pPr>
      <w:keepNext/>
      <w:spacing w:before="40" w:after="120" w:line="260" w:lineRule="exact"/>
      <w:ind w:left="720"/>
    </w:pPr>
    <w:rPr>
      <w:rFonts w:ascii="Courier New" w:eastAsia="SimSun" w:hAnsi="Courier New" w:cs="Courier New"/>
      <w:sz w:val="20"/>
      <w:szCs w:val="20"/>
      <w:lang w:eastAsia="zh-CN"/>
    </w:rPr>
  </w:style>
  <w:style w:type="paragraph" w:customStyle="1" w:styleId="Heading2nospace">
    <w:name w:val="Heading 2 nospace"/>
    <w:basedOn w:val="Heading2"/>
    <w:next w:val="BracketData"/>
    <w:qFormat/>
    <w:rsid w:val="005C6134"/>
    <w:pPr>
      <w:keepLines w:val="0"/>
      <w:numPr>
        <w:ilvl w:val="1"/>
      </w:numPr>
      <w:tabs>
        <w:tab w:val="left" w:pos="720"/>
        <w:tab w:val="left" w:pos="864"/>
      </w:tabs>
      <w:spacing w:before="360" w:line="260" w:lineRule="exact"/>
      <w:ind w:left="720" w:hanging="720"/>
    </w:pPr>
    <w:rPr>
      <w:rFonts w:ascii="Century Gothic" w:eastAsia="Times New Roman" w:hAnsi="Century Gothic" w:cs="Times New Roman"/>
      <w:b/>
      <w:i/>
      <w:color w:val="auto"/>
      <w:sz w:val="28"/>
      <w:szCs w:val="28"/>
    </w:rPr>
  </w:style>
  <w:style w:type="paragraph" w:customStyle="1" w:styleId="Heading3nospace">
    <w:name w:val="Heading 3 nospace"/>
    <w:basedOn w:val="Heading3"/>
    <w:qFormat/>
    <w:rsid w:val="005C6134"/>
    <w:pPr>
      <w:keepLines w:val="0"/>
      <w:numPr>
        <w:ilvl w:val="2"/>
      </w:numPr>
      <w:tabs>
        <w:tab w:val="left" w:pos="720"/>
        <w:tab w:val="left" w:pos="936"/>
      </w:tabs>
      <w:spacing w:before="360" w:line="260" w:lineRule="exact"/>
      <w:ind w:left="720" w:hanging="720"/>
    </w:pPr>
    <w:rPr>
      <w:rFonts w:ascii="Bookman Old Style" w:eastAsia="Times New Roman" w:hAnsi="Bookman Old Style" w:cs="Times New Roman"/>
      <w:color w:val="auto"/>
      <w:szCs w:val="26"/>
    </w:rPr>
  </w:style>
  <w:style w:type="paragraph" w:customStyle="1" w:styleId="templatenotes">
    <w:name w:val="templatenotes"/>
    <w:basedOn w:val="BodyText0"/>
    <w:rsid w:val="005C6134"/>
    <w:pPr>
      <w:ind w:left="720"/>
    </w:pPr>
    <w:rPr>
      <w:rFonts w:ascii="Times" w:hAnsi="Times"/>
      <w:i/>
      <w:iCs/>
      <w:szCs w:val="20"/>
    </w:rPr>
  </w:style>
  <w:style w:type="paragraph" w:customStyle="1" w:styleId="ColorfulGrid-Accent66">
    <w:name w:val="Colorful Grid - Accent 66"/>
    <w:hidden/>
    <w:rsid w:val="005C6134"/>
    <w:pPr>
      <w:spacing w:after="0" w:line="240" w:lineRule="auto"/>
    </w:pPr>
    <w:rPr>
      <w:rFonts w:ascii="Bookman Old Style" w:eastAsia="Times New Roman" w:hAnsi="Bookman Old Style" w:cs="Times New Roman"/>
      <w:sz w:val="20"/>
      <w:szCs w:val="24"/>
    </w:rPr>
  </w:style>
  <w:style w:type="paragraph" w:customStyle="1" w:styleId="required-optional">
    <w:name w:val="required-optional"/>
    <w:basedOn w:val="BodyText"/>
    <w:rsid w:val="005C6134"/>
    <w:pPr>
      <w:keepNext/>
      <w:spacing w:before="200" w:after="40"/>
    </w:pPr>
    <w:rPr>
      <w:b/>
    </w:rPr>
  </w:style>
  <w:style w:type="paragraph" w:customStyle="1" w:styleId="ColorfulGrid-Accent65">
    <w:name w:val="Colorful Grid - Accent 65"/>
    <w:hidden/>
    <w:rsid w:val="005C6134"/>
    <w:pPr>
      <w:spacing w:after="0" w:line="240" w:lineRule="auto"/>
    </w:pPr>
    <w:rPr>
      <w:rFonts w:ascii="Bookman Old Style" w:eastAsia="Times New Roman" w:hAnsi="Bookman Old Style" w:cs="Times New Roman"/>
      <w:sz w:val="20"/>
      <w:szCs w:val="24"/>
    </w:rPr>
  </w:style>
  <w:style w:type="paragraph" w:customStyle="1" w:styleId="Appendix3">
    <w:name w:val="Appendix 3"/>
    <w:basedOn w:val="Appendix2"/>
    <w:qFormat/>
    <w:rsid w:val="005C6134"/>
    <w:rPr>
      <w:rFonts w:ascii="Bookman Old Style" w:hAnsi="Bookman Old Style"/>
      <w:i w:val="0"/>
    </w:rPr>
  </w:style>
  <w:style w:type="paragraph" w:customStyle="1" w:styleId="ColorfulShading-Accent12">
    <w:name w:val="Colorful Shading - Accent 12"/>
    <w:hidden/>
    <w:rsid w:val="005C6134"/>
    <w:pPr>
      <w:spacing w:after="0" w:line="240" w:lineRule="auto"/>
    </w:pPr>
    <w:rPr>
      <w:rFonts w:ascii="Bookman Old Style" w:eastAsia="Times New Roman" w:hAnsi="Bookman Old Style" w:cs="Times New Roman"/>
      <w:sz w:val="20"/>
      <w:szCs w:val="24"/>
    </w:rPr>
  </w:style>
  <w:style w:type="paragraph" w:customStyle="1" w:styleId="Heading4nospace">
    <w:name w:val="Heading 4 nospace"/>
    <w:basedOn w:val="Heading4"/>
    <w:next w:val="BracketData"/>
    <w:qFormat/>
    <w:rsid w:val="005C6134"/>
    <w:pPr>
      <w:spacing w:after="40"/>
    </w:pPr>
  </w:style>
  <w:style w:type="numbering" w:customStyle="1" w:styleId="NoList1">
    <w:name w:val="No List1"/>
    <w:next w:val="NoList"/>
    <w:semiHidden/>
    <w:unhideWhenUsed/>
    <w:rsid w:val="005C6134"/>
  </w:style>
  <w:style w:type="paragraph" w:customStyle="1" w:styleId="ColorfulGrid-Accent67">
    <w:name w:val="Colorful Grid - Accent 67"/>
    <w:hidden/>
    <w:rsid w:val="005C6134"/>
    <w:pPr>
      <w:spacing w:after="0" w:line="240" w:lineRule="auto"/>
    </w:pPr>
    <w:rPr>
      <w:rFonts w:ascii="Bookman Old Style" w:eastAsia="Times New Roman" w:hAnsi="Bookman Old Style" w:cs="Times New Roman"/>
      <w:sz w:val="20"/>
      <w:szCs w:val="24"/>
    </w:rPr>
  </w:style>
  <w:style w:type="paragraph" w:customStyle="1" w:styleId="Footerlandscape">
    <w:name w:val="Footer landscape"/>
    <w:basedOn w:val="Footer"/>
    <w:rsid w:val="005C6134"/>
    <w:pPr>
      <w:pBdr>
        <w:top w:val="single" w:sz="4" w:space="1" w:color="auto"/>
      </w:pBdr>
      <w:tabs>
        <w:tab w:val="clear" w:pos="4680"/>
        <w:tab w:val="clear" w:pos="9360"/>
        <w:tab w:val="center" w:pos="6480"/>
        <w:tab w:val="right" w:pos="12600"/>
      </w:tabs>
      <w:spacing w:after="40" w:line="260" w:lineRule="exact"/>
    </w:pPr>
    <w:rPr>
      <w:rFonts w:ascii="Bookman Old Style" w:eastAsia="Times New Roman" w:hAnsi="Bookman Old Style" w:cs="Times New Roman"/>
      <w:i/>
      <w:sz w:val="16"/>
      <w:szCs w:val="24"/>
    </w:rPr>
  </w:style>
  <w:style w:type="paragraph" w:customStyle="1" w:styleId="ColorfulGrid-Accent64">
    <w:name w:val="Colorful Grid - Accent 64"/>
    <w:hidden/>
    <w:rsid w:val="005C6134"/>
    <w:pPr>
      <w:spacing w:after="0" w:line="240" w:lineRule="auto"/>
    </w:pPr>
    <w:rPr>
      <w:rFonts w:ascii="Bookman Old Style" w:eastAsia="Times New Roman" w:hAnsi="Bookman Old Style" w:cs="Times New Roman"/>
      <w:sz w:val="20"/>
      <w:szCs w:val="24"/>
    </w:rPr>
  </w:style>
  <w:style w:type="character" w:customStyle="1" w:styleId="HyperlinkCourierBold">
    <w:name w:val="Hyperlink Courier Bold"/>
    <w:basedOn w:val="HyperlinkText10pt"/>
    <w:rsid w:val="005C6134"/>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5C6134"/>
    <w:pPr>
      <w:spacing w:after="120" w:line="260" w:lineRule="exact"/>
    </w:pPr>
    <w:rPr>
      <w:rFonts w:ascii="Bookman Old Style" w:eastAsia="Times New Roman" w:hAnsi="Bookman Old Style" w:cs="Times New Roman"/>
      <w:sz w:val="20"/>
      <w:szCs w:val="24"/>
    </w:rPr>
  </w:style>
  <w:style w:type="character" w:customStyle="1" w:styleId="BodyTextChar0">
    <w:name w:val="Body Text Char"/>
    <w:basedOn w:val="DefaultParagraphFont"/>
    <w:link w:val="BodyText0"/>
    <w:rsid w:val="005C6134"/>
    <w:rPr>
      <w:rFonts w:ascii="Bookman Old Style" w:eastAsia="Times New Roman" w:hAnsi="Bookman Old Style" w:cs="Times New Roman"/>
      <w:sz w:val="20"/>
      <w:szCs w:val="24"/>
    </w:rPr>
  </w:style>
  <w:style w:type="paragraph" w:styleId="NoSpacing">
    <w:name w:val="No Spacing"/>
    <w:link w:val="NoSpacingChar"/>
    <w:uiPriority w:val="1"/>
    <w:qFormat/>
    <w:rsid w:val="005C61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C6134"/>
    <w:rPr>
      <w:rFonts w:eastAsiaTheme="minorEastAsia"/>
      <w:lang w:eastAsia="ja-JP"/>
    </w:rPr>
  </w:style>
  <w:style w:type="paragraph" w:styleId="TOCHeading">
    <w:name w:val="TOC Heading"/>
    <w:basedOn w:val="Heading1"/>
    <w:next w:val="Normal"/>
    <w:uiPriority w:val="39"/>
    <w:unhideWhenUsed/>
    <w:qFormat/>
    <w:rsid w:val="002C0289"/>
    <w:pPr>
      <w:spacing w:before="240" w:after="0" w:line="259" w:lineRule="auto"/>
      <w:ind w:left="0" w:firstLine="0"/>
      <w:outlineLvl w:val="9"/>
    </w:pPr>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uiPriority w:val="99"/>
    <w:semiHidden/>
    <w:unhideWhenUsed/>
    <w:rsid w:val="000E75B7"/>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0E75B7"/>
    <w:rPr>
      <w:rFonts w:ascii="Calibri" w:hAnsi="Calibri" w:cs="Consolas"/>
      <w:szCs w:val="21"/>
    </w:rPr>
  </w:style>
  <w:style w:type="paragraph" w:customStyle="1" w:styleId="xmlexample">
    <w:name w:val="xml example"/>
    <w:basedOn w:val="Example"/>
    <w:link w:val="xmlexampleChar"/>
    <w:qFormat/>
    <w:rsid w:val="00494A83"/>
    <w:pPr>
      <w:keepNext w:val="0"/>
      <w:spacing w:after="0" w:line="240" w:lineRule="auto"/>
      <w:ind w:left="1584"/>
      <w:contextualSpacing w:val="0"/>
    </w:pPr>
    <w:rPr>
      <w:rFonts w:eastAsiaTheme="minorEastAsia" w:cs="Courier New"/>
      <w:szCs w:val="18"/>
    </w:rPr>
  </w:style>
  <w:style w:type="character" w:customStyle="1" w:styleId="xmlexampleChar">
    <w:name w:val="xml example Char"/>
    <w:basedOn w:val="ExampleChar"/>
    <w:link w:val="xmlexample"/>
    <w:rsid w:val="00494A83"/>
    <w:rPr>
      <w:rFonts w:ascii="Courier New" w:eastAsiaTheme="minorEastAsia"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2439">
      <w:bodyDiv w:val="1"/>
      <w:marLeft w:val="0"/>
      <w:marRight w:val="0"/>
      <w:marTop w:val="0"/>
      <w:marBottom w:val="0"/>
      <w:divBdr>
        <w:top w:val="none" w:sz="0" w:space="0" w:color="auto"/>
        <w:left w:val="none" w:sz="0" w:space="0" w:color="auto"/>
        <w:bottom w:val="none" w:sz="0" w:space="0" w:color="auto"/>
        <w:right w:val="none" w:sz="0" w:space="0" w:color="auto"/>
      </w:divBdr>
    </w:div>
    <w:div w:id="785346118">
      <w:bodyDiv w:val="1"/>
      <w:marLeft w:val="0"/>
      <w:marRight w:val="0"/>
      <w:marTop w:val="0"/>
      <w:marBottom w:val="0"/>
      <w:divBdr>
        <w:top w:val="none" w:sz="0" w:space="0" w:color="auto"/>
        <w:left w:val="none" w:sz="0" w:space="0" w:color="auto"/>
        <w:bottom w:val="none" w:sz="0" w:space="0" w:color="auto"/>
        <w:right w:val="none" w:sz="0" w:space="0" w:color="auto"/>
      </w:divBdr>
    </w:div>
    <w:div w:id="844827592">
      <w:bodyDiv w:val="1"/>
      <w:marLeft w:val="0"/>
      <w:marRight w:val="0"/>
      <w:marTop w:val="0"/>
      <w:marBottom w:val="0"/>
      <w:divBdr>
        <w:top w:val="none" w:sz="0" w:space="0" w:color="auto"/>
        <w:left w:val="none" w:sz="0" w:space="0" w:color="auto"/>
        <w:bottom w:val="none" w:sz="0" w:space="0" w:color="auto"/>
        <w:right w:val="none" w:sz="0" w:space="0" w:color="auto"/>
      </w:divBdr>
    </w:div>
    <w:div w:id="1329210446">
      <w:bodyDiv w:val="1"/>
      <w:marLeft w:val="0"/>
      <w:marRight w:val="0"/>
      <w:marTop w:val="0"/>
      <w:marBottom w:val="0"/>
      <w:divBdr>
        <w:top w:val="none" w:sz="0" w:space="0" w:color="auto"/>
        <w:left w:val="none" w:sz="0" w:space="0" w:color="auto"/>
        <w:bottom w:val="none" w:sz="0" w:space="0" w:color="auto"/>
        <w:right w:val="none" w:sz="0" w:space="0" w:color="auto"/>
      </w:divBdr>
    </w:div>
    <w:div w:id="1432581563">
      <w:bodyDiv w:val="1"/>
      <w:marLeft w:val="0"/>
      <w:marRight w:val="0"/>
      <w:marTop w:val="0"/>
      <w:marBottom w:val="0"/>
      <w:divBdr>
        <w:top w:val="none" w:sz="0" w:space="0" w:color="auto"/>
        <w:left w:val="none" w:sz="0" w:space="0" w:color="auto"/>
        <w:bottom w:val="none" w:sz="0" w:space="0" w:color="auto"/>
        <w:right w:val="none" w:sz="0" w:space="0" w:color="auto"/>
      </w:divBdr>
    </w:div>
    <w:div w:id="180423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l7.org/documentcenter/public/standards/vocabulary/vocabulary_tables/infrastructure/vocabulary/vocabulary.html" TargetMode="External"/><Relationship Id="rId4" Type="http://schemas.openxmlformats.org/officeDocument/2006/relationships/settings" Target="settings.xml"/><Relationship Id="rId9" Type="http://schemas.openxmlformats.org/officeDocument/2006/relationships/hyperlink" Target="http://www.hl7.org/implement/standards/product_brief.cfm?product_id=40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3B68B-37E9-41E5-9724-6716A303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10841</Words>
  <Characters>61796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72493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Conn, Laura A. (CDC/OPHSS/CSELS)</cp:lastModifiedBy>
  <cp:revision>2</cp:revision>
  <cp:lastPrinted>2016-05-02T12:42:00Z</cp:lastPrinted>
  <dcterms:created xsi:type="dcterms:W3CDTF">2016-11-09T16:19:00Z</dcterms:created>
  <dcterms:modified xsi:type="dcterms:W3CDTF">2016-11-09T16:19:00Z</dcterms:modified>
</cp:coreProperties>
</file>