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C3B10" w14:textId="77777777" w:rsidR="00D5648D" w:rsidRPr="000C5CD1" w:rsidRDefault="00D5648D" w:rsidP="00D5648D">
      <w:pPr>
        <w:rPr>
          <w:b/>
          <w:bCs/>
        </w:rPr>
      </w:pPr>
      <w:r w:rsidRPr="000C5CD1">
        <w:rPr>
          <w:b/>
          <w:bCs/>
        </w:rPr>
        <w:t>А. Енергийни и Амплитудни характеристики:</w:t>
      </w:r>
    </w:p>
    <w:tbl>
      <w:tblPr>
        <w:tblStyle w:val="GridTable6ColourfulAccent5"/>
        <w:tblW w:w="0" w:type="auto"/>
        <w:tblLook w:val="04A0" w:firstRow="1" w:lastRow="0" w:firstColumn="1" w:lastColumn="0" w:noHBand="0" w:noVBand="1"/>
      </w:tblPr>
      <w:tblGrid>
        <w:gridCol w:w="3564"/>
        <w:gridCol w:w="5452"/>
      </w:tblGrid>
      <w:tr w:rsidR="00D5648D" w:rsidRPr="00D5648D" w14:paraId="0FA84222" w14:textId="77777777" w:rsidTr="00D564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64" w:type="dxa"/>
          </w:tcPr>
          <w:p w14:paraId="0A256594" w14:textId="630F5AC8" w:rsidR="00D5648D" w:rsidRPr="00D5648D" w:rsidRDefault="00D5648D" w:rsidP="00D5648D">
            <w:pPr>
              <w:adjustRightInd w:val="0"/>
              <w:snapToGrid w:val="0"/>
              <w:jc w:val="left"/>
              <w:rPr>
                <w:b w:val="0"/>
                <w:bCs w:val="0"/>
                <w:color w:val="000000" w:themeColor="text1"/>
                <w:szCs w:val="24"/>
                <w:lang w:eastAsia="ja-JP"/>
              </w:rPr>
            </w:pPr>
            <w:r w:rsidRPr="002070EA">
              <w:rPr>
                <w:color w:val="000000" w:themeColor="text1"/>
                <w:szCs w:val="24"/>
              </w:rPr>
              <w:t>RMS (</w:t>
            </w:r>
            <w:proofErr w:type="spellStart"/>
            <w:r w:rsidRPr="002070EA">
              <w:rPr>
                <w:color w:val="000000" w:themeColor="text1"/>
                <w:szCs w:val="24"/>
              </w:rPr>
              <w:t>Root</w:t>
            </w:r>
            <w:proofErr w:type="spellEnd"/>
            <w:r w:rsidRPr="002070EA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2070EA">
              <w:rPr>
                <w:color w:val="000000" w:themeColor="text1"/>
                <w:szCs w:val="24"/>
              </w:rPr>
              <w:t>Mean</w:t>
            </w:r>
            <w:proofErr w:type="spellEnd"/>
            <w:r w:rsidRPr="002070EA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2070EA">
              <w:rPr>
                <w:color w:val="000000" w:themeColor="text1"/>
                <w:szCs w:val="24"/>
              </w:rPr>
              <w:t>Square</w:t>
            </w:r>
            <w:proofErr w:type="spellEnd"/>
            <w:r w:rsidRPr="002070EA">
              <w:rPr>
                <w:color w:val="000000" w:themeColor="text1"/>
                <w:szCs w:val="24"/>
              </w:rPr>
              <w:t>)</w:t>
            </w:r>
          </w:p>
        </w:tc>
        <w:tc>
          <w:tcPr>
            <w:tcW w:w="5452" w:type="dxa"/>
          </w:tcPr>
          <w:p w14:paraId="57B6820E" w14:textId="77777777" w:rsidR="00D5648D" w:rsidRPr="002070EA" w:rsidRDefault="00D5648D" w:rsidP="00D5648D">
            <w:pPr>
              <w:adjustRightInd w:val="0"/>
              <w:snapToGrid w:val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szCs w:val="24"/>
              </w:rPr>
            </w:pPr>
            <w:r w:rsidRPr="002070EA">
              <w:rPr>
                <w:b w:val="0"/>
                <w:bCs w:val="0"/>
                <w:color w:val="000000" w:themeColor="text1"/>
                <w:szCs w:val="24"/>
              </w:rPr>
              <w:t>Квадратична средна стойност. Измерва общата енергия (силата) на сигнала. При пристъп тази стойност рязко нараства.</w:t>
            </w:r>
          </w:p>
        </w:tc>
      </w:tr>
      <w:tr w:rsidR="00D5648D" w:rsidRPr="00764D9F" w14:paraId="5042ED9C" w14:textId="77777777" w:rsidTr="00D564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64" w:type="dxa"/>
          </w:tcPr>
          <w:p w14:paraId="44FDCD2C" w14:textId="77777777" w:rsidR="00D5648D" w:rsidRPr="002070EA" w:rsidRDefault="00D5648D" w:rsidP="00D5648D">
            <w:pPr>
              <w:adjustRightInd w:val="0"/>
              <w:snapToGrid w:val="0"/>
              <w:jc w:val="left"/>
              <w:rPr>
                <w:color w:val="000000" w:themeColor="text1"/>
                <w:szCs w:val="24"/>
              </w:rPr>
            </w:pPr>
            <w:proofErr w:type="spellStart"/>
            <w:r w:rsidRPr="002070EA">
              <w:rPr>
                <w:color w:val="000000" w:themeColor="text1"/>
                <w:szCs w:val="24"/>
              </w:rPr>
              <w:t>Hjorth</w:t>
            </w:r>
            <w:proofErr w:type="spellEnd"/>
            <w:r w:rsidRPr="002070EA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2070EA">
              <w:rPr>
                <w:color w:val="000000" w:themeColor="text1"/>
                <w:szCs w:val="24"/>
              </w:rPr>
              <w:t>Activity</w:t>
            </w:r>
            <w:proofErr w:type="spellEnd"/>
          </w:p>
        </w:tc>
        <w:tc>
          <w:tcPr>
            <w:tcW w:w="5452" w:type="dxa"/>
          </w:tcPr>
          <w:p w14:paraId="57B4DB03" w14:textId="77777777" w:rsidR="00D5648D" w:rsidRPr="002070EA" w:rsidRDefault="00D5648D" w:rsidP="00D5648D">
            <w:pPr>
              <w:adjustRightInd w:val="0"/>
              <w:snapToGrid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24"/>
              </w:rPr>
            </w:pPr>
            <w:r w:rsidRPr="002070EA">
              <w:rPr>
                <w:color w:val="000000" w:themeColor="text1"/>
                <w:szCs w:val="24"/>
              </w:rPr>
              <w:t>Представлява вариацията на сигнала във времето. Показва колко "разпръснат" е сигналът.</w:t>
            </w:r>
          </w:p>
        </w:tc>
      </w:tr>
      <w:tr w:rsidR="00D5648D" w:rsidRPr="00764D9F" w14:paraId="1AD1671B" w14:textId="77777777" w:rsidTr="00D564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64" w:type="dxa"/>
          </w:tcPr>
          <w:p w14:paraId="32A26C9D" w14:textId="77777777" w:rsidR="00D5648D" w:rsidRPr="002070EA" w:rsidRDefault="00D5648D" w:rsidP="00D5648D">
            <w:pPr>
              <w:adjustRightInd w:val="0"/>
              <w:snapToGrid w:val="0"/>
              <w:jc w:val="left"/>
              <w:rPr>
                <w:color w:val="000000" w:themeColor="text1"/>
                <w:szCs w:val="24"/>
              </w:rPr>
            </w:pPr>
            <w:proofErr w:type="spellStart"/>
            <w:r w:rsidRPr="002070EA">
              <w:rPr>
                <w:color w:val="000000" w:themeColor="text1"/>
                <w:szCs w:val="24"/>
              </w:rPr>
              <w:t>Envelope</w:t>
            </w:r>
            <w:proofErr w:type="spellEnd"/>
            <w:r w:rsidRPr="002070EA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2070EA">
              <w:rPr>
                <w:color w:val="000000" w:themeColor="text1"/>
                <w:szCs w:val="24"/>
              </w:rPr>
              <w:t>Mean</w:t>
            </w:r>
            <w:proofErr w:type="spellEnd"/>
          </w:p>
        </w:tc>
        <w:tc>
          <w:tcPr>
            <w:tcW w:w="5452" w:type="dxa"/>
          </w:tcPr>
          <w:p w14:paraId="1C2D8EF1" w14:textId="77777777" w:rsidR="00D5648D" w:rsidRPr="002070EA" w:rsidRDefault="00D5648D" w:rsidP="00D5648D">
            <w:pPr>
              <w:adjustRightInd w:val="0"/>
              <w:snapToGrid w:val="0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Cs w:val="24"/>
              </w:rPr>
            </w:pPr>
            <w:r w:rsidRPr="002070EA">
              <w:rPr>
                <w:color w:val="000000" w:themeColor="text1"/>
                <w:szCs w:val="24"/>
              </w:rPr>
              <w:t>Средна стойност на обвивката. Показва средната амплитуда, игнорирайки колебанията.</w:t>
            </w:r>
          </w:p>
        </w:tc>
      </w:tr>
      <w:tr w:rsidR="00D5648D" w:rsidRPr="00764D9F" w14:paraId="36D306F1" w14:textId="77777777" w:rsidTr="00D564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64" w:type="dxa"/>
          </w:tcPr>
          <w:p w14:paraId="6E6D2915" w14:textId="77777777" w:rsidR="00D5648D" w:rsidRPr="002070EA" w:rsidRDefault="00D5648D" w:rsidP="00D5648D">
            <w:pPr>
              <w:adjustRightInd w:val="0"/>
              <w:snapToGrid w:val="0"/>
              <w:jc w:val="left"/>
              <w:rPr>
                <w:color w:val="000000" w:themeColor="text1"/>
                <w:szCs w:val="24"/>
              </w:rPr>
            </w:pPr>
            <w:proofErr w:type="spellStart"/>
            <w:r w:rsidRPr="002070EA">
              <w:rPr>
                <w:color w:val="000000" w:themeColor="text1"/>
                <w:szCs w:val="24"/>
              </w:rPr>
              <w:t>Envelope</w:t>
            </w:r>
            <w:proofErr w:type="spellEnd"/>
            <w:r w:rsidRPr="002070EA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2070EA">
              <w:rPr>
                <w:color w:val="000000" w:themeColor="text1"/>
                <w:szCs w:val="24"/>
              </w:rPr>
              <w:t>Max</w:t>
            </w:r>
            <w:proofErr w:type="spellEnd"/>
          </w:p>
        </w:tc>
        <w:tc>
          <w:tcPr>
            <w:tcW w:w="5452" w:type="dxa"/>
          </w:tcPr>
          <w:p w14:paraId="6CCE0642" w14:textId="77777777" w:rsidR="00D5648D" w:rsidRPr="002070EA" w:rsidRDefault="00D5648D" w:rsidP="00D5648D">
            <w:pPr>
              <w:adjustRightInd w:val="0"/>
              <w:snapToGrid w:val="0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24"/>
              </w:rPr>
            </w:pPr>
            <w:r w:rsidRPr="002070EA">
              <w:rPr>
                <w:color w:val="000000" w:themeColor="text1"/>
                <w:szCs w:val="24"/>
              </w:rPr>
              <w:t>Максималната достигната стойност на обвивката. Индикатор за пиковата сила на пристъпа.</w:t>
            </w:r>
          </w:p>
        </w:tc>
      </w:tr>
    </w:tbl>
    <w:p w14:paraId="58BE13DB" w14:textId="77777777" w:rsidR="00D5648D" w:rsidRPr="002070EA" w:rsidRDefault="00D5648D" w:rsidP="00D5648D">
      <w:pPr>
        <w:adjustRightInd w:val="0"/>
        <w:snapToGrid w:val="0"/>
        <w:rPr>
          <w:color w:val="000000" w:themeColor="text1"/>
          <w:szCs w:val="24"/>
        </w:rPr>
      </w:pPr>
    </w:p>
    <w:p w14:paraId="0F0C9D44" w14:textId="77777777" w:rsidR="00D5648D" w:rsidRPr="000C5CD1" w:rsidRDefault="00D5648D" w:rsidP="00D5648D">
      <w:pPr>
        <w:rPr>
          <w:b/>
          <w:bCs/>
        </w:rPr>
      </w:pPr>
      <w:r w:rsidRPr="000C5CD1">
        <w:rPr>
          <w:b/>
          <w:bCs/>
        </w:rPr>
        <w:t>Б. Честотни и Спектрални характеристики</w:t>
      </w:r>
    </w:p>
    <w:tbl>
      <w:tblPr>
        <w:tblStyle w:val="GridTable6ColourfulAccent2"/>
        <w:tblW w:w="0" w:type="auto"/>
        <w:tblLook w:val="04A0" w:firstRow="1" w:lastRow="0" w:firstColumn="1" w:lastColumn="0" w:noHBand="0" w:noVBand="1"/>
      </w:tblPr>
      <w:tblGrid>
        <w:gridCol w:w="3566"/>
        <w:gridCol w:w="5450"/>
      </w:tblGrid>
      <w:tr w:rsidR="00D5648D" w:rsidRPr="00764D9F" w14:paraId="441734FE" w14:textId="77777777" w:rsidTr="00D564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66" w:type="dxa"/>
          </w:tcPr>
          <w:p w14:paraId="71F9F1F9" w14:textId="77777777" w:rsidR="00D5648D" w:rsidRPr="002070EA" w:rsidRDefault="00D5648D" w:rsidP="00D5648D">
            <w:pPr>
              <w:adjustRightInd w:val="0"/>
              <w:snapToGrid w:val="0"/>
              <w:jc w:val="left"/>
              <w:rPr>
                <w:color w:val="000000" w:themeColor="text1"/>
                <w:szCs w:val="24"/>
              </w:rPr>
            </w:pPr>
            <w:r w:rsidRPr="002070EA">
              <w:rPr>
                <w:color w:val="000000" w:themeColor="text1"/>
                <w:szCs w:val="24"/>
              </w:rPr>
              <w:t>ZCR (</w:t>
            </w:r>
            <w:proofErr w:type="spellStart"/>
            <w:r w:rsidRPr="002070EA">
              <w:rPr>
                <w:color w:val="000000" w:themeColor="text1"/>
                <w:szCs w:val="24"/>
              </w:rPr>
              <w:t>Zero</w:t>
            </w:r>
            <w:proofErr w:type="spellEnd"/>
            <w:r w:rsidRPr="002070EA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2070EA">
              <w:rPr>
                <w:color w:val="000000" w:themeColor="text1"/>
                <w:szCs w:val="24"/>
              </w:rPr>
              <w:t>Crossing</w:t>
            </w:r>
            <w:proofErr w:type="spellEnd"/>
            <w:r w:rsidRPr="002070EA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2070EA">
              <w:rPr>
                <w:color w:val="000000" w:themeColor="text1"/>
                <w:szCs w:val="24"/>
              </w:rPr>
              <w:t>Rate</w:t>
            </w:r>
            <w:proofErr w:type="spellEnd"/>
            <w:r w:rsidRPr="002070EA">
              <w:rPr>
                <w:color w:val="000000" w:themeColor="text1"/>
                <w:szCs w:val="24"/>
              </w:rPr>
              <w:t>)</w:t>
            </w:r>
          </w:p>
        </w:tc>
        <w:tc>
          <w:tcPr>
            <w:tcW w:w="5450" w:type="dxa"/>
          </w:tcPr>
          <w:p w14:paraId="1CC4C71C" w14:textId="77777777" w:rsidR="00D5648D" w:rsidRPr="002070EA" w:rsidRDefault="00D5648D" w:rsidP="00D5648D">
            <w:pPr>
              <w:adjustRightInd w:val="0"/>
              <w:snapToGrid w:val="0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szCs w:val="24"/>
              </w:rPr>
            </w:pPr>
            <w:r w:rsidRPr="002070EA">
              <w:rPr>
                <w:b w:val="0"/>
                <w:bCs w:val="0"/>
                <w:color w:val="000000" w:themeColor="text1"/>
                <w:szCs w:val="24"/>
              </w:rPr>
              <w:t>Честота. Колко пъти сигналът минава през нулата. Дава груба оценка колко бързо се колебае сигналът (по-висока стойност = по-висока честота.</w:t>
            </w:r>
          </w:p>
        </w:tc>
      </w:tr>
      <w:tr w:rsidR="00D5648D" w:rsidRPr="00764D9F" w14:paraId="68BF0A9A" w14:textId="77777777" w:rsidTr="00D564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66" w:type="dxa"/>
          </w:tcPr>
          <w:p w14:paraId="4958DA7A" w14:textId="77777777" w:rsidR="00D5648D" w:rsidRPr="002070EA" w:rsidRDefault="00D5648D" w:rsidP="00D5648D">
            <w:pPr>
              <w:adjustRightInd w:val="0"/>
              <w:snapToGrid w:val="0"/>
              <w:jc w:val="left"/>
              <w:rPr>
                <w:color w:val="000000" w:themeColor="text1"/>
                <w:szCs w:val="24"/>
              </w:rPr>
            </w:pPr>
            <w:proofErr w:type="spellStart"/>
            <w:r w:rsidRPr="002070EA">
              <w:rPr>
                <w:color w:val="000000" w:themeColor="text1"/>
                <w:szCs w:val="24"/>
              </w:rPr>
              <w:t>Hjorth</w:t>
            </w:r>
            <w:proofErr w:type="spellEnd"/>
            <w:r w:rsidRPr="002070EA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2070EA">
              <w:rPr>
                <w:color w:val="000000" w:themeColor="text1"/>
                <w:szCs w:val="24"/>
              </w:rPr>
              <w:t>Mobility</w:t>
            </w:r>
            <w:proofErr w:type="spellEnd"/>
          </w:p>
        </w:tc>
        <w:tc>
          <w:tcPr>
            <w:tcW w:w="5450" w:type="dxa"/>
          </w:tcPr>
          <w:p w14:paraId="70C24ADE" w14:textId="77777777" w:rsidR="00D5648D" w:rsidRPr="002070EA" w:rsidRDefault="00D5648D" w:rsidP="00D5648D">
            <w:pPr>
              <w:adjustRightInd w:val="0"/>
              <w:snapToGrid w:val="0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24"/>
              </w:rPr>
            </w:pPr>
            <w:r w:rsidRPr="002070EA">
              <w:rPr>
                <w:color w:val="000000" w:themeColor="text1"/>
                <w:szCs w:val="24"/>
              </w:rPr>
              <w:t>Оценка на </w:t>
            </w:r>
            <w:r w:rsidRPr="002070EA">
              <w:rPr>
                <w:b/>
                <w:bCs/>
                <w:color w:val="000000" w:themeColor="text1"/>
                <w:szCs w:val="24"/>
              </w:rPr>
              <w:t>средната честота</w:t>
            </w:r>
            <w:r w:rsidRPr="002070EA">
              <w:rPr>
                <w:color w:val="000000" w:themeColor="text1"/>
                <w:szCs w:val="24"/>
              </w:rPr>
              <w:t> на сигнала. Изключително важен признак за различаване на бързи (здрави) от бавни (болни) вълни.</w:t>
            </w:r>
          </w:p>
        </w:tc>
      </w:tr>
      <w:tr w:rsidR="00D5648D" w:rsidRPr="00764D9F" w14:paraId="1A8F316B" w14:textId="77777777" w:rsidTr="00D564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66" w:type="dxa"/>
          </w:tcPr>
          <w:p w14:paraId="04069BA1" w14:textId="77777777" w:rsidR="00D5648D" w:rsidRPr="002070EA" w:rsidRDefault="00D5648D" w:rsidP="00D5648D">
            <w:pPr>
              <w:adjustRightInd w:val="0"/>
              <w:snapToGrid w:val="0"/>
              <w:jc w:val="left"/>
              <w:rPr>
                <w:color w:val="000000" w:themeColor="text1"/>
                <w:szCs w:val="24"/>
              </w:rPr>
            </w:pPr>
            <w:proofErr w:type="spellStart"/>
            <w:r w:rsidRPr="002070EA">
              <w:rPr>
                <w:color w:val="000000" w:themeColor="text1"/>
                <w:szCs w:val="24"/>
              </w:rPr>
              <w:t>Hjorth</w:t>
            </w:r>
            <w:proofErr w:type="spellEnd"/>
            <w:r w:rsidRPr="002070EA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2070EA">
              <w:rPr>
                <w:color w:val="000000" w:themeColor="text1"/>
                <w:szCs w:val="24"/>
              </w:rPr>
              <w:t>Complexity</w:t>
            </w:r>
            <w:proofErr w:type="spellEnd"/>
          </w:p>
        </w:tc>
        <w:tc>
          <w:tcPr>
            <w:tcW w:w="5450" w:type="dxa"/>
          </w:tcPr>
          <w:p w14:paraId="0C8D0F43" w14:textId="77777777" w:rsidR="00D5648D" w:rsidRPr="002070EA" w:rsidRDefault="00D5648D" w:rsidP="00D5648D">
            <w:pPr>
              <w:adjustRightInd w:val="0"/>
              <w:snapToGrid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Cs w:val="24"/>
              </w:rPr>
            </w:pPr>
            <w:r w:rsidRPr="002070EA">
              <w:rPr>
                <w:color w:val="000000" w:themeColor="text1"/>
                <w:szCs w:val="24"/>
              </w:rPr>
              <w:t>Мярка за промяната в честотата. Показва доколко формата на вълната прилича на чиста синусоида (стойност 1) или е хаотична.</w:t>
            </w:r>
          </w:p>
        </w:tc>
      </w:tr>
    </w:tbl>
    <w:p w14:paraId="02679291" w14:textId="77777777" w:rsidR="00D5648D" w:rsidRPr="002070EA" w:rsidRDefault="00D5648D" w:rsidP="00D5648D">
      <w:pPr>
        <w:adjustRightInd w:val="0"/>
        <w:snapToGrid w:val="0"/>
        <w:rPr>
          <w:color w:val="000000" w:themeColor="text1"/>
          <w:szCs w:val="24"/>
        </w:rPr>
      </w:pPr>
    </w:p>
    <w:p w14:paraId="5A6E7D18" w14:textId="77777777" w:rsidR="00D5648D" w:rsidRPr="000C5CD1" w:rsidRDefault="00D5648D" w:rsidP="00D5648D">
      <w:pPr>
        <w:rPr>
          <w:b/>
          <w:bCs/>
          <w:lang w:eastAsia="en-GB"/>
        </w:rPr>
      </w:pPr>
      <w:r w:rsidRPr="000C5CD1">
        <w:rPr>
          <w:b/>
          <w:bCs/>
          <w:lang w:eastAsia="en-GB"/>
        </w:rPr>
        <w:t>В. Диференциални характеристики (Стабилност)</w:t>
      </w:r>
    </w:p>
    <w:tbl>
      <w:tblPr>
        <w:tblStyle w:val="GridTable6ColourfulAccent6"/>
        <w:tblW w:w="0" w:type="auto"/>
        <w:tblInd w:w="-113" w:type="dxa"/>
        <w:tblLook w:val="04A0" w:firstRow="1" w:lastRow="0" w:firstColumn="1" w:lastColumn="0" w:noHBand="0" w:noVBand="1"/>
      </w:tblPr>
      <w:tblGrid>
        <w:gridCol w:w="2666"/>
        <w:gridCol w:w="6350"/>
      </w:tblGrid>
      <w:tr w:rsidR="00D5648D" w:rsidRPr="00764D9F" w14:paraId="2178320B" w14:textId="77777777" w:rsidTr="00D564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6" w:type="dxa"/>
            <w:vAlign w:val="center"/>
          </w:tcPr>
          <w:p w14:paraId="5BC1F94E" w14:textId="77777777" w:rsidR="00D5648D" w:rsidRPr="002070EA" w:rsidRDefault="00D5648D" w:rsidP="00D5648D">
            <w:pPr>
              <w:adjustRightInd w:val="0"/>
              <w:snapToGrid w:val="0"/>
              <w:jc w:val="left"/>
              <w:rPr>
                <w:color w:val="000000" w:themeColor="text1"/>
                <w:sz w:val="24"/>
                <w:szCs w:val="24"/>
                <w:lang w:eastAsia="en-GB"/>
              </w:rPr>
            </w:pPr>
            <w:r w:rsidRPr="002070EA">
              <w:rPr>
                <w:color w:val="000000" w:themeColor="text1"/>
                <w:sz w:val="24"/>
                <w:szCs w:val="24"/>
                <w:lang w:eastAsia="en-GB"/>
              </w:rPr>
              <w:t>Deriv1_Mean</w:t>
            </w:r>
          </w:p>
        </w:tc>
        <w:tc>
          <w:tcPr>
            <w:tcW w:w="6350" w:type="dxa"/>
            <w:vAlign w:val="center"/>
          </w:tcPr>
          <w:p w14:paraId="3B861248" w14:textId="77777777" w:rsidR="00D5648D" w:rsidRPr="002070EA" w:rsidRDefault="00D5648D" w:rsidP="00D5648D">
            <w:pPr>
              <w:adjustRightInd w:val="0"/>
              <w:snapToGrid w:val="0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sz w:val="24"/>
                <w:szCs w:val="24"/>
                <w:lang w:eastAsia="en-GB"/>
              </w:rPr>
            </w:pPr>
            <w:r w:rsidRPr="002070EA">
              <w:rPr>
                <w:b w:val="0"/>
                <w:bCs w:val="0"/>
                <w:color w:val="000000" w:themeColor="text1"/>
                <w:sz w:val="24"/>
                <w:szCs w:val="24"/>
                <w:lang w:eastAsia="en-GB"/>
              </w:rPr>
              <w:t>Средна стойност на първата производна (скорост на промяна). Обикновено е близка до нула.</w:t>
            </w:r>
          </w:p>
        </w:tc>
      </w:tr>
      <w:tr w:rsidR="00D5648D" w:rsidRPr="00764D9F" w14:paraId="70BB4487" w14:textId="77777777" w:rsidTr="00D564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6" w:type="dxa"/>
            <w:vAlign w:val="center"/>
          </w:tcPr>
          <w:p w14:paraId="1B249A54" w14:textId="77777777" w:rsidR="00D5648D" w:rsidRPr="002070EA" w:rsidRDefault="00D5648D" w:rsidP="00D5648D">
            <w:pPr>
              <w:adjustRightInd w:val="0"/>
              <w:snapToGrid w:val="0"/>
              <w:jc w:val="left"/>
              <w:rPr>
                <w:color w:val="000000" w:themeColor="text1"/>
                <w:sz w:val="24"/>
                <w:szCs w:val="24"/>
                <w:lang w:eastAsia="en-GB"/>
              </w:rPr>
            </w:pPr>
            <w:r w:rsidRPr="002070EA">
              <w:rPr>
                <w:color w:val="000000" w:themeColor="text1"/>
                <w:sz w:val="24"/>
                <w:szCs w:val="24"/>
                <w:lang w:eastAsia="en-GB"/>
              </w:rPr>
              <w:t>Deriv1_Std</w:t>
            </w:r>
          </w:p>
        </w:tc>
        <w:tc>
          <w:tcPr>
            <w:tcW w:w="6350" w:type="dxa"/>
            <w:vAlign w:val="center"/>
          </w:tcPr>
          <w:p w14:paraId="6641432F" w14:textId="77777777" w:rsidR="00D5648D" w:rsidRPr="002070EA" w:rsidRDefault="00D5648D" w:rsidP="00D5648D">
            <w:pPr>
              <w:adjustRightInd w:val="0"/>
              <w:snapToGrid w:val="0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:lang w:eastAsia="en-GB"/>
              </w:rPr>
            </w:pPr>
            <w:r w:rsidRPr="002070EA">
              <w:rPr>
                <w:color w:val="000000" w:themeColor="text1"/>
                <w:sz w:val="24"/>
                <w:szCs w:val="24"/>
                <w:lang w:eastAsia="en-GB"/>
              </w:rPr>
              <w:t xml:space="preserve">Стандартно отклонение на първата производна. Показва колко резки са промените в сигнала. </w:t>
            </w:r>
          </w:p>
        </w:tc>
      </w:tr>
      <w:tr w:rsidR="00D5648D" w:rsidRPr="00764D9F" w14:paraId="25CD1E5C" w14:textId="77777777" w:rsidTr="00D564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6" w:type="dxa"/>
            <w:vAlign w:val="center"/>
          </w:tcPr>
          <w:p w14:paraId="5B40E2CE" w14:textId="77777777" w:rsidR="00D5648D" w:rsidRPr="002070EA" w:rsidRDefault="00D5648D" w:rsidP="00D5648D">
            <w:pPr>
              <w:adjustRightInd w:val="0"/>
              <w:snapToGrid w:val="0"/>
              <w:jc w:val="left"/>
              <w:rPr>
                <w:color w:val="000000" w:themeColor="text1"/>
                <w:sz w:val="24"/>
                <w:szCs w:val="24"/>
                <w:lang w:eastAsia="en-GB"/>
              </w:rPr>
            </w:pPr>
            <w:r w:rsidRPr="002070EA">
              <w:rPr>
                <w:color w:val="000000" w:themeColor="text1"/>
                <w:sz w:val="24"/>
                <w:szCs w:val="24"/>
                <w:lang w:eastAsia="en-GB"/>
              </w:rPr>
              <w:t>Deriv2_Mean</w:t>
            </w:r>
          </w:p>
        </w:tc>
        <w:tc>
          <w:tcPr>
            <w:tcW w:w="6350" w:type="dxa"/>
            <w:vAlign w:val="center"/>
          </w:tcPr>
          <w:p w14:paraId="6349EB1A" w14:textId="77777777" w:rsidR="00D5648D" w:rsidRPr="002070EA" w:rsidRDefault="00D5648D" w:rsidP="00D5648D">
            <w:pPr>
              <w:adjustRightInd w:val="0"/>
              <w:snapToGrid w:val="0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:lang w:eastAsia="en-GB"/>
              </w:rPr>
            </w:pPr>
            <w:r w:rsidRPr="002070EA">
              <w:rPr>
                <w:color w:val="000000" w:themeColor="text1"/>
                <w:sz w:val="24"/>
                <w:szCs w:val="24"/>
                <w:lang w:eastAsia="en-GB"/>
              </w:rPr>
              <w:t>Средна стойност на втората производна (ускорение).</w:t>
            </w:r>
          </w:p>
        </w:tc>
      </w:tr>
      <w:tr w:rsidR="00D5648D" w:rsidRPr="00764D9F" w14:paraId="384F2B3B" w14:textId="77777777" w:rsidTr="00D564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6" w:type="dxa"/>
            <w:vAlign w:val="center"/>
          </w:tcPr>
          <w:p w14:paraId="49128810" w14:textId="77777777" w:rsidR="00D5648D" w:rsidRPr="002070EA" w:rsidRDefault="00D5648D" w:rsidP="00D5648D">
            <w:pPr>
              <w:adjustRightInd w:val="0"/>
              <w:snapToGrid w:val="0"/>
              <w:jc w:val="left"/>
              <w:rPr>
                <w:color w:val="000000" w:themeColor="text1"/>
                <w:sz w:val="24"/>
                <w:szCs w:val="24"/>
                <w:lang w:eastAsia="en-GB"/>
              </w:rPr>
            </w:pPr>
            <w:r w:rsidRPr="002070EA">
              <w:rPr>
                <w:color w:val="000000" w:themeColor="text1"/>
                <w:sz w:val="24"/>
                <w:szCs w:val="24"/>
                <w:lang w:eastAsia="en-GB"/>
              </w:rPr>
              <w:t>Deriv2_Std</w:t>
            </w:r>
          </w:p>
        </w:tc>
        <w:tc>
          <w:tcPr>
            <w:tcW w:w="6350" w:type="dxa"/>
            <w:vAlign w:val="center"/>
          </w:tcPr>
          <w:p w14:paraId="66FAA314" w14:textId="77777777" w:rsidR="00D5648D" w:rsidRPr="002070EA" w:rsidRDefault="00D5648D" w:rsidP="00D5648D">
            <w:pPr>
              <w:adjustRightInd w:val="0"/>
              <w:snapToGrid w:val="0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:lang w:eastAsia="en-GB"/>
              </w:rPr>
            </w:pPr>
            <w:r w:rsidRPr="002070EA">
              <w:rPr>
                <w:color w:val="000000" w:themeColor="text1"/>
                <w:sz w:val="24"/>
                <w:szCs w:val="24"/>
                <w:lang w:eastAsia="en-GB"/>
              </w:rPr>
              <w:t xml:space="preserve">Стандартно отклонение на втората производна. </w:t>
            </w:r>
            <w:proofErr w:type="spellStart"/>
            <w:r w:rsidRPr="002070EA">
              <w:rPr>
                <w:color w:val="000000" w:themeColor="text1"/>
                <w:sz w:val="24"/>
                <w:szCs w:val="24"/>
                <w:lang w:eastAsia="en-GB"/>
              </w:rPr>
              <w:t>Индикира</w:t>
            </w:r>
            <w:proofErr w:type="spellEnd"/>
            <w:r w:rsidRPr="002070EA">
              <w:rPr>
                <w:color w:val="000000" w:themeColor="text1"/>
                <w:sz w:val="24"/>
                <w:szCs w:val="24"/>
                <w:lang w:eastAsia="en-GB"/>
              </w:rPr>
              <w:t xml:space="preserve"> наличието на високочестотен шум или резки "</w:t>
            </w:r>
            <w:proofErr w:type="spellStart"/>
            <w:r w:rsidRPr="002070EA">
              <w:rPr>
                <w:color w:val="000000" w:themeColor="text1"/>
                <w:sz w:val="24"/>
                <w:szCs w:val="24"/>
                <w:lang w:eastAsia="en-GB"/>
              </w:rPr>
              <w:t>спайкове</w:t>
            </w:r>
            <w:proofErr w:type="spellEnd"/>
            <w:r w:rsidRPr="002070EA">
              <w:rPr>
                <w:color w:val="000000" w:themeColor="text1"/>
                <w:sz w:val="24"/>
                <w:szCs w:val="24"/>
                <w:lang w:eastAsia="en-GB"/>
              </w:rPr>
              <w:t>"</w:t>
            </w:r>
          </w:p>
        </w:tc>
      </w:tr>
    </w:tbl>
    <w:p w14:paraId="52A75E95" w14:textId="77777777" w:rsidR="002804E4" w:rsidRDefault="002804E4"/>
    <w:sectPr w:rsidR="002804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48D"/>
    <w:rsid w:val="0016628A"/>
    <w:rsid w:val="002804E4"/>
    <w:rsid w:val="00861A68"/>
    <w:rsid w:val="00D5648D"/>
    <w:rsid w:val="00FA6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31861A3"/>
  <w15:chartTrackingRefBased/>
  <w15:docId w15:val="{94BE10D8-B896-CF43-ABC5-8B05B148F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48D"/>
    <w:pPr>
      <w:spacing w:after="0" w:line="360" w:lineRule="auto"/>
      <w:ind w:firstLine="709"/>
      <w:contextualSpacing/>
      <w:mirrorIndents/>
      <w:jc w:val="both"/>
    </w:pPr>
    <w:rPr>
      <w:rFonts w:ascii="Times New Roman" w:eastAsia="Calibri" w:hAnsi="Times New Roman" w:cs="Times New Roman"/>
      <w:kern w:val="0"/>
      <w:szCs w:val="22"/>
      <w:lang w:val="bg-BG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648D"/>
    <w:pPr>
      <w:keepNext/>
      <w:keepLines/>
      <w:spacing w:before="360" w:after="80" w:line="278" w:lineRule="auto"/>
      <w:ind w:firstLine="0"/>
      <w:contextualSpacing w:val="0"/>
      <w:mirrorIndents w:val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BG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48D"/>
    <w:pPr>
      <w:keepNext/>
      <w:keepLines/>
      <w:spacing w:before="160" w:after="80" w:line="278" w:lineRule="auto"/>
      <w:ind w:firstLine="0"/>
      <w:contextualSpacing w:val="0"/>
      <w:mirrorIndents w:val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BG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48D"/>
    <w:pPr>
      <w:keepNext/>
      <w:keepLines/>
      <w:spacing w:before="160" w:after="80" w:line="278" w:lineRule="auto"/>
      <w:ind w:firstLine="0"/>
      <w:contextualSpacing w:val="0"/>
      <w:mirrorIndents w:val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BG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48D"/>
    <w:pPr>
      <w:keepNext/>
      <w:keepLines/>
      <w:spacing w:before="80" w:after="40" w:line="278" w:lineRule="auto"/>
      <w:ind w:firstLine="0"/>
      <w:contextualSpacing w:val="0"/>
      <w:mirrorIndents w:val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n-BG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48D"/>
    <w:pPr>
      <w:keepNext/>
      <w:keepLines/>
      <w:spacing w:before="80" w:after="40" w:line="278" w:lineRule="auto"/>
      <w:ind w:firstLine="0"/>
      <w:contextualSpacing w:val="0"/>
      <w:mirrorIndents w:val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n-BG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48D"/>
    <w:pPr>
      <w:keepNext/>
      <w:keepLines/>
      <w:spacing w:before="40" w:line="278" w:lineRule="auto"/>
      <w:ind w:firstLine="0"/>
      <w:contextualSpacing w:val="0"/>
      <w:mirrorIndents w:val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n-BG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48D"/>
    <w:pPr>
      <w:keepNext/>
      <w:keepLines/>
      <w:spacing w:before="40" w:line="278" w:lineRule="auto"/>
      <w:ind w:firstLine="0"/>
      <w:contextualSpacing w:val="0"/>
      <w:mirrorIndents w:val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n-BG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48D"/>
    <w:pPr>
      <w:keepNext/>
      <w:keepLines/>
      <w:spacing w:line="278" w:lineRule="auto"/>
      <w:ind w:firstLine="0"/>
      <w:contextualSpacing w:val="0"/>
      <w:mirrorIndents w:val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n-BG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48D"/>
    <w:pPr>
      <w:keepNext/>
      <w:keepLines/>
      <w:spacing w:line="278" w:lineRule="auto"/>
      <w:ind w:firstLine="0"/>
      <w:contextualSpacing w:val="0"/>
      <w:mirrorIndents w:val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n-BG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4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4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4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4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4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48D"/>
    <w:pPr>
      <w:spacing w:after="80" w:line="240" w:lineRule="auto"/>
      <w:ind w:firstLine="0"/>
      <w:mirrorIndents w:val="0"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BG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56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48D"/>
    <w:pPr>
      <w:numPr>
        <w:ilvl w:val="1"/>
      </w:numPr>
      <w:spacing w:after="160" w:line="278" w:lineRule="auto"/>
      <w:contextualSpacing w:val="0"/>
      <w:mirrorIndents w:val="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BG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56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48D"/>
    <w:pPr>
      <w:spacing w:before="160" w:after="160" w:line="278" w:lineRule="auto"/>
      <w:ind w:firstLine="0"/>
      <w:contextualSpacing w:val="0"/>
      <w:mirrorIndents w:val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n-BG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56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48D"/>
    <w:pPr>
      <w:spacing w:after="160" w:line="278" w:lineRule="auto"/>
      <w:ind w:left="720" w:firstLine="0"/>
      <w:mirrorIndents w:val="0"/>
      <w:jc w:val="left"/>
    </w:pPr>
    <w:rPr>
      <w:rFonts w:asciiTheme="minorHAnsi" w:eastAsiaTheme="minorHAnsi" w:hAnsiTheme="minorHAnsi" w:cstheme="minorBidi"/>
      <w:kern w:val="2"/>
      <w:szCs w:val="24"/>
      <w:lang w:val="en-BG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564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4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contextualSpacing w:val="0"/>
      <w:mirrorIndents w:val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n-BG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4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48D"/>
    <w:rPr>
      <w:b/>
      <w:bCs/>
      <w:smallCaps/>
      <w:color w:val="0F4761" w:themeColor="accent1" w:themeShade="BF"/>
      <w:spacing w:val="5"/>
    </w:rPr>
  </w:style>
  <w:style w:type="table" w:styleId="GridTable6ColourfulAccent1">
    <w:name w:val="Grid Table 6 Colorful Accent 1"/>
    <w:basedOn w:val="TableNormal"/>
    <w:uiPriority w:val="51"/>
    <w:rsid w:val="00D5648D"/>
    <w:pPr>
      <w:spacing w:after="0" w:line="240" w:lineRule="auto"/>
      <w:ind w:firstLine="709"/>
      <w:jc w:val="both"/>
    </w:pPr>
    <w:rPr>
      <w:color w:val="0F4761" w:themeColor="accent1" w:themeShade="BF"/>
      <w:kern w:val="0"/>
      <w:sz w:val="30"/>
      <w:szCs w:val="3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urfulAccent3">
    <w:name w:val="Grid Table 6 Colorful Accent 3"/>
    <w:basedOn w:val="TableNormal"/>
    <w:uiPriority w:val="51"/>
    <w:rsid w:val="00D5648D"/>
    <w:pPr>
      <w:spacing w:after="0" w:line="240" w:lineRule="auto"/>
      <w:ind w:firstLine="709"/>
      <w:jc w:val="both"/>
    </w:pPr>
    <w:rPr>
      <w:color w:val="124F1A" w:themeColor="accent3" w:themeShade="BF"/>
      <w:kern w:val="0"/>
      <w:sz w:val="30"/>
      <w:szCs w:val="3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urfulAccent6">
    <w:name w:val="Grid Table 6 Colorful Accent 6"/>
    <w:basedOn w:val="TableNormal"/>
    <w:uiPriority w:val="51"/>
    <w:rsid w:val="00D5648D"/>
    <w:pPr>
      <w:spacing w:after="0" w:line="240" w:lineRule="auto"/>
      <w:ind w:firstLine="709"/>
      <w:jc w:val="both"/>
    </w:pPr>
    <w:rPr>
      <w:color w:val="3A7C22" w:themeColor="accent6" w:themeShade="BF"/>
      <w:kern w:val="0"/>
      <w:sz w:val="30"/>
      <w:szCs w:val="3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6ColourfulAccent5">
    <w:name w:val="Grid Table 6 Colorful Accent 5"/>
    <w:basedOn w:val="TableNormal"/>
    <w:uiPriority w:val="51"/>
    <w:rsid w:val="00D5648D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urfulAccent2">
    <w:name w:val="Grid Table 6 Colorful Accent 2"/>
    <w:basedOn w:val="TableNormal"/>
    <w:uiPriority w:val="51"/>
    <w:rsid w:val="00D5648D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Сара Х. Попова</dc:creator>
  <cp:keywords/>
  <dc:description/>
  <cp:lastModifiedBy>Сара Х. Попова</cp:lastModifiedBy>
  <cp:revision>1</cp:revision>
  <dcterms:created xsi:type="dcterms:W3CDTF">2026-04-01T16:03:00Z</dcterms:created>
  <dcterms:modified xsi:type="dcterms:W3CDTF">2026-04-01T16:04:00Z</dcterms:modified>
</cp:coreProperties>
</file>