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6B3B"/>
          <w:spacing w:val="60"/>
          <w:sz w:val="22"/>
          <w:szCs w:val="22"/>
        </w:rPr>
        <w:t xml:space="preserve">RELATÓRIO TÉCNICO</w:t>
      </w:r>
    </w:p>
    <w:p>
      <w:pPr>
        <w:spacing w:after="0" w:before="200"/>
        <w:jc w:val="center"/>
      </w:pPr>
      <w:r>
        <w:rPr>
          <w:b/>
          <w:bCs/>
          <w:color w:val="1A1F1C"/>
          <w:sz w:val="72"/>
          <w:szCs w:val="72"/>
        </w:rPr>
        <w:t xml:space="preserve">AgroSmart</w:t>
      </w:r>
    </w:p>
    <w:p>
      <w:pPr>
        <w:spacing w:after="60" w:before="120"/>
        <w:jc w:val="center"/>
      </w:pPr>
      <w:r>
        <w:rPr>
          <w:color w:val="5A6B60"/>
          <w:sz w:val="28"/>
          <w:szCs w:val="28"/>
        </w:rPr>
        <w:t xml:space="preserve">Diagnóstico de plantas por visão computacional</w:t>
      </w:r>
    </w:p>
    <w:p>
      <w:pPr>
        <w:spacing w:after="900" w:before="0"/>
        <w:jc w:val="center"/>
      </w:pPr>
      <w:r>
        <w:rPr>
          <w:i/>
          <w:iCs/>
          <w:color w:val="5A6B60"/>
          <w:sz w:val="20"/>
          <w:szCs w:val="20"/>
        </w:rPr>
        <w:t xml:space="preserve">Classificação de imagens em saudável ou doente, com identificação do agente causal, recomendação de manejo e exportação estruturada dos resultados</w:t>
      </w:r>
    </w:p>
    <w:tbl>
      <w:tblPr>
        <w:tblW w:type="dxa" w:w="6800"/>
        <w:jc w:val="center"/>
        <w:tblBorders>
          <w:top w:val="none"/>
          <w:left w:val="none"/>
          <w:bottom w:val="none"/>
          <w:right w:val="none"/>
          <w:insideH w:val="single" w:color="DCE5DE" w:sz="2"/>
          <w:insideV w:val="none"/>
        </w:tblBorders>
      </w:tblPr>
      <w:tblGrid>
        <w:gridCol w:w="2400"/>
        <w:gridCol w:w="4400"/>
      </w:tblGrid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5A6B60"/>
                <w:sz w:val="19"/>
                <w:szCs w:val="19"/>
              </w:rPr>
              <w:t xml:space="preserve">Aluno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color w:val="222826"/>
                <w:sz w:val="19"/>
                <w:szCs w:val="19"/>
              </w:rPr>
              <w:t xml:space="preserve">Paulo Sergio Morais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5A6B60"/>
                <w:sz w:val="19"/>
                <w:szCs w:val="19"/>
              </w:rPr>
              <w:t xml:space="preserve">RM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color w:val="222826"/>
                <w:sz w:val="19"/>
                <w:szCs w:val="19"/>
              </w:rPr>
              <w:t xml:space="preserve">553012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5A6B60"/>
                <w:sz w:val="19"/>
                <w:szCs w:val="19"/>
              </w:rPr>
              <w:t xml:space="preserve">Turma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color w:val="222826"/>
                <w:sz w:val="19"/>
                <w:szCs w:val="19"/>
              </w:rPr>
              <w:t xml:space="preserve">3ESOR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5A6B60"/>
                <w:sz w:val="19"/>
                <w:szCs w:val="19"/>
              </w:rPr>
              <w:t xml:space="preserve">Entrega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color w:val="222826"/>
                <w:sz w:val="19"/>
                <w:szCs w:val="19"/>
              </w:rPr>
              <w:t xml:space="preserve">Fase 1 — Atividade de visão computacional</w:t>
            </w:r>
          </w:p>
        </w:tc>
      </w:tr>
      <w:tr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5A6B60"/>
                <w:sz w:val="19"/>
                <w:szCs w:val="19"/>
              </w:rPr>
              <w:t xml:space="preserve">Data</w:t>
            </w:r>
          </w:p>
        </w:tc>
        <w:tc>
          <w:tcPr>
            <w:tcW w:type="dxa" w:w="4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color w:val="222826"/>
                <w:sz w:val="19"/>
                <w:szCs w:val="19"/>
              </w:rPr>
              <w:t xml:space="preserve">15 de agosto de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1. Objetivo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AgroSmart recebe a foto de uma planta, decide se ela está saudável ou doente, aponta o agente causal quando existe, recomenda o manejo e grava o laudo num banco local que pode ser exportado em CSV e JSON.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 atividade pedia um classificador simples de imagens. O sistema entrega isso e vai um passo adiante: em vez de um único classificador, ele opera dois motores de visão com forças opostas e escolhe qual deles responde a cada foto. A comparação entre os dois é, ela própria, um resultado do trabalho.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2. A solução em dois motores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Um classificador treinado por nós é preciso e mensurável, mas só conhece aquilo que viu no treino. Um modelo de visão generalista aceita qualquer planta, mas não tem acurácia auditável. As duas limitações são complementares, e é daí que vem a arquitetura: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51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CNN especializado</w:t>
            </w:r>
          </w:p>
        </w:tc>
        <w:tc>
          <w:tcPr>
            <w:tcW w:type="dxa" w:w="351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Visão generalista (VLM)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Modelo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MobileNetV2 treinado por nós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Google Gemini (gemini-3.6-flash)</w:t>
            </w:r>
          </w:p>
        </w:tc>
      </w:tr>
      <w:tr>
        <w:tc>
          <w:tcPr>
            <w:tcW w:type="dxa" w:w="23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Cobertura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12 condições em 5 culturas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Qualquer espécie vegetal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Confiança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Probabilidade real (softmax)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Autoavaliação em palavras</w:t>
            </w:r>
          </w:p>
        </w:tc>
      </w:tr>
      <w:tr>
        <w:tc>
          <w:tcPr>
            <w:tcW w:type="dxa" w:w="23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Acurácia por classe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Mensurável no conjunto de teste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Não mensurável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Custo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Zero, roda offline</w:t>
            </w:r>
          </w:p>
        </w:tc>
        <w:tc>
          <w:tcPr>
            <w:tcW w:type="dxa" w:w="351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Chamada de API (camada gratuita)</w:t>
            </w:r>
          </w:p>
        </w:tc>
      </w:tr>
      <w:tr>
        <w:tc>
          <w:tcPr>
            <w:tcW w:type="dxa" w:w="23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Latência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~100 ms por imagem</w:t>
            </w:r>
          </w:p>
        </w:tc>
        <w:tc>
          <w:tcPr>
            <w:tcW w:type="dxa" w:w="351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~2 s por imagem</w:t>
            </w:r>
          </w:p>
        </w:tc>
      </w:tr>
    </w:tbl>
    <w:p>
      <w:pPr>
        <w:spacing w:after="120" w:line="276"/>
      </w:pPr>
      <w:r>
        <w:rPr>
          <w:color w:val="222826"/>
          <w:sz w:val="21"/>
          <w:szCs w:val="21"/>
        </w:rPr>
        <w:t xml:space="preserve"/>
      </w:r>
    </w:p>
    <w:p>
      <w:pPr>
        <w:spacing w:after="140" w:line="276"/>
      </w:pPr>
      <w:r>
        <w:rPr>
          <w:b/>
          <w:bCs/>
          <w:color w:val="222826"/>
          <w:sz w:val="21"/>
          <w:szCs w:val="21"/>
        </w:rPr>
        <w:t xml:space="preserve">Modo automático. </w:t>
      </w:r>
      <w:r>
        <w:rPr>
          <w:color w:val="222826"/>
          <w:sz w:val="21"/>
          <w:szCs w:val="21"/>
        </w:rPr>
        <w:t xml:space="preserve">O CNN responde primeiro. Se nenhuma das 12 classes atingir a confiança mínima (60% por padrão), a imagem é encaminhada ao generalista. O resultado é diagnóstico medido onde o modelo treinado é competente e cobertura aberta no restante — sem que o usuário precise saber qual motor está respondendo.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Há ainda três modos manuais: somente CNN, somente generalista e comparação, este último rodando os dois motores na mesma foto e gravando as duas linhas na exportação.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3. Processo de desenvolvimento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3.1 Definição do catálogo de classes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ponto de partida foi o conjunto PlantVillage, de onde se recortaram 12 classes cobrindo 5 culturas de peso no agronegócio brasileiro: maçã, milho, uva, batata e tomate. Cada classe carrega, além do rótulo, a descrição dos sintomas, o agente causal e o manejo recomendado — é isso que transforma uma saída numérica em laudo legível.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Cultura</w:t>
            </w:r>
          </w:p>
        </w:tc>
        <w:tc>
          <w:tcPr>
            <w:tcW w:type="dxa" w:w="702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Condições reconhecidas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Maçã</w:t>
            </w:r>
          </w:p>
        </w:tc>
        <w:tc>
          <w:tcPr>
            <w:tcW w:type="dxa" w:w="70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· Sarna-da-macieira</w:t>
            </w:r>
          </w:p>
        </w:tc>
      </w:tr>
      <w:tr>
        <w:tc>
          <w:tcPr>
            <w:tcW w:type="dxa" w:w="23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Milho</w:t>
            </w:r>
          </w:p>
        </w:tc>
        <w:tc>
          <w:tcPr>
            <w:tcW w:type="dxa" w:w="70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· Ferrugem comum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Uva</w:t>
            </w:r>
          </w:p>
        </w:tc>
        <w:tc>
          <w:tcPr>
            <w:tcW w:type="dxa" w:w="70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· Podridão-negra</w:t>
            </w:r>
          </w:p>
        </w:tc>
      </w:tr>
      <w:tr>
        <w:tc>
          <w:tcPr>
            <w:tcW w:type="dxa" w:w="23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Batata</w:t>
            </w:r>
          </w:p>
        </w:tc>
        <w:tc>
          <w:tcPr>
            <w:tcW w:type="dxa" w:w="70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· Pinta-preta</w:t>
            </w:r>
          </w:p>
        </w:tc>
      </w:tr>
      <w:tr>
        <w:tc>
          <w:tcPr>
            <w:tcW w:type="dxa" w:w="23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Tomate</w:t>
            </w:r>
          </w:p>
        </w:tc>
        <w:tc>
          <w:tcPr>
            <w:tcW w:type="dxa" w:w="70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· Requeima · Mancha de septória · Ácaro-rajado (praga)</w:t>
            </w:r>
          </w:p>
        </w:tc>
      </w:tr>
    </w:tbl>
    <w:p>
      <w:pPr>
        <w:spacing w:after="120" w:line="276"/>
      </w:pPr>
      <w:r>
        <w:rPr>
          <w:color w:val="222826"/>
          <w:sz w:val="21"/>
          <w:szCs w:val="21"/>
        </w:rPr>
        <w:t xml:space="preserve"/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rótulo binário exigido pela atividade — saudável ou doente — é derivado da classe prevista, não previsto diretamente. Assim o sistema entrega a resposta pedida sem perder a informação mais rica de qual é a doença.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3.2 Treino do modelo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treino usa transferência de aprendizado: MobileNetV2 pré-treinado no ImageNet, com a base congelada e um topo novo treinado sobre as 12 classes. A arquitetura foi escolhida pelo tamanho — cerca de 22 MB, já com a base ajustada na fase de fine-tuning — que permite distribuir o modelo junto com o código e rodar a inferência em CPU, sem GPU e sem servidor.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notebook de treino roda no Google Colab com GPU gratuita e gera, além do modelo, o arquivo classes.json com a ordem exata das classes, os gráficos de acurácia e perda e a matriz de confusão.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Uma decisão de projeto merece registro: a normalização das imagens para o intervalo [-1, 1] acontece </w:t>
      </w:r>
      <w:r>
        <w:rPr>
          <w:b/>
          <w:bCs/>
          <w:color w:val="222826"/>
          <w:sz w:val="21"/>
          <w:szCs w:val="21"/>
        </w:rPr>
        <w:t xml:space="preserve">dentro do próprio modelo</w:t>
      </w:r>
      <w:r>
        <w:rPr>
          <w:color w:val="222826"/>
          <w:sz w:val="21"/>
          <w:szCs w:val="21"/>
        </w:rPr>
        <w:t xml:space="preserve">, numa camada Rescaling. Com isso é impossível o pré-processamento do treino divergir do pré-processamento da inferência — a origem mais comum do defeito "funciona no notebook, erra no aplicativo".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3.3 Motor de visão generalista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segundo motor envia a foto ao Gemini com instruções que separam com rigor o que o modelo observa do que ele conclui: o campo de sintomas aceita apenas o que está visível na imagem, e o diagnóstico é a conclusão tirada desses sintomas.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As instruções impõem regras que o modelo não pode violar: admitir indefinição quando a foto não sustenta uma conclusão, só nomear um patógeno específico quando os sintomas apontarem realmente para ele, e priorizar manejo cultural e biológico — encaminhando qualquer indicação de controle químico a um engenheiro agrônomo.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 resposta é forçada a um schema JSON validado com Pydantic, e não a texto livre. É isso que permite que o laudo do generalista entre exatamente na mesma tabela de exportação do CNN, sem depender de interpretação de texto.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3.4 Rejeição de imagens fora do domínio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Quando nenhuma classe atinge a confiança mínima, o CNN se declara indeterminado em vez de emitir o palpite mais provável com aparência de certeza. É um comportamento deliberado: num laudo agronômico, um erro confiante custa mais caro que uma abstenção. Esse mesmo limiar é o gatilho que aciona o generalista no modo automático, e é ajustável na interface.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3.5 Persistência e histórico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Cada laudo é gravado em SQLite junto com uma miniatura de 480 px da foto analisada. O usuário reabre qualquer análise antiga clicando no cartão do histórico, e a exportação cobre tudo o que já foi diagnosticado — não apenas o lote atual. É o banco de imagens pedido no enunciado.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3.6 Interface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 interface web é servida pelo próprio backend, sem etapa de build e sem dependências de front-end. A foto entra por arrastar-e-soltar, clique ou Ctrl+V — este último útil para print de celular. Durante a análise a própria imagem aparece sob uma varredura animada; ao final, a área de envio se limpa sozinha e o laudo aparece com a foto embutida, deixando o sistema pronto para a próxima planta.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Todas as fotos, independentemente de serem retrato ou paisagem, são exibidas numa moldura de proporção fixa: a imagem entra inteira, sem corte, e o espaço restante é preenchido por ela mesma desfocada. A tela não muda de altura de uma análise para outra.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4. Tecnologias utilizadas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24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</w:t>
            </w:r>
          </w:p>
        </w:tc>
        <w:tc>
          <w:tcPr>
            <w:tcW w:type="dxa" w:w="436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Papel no projeto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Linguagem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Python 3.12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Todo o backend e a linha de comando</w:t>
            </w:r>
          </w:p>
        </w:tc>
      </w:tr>
      <w:tr>
        <w:tc>
          <w:tcPr>
            <w:tcW w:type="dxa" w:w="26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Rede neural</w:t>
            </w:r>
          </w:p>
        </w:tc>
        <w:tc>
          <w:tcPr>
            <w:tcW w:type="dxa" w:w="24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TensorFlow / Keras</w:t>
            </w:r>
          </w:p>
        </w:tc>
        <w:tc>
          <w:tcPr>
            <w:tcW w:type="dxa" w:w="43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MobileNetV2 com transferência de aprendizado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Visão generalista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Diagnóstico de espécies fora do catálogo</w:t>
            </w:r>
          </w:p>
        </w:tc>
      </w:tr>
      <w:tr>
        <w:tc>
          <w:tcPr>
            <w:tcW w:type="dxa" w:w="26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API web</w:t>
            </w:r>
          </w:p>
        </w:tc>
        <w:tc>
          <w:tcPr>
            <w:tcW w:type="dxa" w:w="24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FastAPI + Uvicorn</w:t>
            </w:r>
          </w:p>
        </w:tc>
        <w:tc>
          <w:tcPr>
            <w:tcW w:type="dxa" w:w="43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Endpoints de análise, histórico e exportação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Validação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Pydantic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Schema do laudo devolvido pelo VLM</w:t>
            </w:r>
          </w:p>
        </w:tc>
      </w:tr>
      <w:tr>
        <w:tc>
          <w:tcPr>
            <w:tcW w:type="dxa" w:w="26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Imagens</w:t>
            </w:r>
          </w:p>
        </w:tc>
        <w:tc>
          <w:tcPr>
            <w:tcW w:type="dxa" w:w="24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Pillow</w:t>
            </w:r>
          </w:p>
        </w:tc>
        <w:tc>
          <w:tcPr>
            <w:tcW w:type="dxa" w:w="43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Leitura, rotação EXIF e miniaturas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Dados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NumPy + pandas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Tensores de entrada e geração do CSV</w:t>
            </w:r>
          </w:p>
        </w:tc>
      </w:tr>
      <w:tr>
        <w:tc>
          <w:tcPr>
            <w:tcW w:type="dxa" w:w="26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Persistência</w:t>
            </w:r>
          </w:p>
        </w:tc>
        <w:tc>
          <w:tcPr>
            <w:tcW w:type="dxa" w:w="24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SQLite</w:t>
            </w:r>
          </w:p>
        </w:tc>
        <w:tc>
          <w:tcPr>
            <w:tcW w:type="dxa" w:w="43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Histórico de laudos e miniaturas</w:t>
            </w:r>
          </w:p>
        </w:tc>
      </w:tr>
      <w:tr>
        <w:tc>
          <w:tcPr>
            <w:tcW w:type="dxa" w:w="2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Front-end</w:t>
            </w:r>
          </w:p>
        </w:tc>
        <w:tc>
          <w:tcPr>
            <w:tcW w:type="dxa" w:w="24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HTML, CSS e JavaScript puros</w:t>
            </w:r>
          </w:p>
        </w:tc>
        <w:tc>
          <w:tcPr>
            <w:tcW w:type="dxa" w:w="43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Interface sem build e sem framework</w:t>
            </w:r>
          </w:p>
        </w:tc>
      </w:tr>
      <w:tr>
        <w:tc>
          <w:tcPr>
            <w:tcW w:type="dxa" w:w="26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222826"/>
                <w:sz w:val="19"/>
                <w:szCs w:val="19"/>
              </w:rPr>
              <w:t xml:space="preserve">Treino</w:t>
            </w:r>
          </w:p>
        </w:tc>
        <w:tc>
          <w:tcPr>
            <w:tcW w:type="dxa" w:w="24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Google Colab (GPU T4)</w:t>
            </w:r>
          </w:p>
        </w:tc>
        <w:tc>
          <w:tcPr>
            <w:tcW w:type="dxa" w:w="43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Notebook de treino e métricas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5. Funcionamento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sistema oferece dois caminhos de uso, ambos apoiados no mesmo núcleo de diagnóstico.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5.1 Interface web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.venv\Scripts\python.exe servidor.py</w:t>
      </w:r>
    </w:p>
    <w:p>
      <w:pPr>
        <w:spacing w:after="200" w:line="276"/>
      </w:pPr>
      <w:r>
        <w:rPr>
          <w:color w:val="222826"/>
          <w:sz w:val="21"/>
          <w:szCs w:val="21"/>
        </w:rPr>
        <w:t xml:space="preserve">Abrir http://localhost:8000, escolher o modo e enviar a foto. O laudo aparece abaixo e é salvo no histórico automaticamente. O parâmetro --publico expõe o servidor na rede local, permitindo abrir do celular e fotografar a planta direto no campo.</w:t>
      </w:r>
    </w:p>
    <w:p>
      <w:pPr>
        <w:pBdr>
          <w:left w:val="single" w:color="1F6B3B" w:sz="18" w:space="8"/>
        </w:pBdr>
        <w:shd w:fill="E8F3EA" w:val="clear"/>
        <w:spacing w:after="0" w:before="200"/>
        <w:ind w:left="160" w:right="160"/>
      </w:pPr>
      <w:r>
        <w:rPr>
          <w:b/>
          <w:bCs/>
          <w:color w:val="1F6B3B"/>
          <w:sz w:val="20"/>
          <w:szCs w:val="20"/>
        </w:rPr>
        <w:t xml:space="preserve">Espaço para captura de tela</w:t>
      </w:r>
    </w:p>
    <w:p>
      <w:pPr>
        <w:pBdr>
          <w:left w:val="single" w:color="1F6B3B" w:sz="18" w:space="8"/>
        </w:pBdr>
        <w:shd w:fill="E8F3EA" w:val="clear"/>
        <w:spacing w:after="200" w:before="40"/>
        <w:ind w:left="160" w:right="160"/>
      </w:pPr>
      <w:r>
        <w:rPr>
          <w:color w:val="3A3A33"/>
          <w:sz w:val="20"/>
          <w:szCs w:val="20"/>
        </w:rPr>
        <w:t xml:space="preserve">Inserir aqui uma captura da tela inicial do sistema (área de envio e seletor de modos) e outra de um laudo completo na tela. Ambas as telas já estão prontas e funcionando; bastam dois prints do navegador.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5.2 Linha de comando, em lote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.venv\Scripts\python.exe classificar_pasta.py dados/campo --motor comparacao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Processa uma pasta inteira de uma vez e grava o CSV e o JSON. O modo de comparação roda os dois motores em cada imagem e produz as duas linhas, alimentando a tabela comparativa deste relatório.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6. Imagens de exemplo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Os casos a seguir são análises reais feitas no sistema, com fotos de celular tiradas em campo — não amostras de laboratório. Todos foram diagnosticados pelo motor de visão generalista, que é o único capaz de tratar as espécies fora do catálogo do CNN (roseira e citros não estão entre as 12 classes treinadas).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6.1 Doença fúngica identificada — roseira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190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20"/>
        <w:jc w:val="center"/>
      </w:pPr>
      <w:r>
        <w:rPr>
          <w:i/>
          <w:iCs/>
          <w:color w:val="5A6B60"/>
          <w:sz w:val="17"/>
          <w:szCs w:val="17"/>
        </w:rPr>
        <w:t xml:space="preserve">Foto enviada pelo usuário, reduzida para 480 px pelo próprio sistema.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6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laudo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Mancha-negra-da-roseira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Condição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Doente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Espécie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Roseira (Rosa spp.)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Agente causal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Fungo (Diplocarpon rosae)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Sintomas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Folhas com intenso amarelecimento contendo manchas circulares a irregulares castanho-escuras a pretas, com bordas franjadas; coalescência de lesões cobrindo grande parte do limbo foliar.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Manejo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Recolher e descartar as folhas infectadas, inclusive as caídas no solo, sem compostá-las; evitar molhar a folhagem na irrigação; poda de limpeza para melhorar o arejamento. Controle químico apenas sob orientação de engenheiro agrônomo.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6.2 Praga em estágio avançado — citros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1905000" cy="2543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20"/>
        <w:jc w:val="center"/>
      </w:pPr>
      <w:r>
        <w:rPr>
          <w:i/>
          <w:iCs/>
          <w:color w:val="5A6B60"/>
          <w:sz w:val="17"/>
          <w:szCs w:val="17"/>
        </w:rPr>
        <w:t xml:space="preserve">Foto enviada pelo usuário, reduzida para 480 px pelo próprio sistema.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6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laudo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Infestação severa por cochonilha-branca-do-tronco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Condição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Doente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Espécie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Citros (Citrus sp.)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Agente causal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Praga (Unaspis citri)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Sintomas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Tronco e ramos cobertos por crosta densa e contínua de aspecto farináceo esbranquiçado, composta por carapaças diminutas de insetos; leve amarelecimento pontual nas folhas ao redor.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Manejo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Remoção mecânica da crosta com escova de cerdas macias e água com sabão neutro; podas de condução e limpeza para melhorar ventilação e insolação; descarte dos galhos secos. Caldas e óleos minerais somente com indicação técnica.</w:t>
            </w:r>
          </w:p>
        </w:tc>
      </w:tr>
    </w:tbl>
    <w:p>
      <w:pPr>
        <w:spacing w:after="200"/>
      </w:pP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6.3 Recusa deliberada de diagnóstico — citros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1714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20"/>
        <w:jc w:val="center"/>
      </w:pPr>
      <w:r>
        <w:rPr>
          <w:i/>
          <w:iCs/>
          <w:color w:val="5A6B60"/>
          <w:sz w:val="17"/>
          <w:szCs w:val="17"/>
        </w:rPr>
        <w:t xml:space="preserve">Foto enviada pelo usuário, reduzida para 480 px pelo próprio sistema.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6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laudo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Indeterminado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Condição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Indeterminado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Confiança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Baixa (autoavaliada)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Sintomas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Folhas molhadas e dispersas com amarelecimento, copa densa com sombreamento interno. Pelo enquadramento distante, não são visíveis pontuações, manchas específicas, insetos ou ácaros.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Observações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 foto ampla e à distância, com as folhas molhadas, impede distinguir deficiência nutricional de pragas de sucção ou patógenos. O sistema solicita fotos aproximadas da face superior e inferior das folhas afetadas.</w:t>
            </w:r>
          </w:p>
        </w:tc>
      </w:tr>
    </w:tbl>
    <w:p>
      <w:pPr>
        <w:spacing w:after="200"/>
      </w:pPr>
    </w:p>
    <w:p>
      <w:pPr>
        <w:spacing w:after="240" w:line="276"/>
      </w:pPr>
      <w:r>
        <w:rPr>
          <w:color w:val="222826"/>
          <w:sz w:val="21"/>
          <w:szCs w:val="21"/>
        </w:rPr>
        <w:t xml:space="preserve">Este é o caso mais importante do conjunto. Diante de uma foto insuficiente, o sistema recusa o diagnóstico e explica o que falta na imagem, em vez de produzir um laudo plausível e errado. Um sistema de triagem que não sabe dizer "não sei" é perigoso no campo.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6.4 Cultura saudável em maturação — milho</w:t>
      </w:r>
    </w:p>
    <w:p>
      <w:pPr>
        <w:keepNext/>
        <w:spacing w:after="80" w:before="120"/>
        <w:jc w:val="center"/>
      </w:pPr>
      <w:r>
        <w:drawing>
          <wp:inline distT="0" distB="0" distL="0" distR="0">
            <wp:extent cx="2857500" cy="1714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220"/>
        <w:jc w:val="center"/>
      </w:pPr>
      <w:r>
        <w:rPr>
          <w:i/>
          <w:iCs/>
          <w:color w:val="5A6B60"/>
          <w:sz w:val="17"/>
          <w:szCs w:val="17"/>
        </w:rPr>
        <w:t xml:space="preserve">Foto enviada pelo usuário, reduzida para 480 px pelo próprio sistema.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726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laudo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Diagnóstico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 (maturação fisiológica)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Condição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Saudável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Espécie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Milho (Zea mays)</w:t>
            </w:r>
          </w:p>
        </w:tc>
      </w:tr>
      <w:tr>
        <w:tc>
          <w:tcPr>
            <w:tcW w:type="dxa" w:w="210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Sintomas</w:t>
            </w:r>
          </w:p>
        </w:tc>
        <w:tc>
          <w:tcPr>
            <w:tcW w:type="dxa" w:w="726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Espiga exposta com grãos amarelos, bem formados e uniformes, sem sinais de podridão; palhas e folhas do entorno secas e amareladas, sem pontuações fúngicas ou lesões aparentes.</w:t>
            </w:r>
          </w:p>
        </w:tc>
      </w:tr>
      <w:tr>
        <w:tc>
          <w:tcPr>
            <w:tcW w:type="dxa" w:w="21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Manejo</w:t>
            </w:r>
          </w:p>
        </w:tc>
        <w:tc>
          <w:tcPr>
            <w:tcW w:type="dxa" w:w="726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Monitorar o teor de umidade dos grãos para colher no momento adequado; garantir secagem e armazenamento limpo e arejado, evitando pragas de grãos armazenados e fungos pós-colheita.</w:t>
            </w:r>
          </w:p>
        </w:tc>
      </w:tr>
    </w:tbl>
    <w:p>
      <w:pPr>
        <w:spacing w:after="200"/>
      </w:pPr>
    </w:p>
    <w:p>
      <w:pPr>
        <w:spacing w:after="140" w:line="276"/>
      </w:pPr>
      <w:r>
        <w:rPr>
          <w:color w:val="222826"/>
          <w:sz w:val="21"/>
          <w:szCs w:val="21"/>
        </w:rPr>
        <w:t xml:space="preserve">O sistema distingue o secamento natural da maturação de um quadro de doença — uma confusão frequente para quem não é técnico e que levaria a uma aplicação de defensivo desnecessária.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7. Exportação de dados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Todo laudo produzido é exportável em CSV e em JSON, com 17 campos por linha. Os arquivos gerados acompanham a entrega em exportacoes/.</w:t>
      </w:r>
    </w:p>
    <w:tbl>
      <w:tblPr>
        <w:tblW w:type="dxa" w:w="9360"/>
        <w:tblBorders>
          <w:top w:val="single" w:color="C9D6CD" w:sz="2"/>
          <w:left w:val="single" w:color="C9D6CD" w:sz="2"/>
          <w:bottom w:val="single" w:color="C9D6CD" w:sz="2"/>
          <w:right w:val="single" w:color="C9D6CD" w:sz="2"/>
          <w:insideH w:val="single" w:color="DCE5DE" w:sz="2"/>
          <w:insideV w:val="single" w:color="DCE5DE" w:sz="2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6240"/>
            <w:shd w:fill="1F6B3B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arquivo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Nome do arquivo de imagem analisado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data_hora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Instante da análise, em ISO 8601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motor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Qual dos dois motores produziu o laudo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especie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Espécie ou cultura identificada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diagnostico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Conclusão do laudo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condicao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Rótulo binário exigido: saudável, doente ou indeterminado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confianca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Probabilidade do CNN (vazio nas linhas do generalista)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confianca_texto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Confiança legível, preenchida pelos dois motores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agente_causal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Fungo, praga, bactéria ou vírus, quando aplicável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sintomas_observados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O que está visível na imagem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manejo_recomendado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Ação sugerida ao produtor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alternativa_1 e 2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Segunda e terceira hipóteses do CNN, com suas confianças</w:t>
            </w:r>
          </w:p>
        </w:tc>
      </w:tr>
      <w:tr>
        <w:tc>
          <w:tcPr>
            <w:tcW w:type="dxa" w:w="312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observacoes</w:t>
            </w:r>
          </w:p>
        </w:tc>
        <w:tc>
          <w:tcPr>
            <w:tcW w:type="dxa" w:w="624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Ressalvas e parte da planta analisada</w:t>
            </w:r>
          </w:p>
        </w:tc>
      </w:tr>
      <w:tr>
        <w:tc>
          <w:tcPr>
            <w:tcW w:type="dxa" w:w="312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modelo_versao</w:t>
            </w:r>
          </w:p>
        </w:tc>
        <w:tc>
          <w:tcPr>
            <w:tcW w:type="dxa" w:w="6240"/>
            <w:shd w:fill="F2F4F2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826"/>
                <w:sz w:val="19"/>
                <w:szCs w:val="19"/>
              </w:rPr>
              <w:t xml:space="preserve">Versão do modelo que assinou o laudo</w:t>
            </w:r>
          </w:p>
        </w:tc>
      </w:tr>
    </w:tbl>
    <w:p>
      <w:pPr>
        <w:spacing w:after="140" w:line="276"/>
      </w:pPr>
      <w:r>
        <w:rPr>
          <w:color w:val="222826"/>
          <w:sz w:val="21"/>
          <w:szCs w:val="21"/>
        </w:rPr>
        <w:t xml:space="preserve"/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7.1 Decisões de formato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222826"/>
          <w:sz w:val="21"/>
          <w:szCs w:val="21"/>
        </w:rPr>
        <w:t xml:space="preserve">O CSV usa separador ponto-e-vírgula, decimal com vírgula e codificação utf-8-sig — o dialeto que o Excel em português abre com as colunas separadas e os acentos corretos, sem etapa de importação.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222826"/>
          <w:sz w:val="21"/>
          <w:szCs w:val="21"/>
        </w:rPr>
        <w:t xml:space="preserve">O JSON traz um bloco metadata com contagens por motor e por condição, o limiar de confiança usado e a data da análise, seguido da lista de resultados.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rPr>
          <w:color w:val="222826"/>
          <w:sz w:val="21"/>
          <w:szCs w:val="21"/>
        </w:rPr>
        <w:t xml:space="preserve">A coluna de confiança numérica fica vazia nas linhas do generalista. Converter uma autoavaliação em "alta" num número daria a ela uma precisão que ela não tem; a confiança legível dos dois motores está em confianca_texto.</w:t>
      </w:r>
    </w:p>
    <w:p>
      <w:pPr>
        <w:spacing w:after="60" w:line="276"/>
      </w:pPr>
      <w:r>
        <w:rPr>
          <w:color w:val="222826"/>
          <w:sz w:val="21"/>
          <w:szCs w:val="21"/>
        </w:rPr>
        <w:t xml:space="preserve"/>
      </w:r>
    </w:p>
    <w:p>
      <w:pPr>
        <w:spacing w:after="80" w:line="276"/>
      </w:pPr>
      <w:r>
        <w:rPr>
          <w:color w:val="222826"/>
          <w:sz w:val="21"/>
          <w:szCs w:val="21"/>
        </w:rPr>
        <w:t xml:space="preserve">Trecho do cabeçalho do CSV gerado: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arquivo;data_hora;motor;especie;diagnostico;condicao;confianca;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confianca_texto;agente_causal;sintomas_observados;manejo_recomendado;…</w:t>
      </w:r>
    </w:p>
    <w:p>
      <w:r>
        <w:br w:type="page"/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8. Aplicabilidade no agronegócio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diagnóstico fitossanitário no Brasil esbarra num gargalo de escala: há muito mais talhões, pomares e hortas do que engenheiros agrônomos disponíveis para visitá-los. Entre notar uma mancha na folha e conseguir uma opinião técnica podem passar dias — tempo em que uma doença fúngica se espalha pela lavoura.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8.1 Triagem antes da visita técnica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sistema não substitui o agrônomo; ele organiza a fila. Um produtor fotografa o que o preocupa e recebe em segundos uma triagem: se o quadro é típico e conhecido, vem a orientação de manejo cultural, que muitas vezes resolve; se é grave ou ambíguo, o laudo já indica o que fotografar melhor e recomenda a consulta técnica. O agrônomo chega ao campo com o histórico fotografado e classificado, não com uma descrição por telefone.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8.2 Detecção precoce e redução de defensivos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custo de uma doença foliar cresce com o tempo até a intervenção. Antecipar o reconhecimento em poucos dias muda a escala do problema — de uma poda de limpeza localizada para uma aplicação em área total. Na direção oposta, distinguir maturação natural de doença, como no caso do milho, evita a aplicação preventiva desnecessária, que custa dinheiro ao produtor e pressão de resistência à cultura.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8.3 Registro e rastreabilidade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Cada análise fica gravada com foto, data, diagnóstico e recomendação, e sai em CSV pronto para planilha. Esse registro serve ao caderno de campo, à rastreabilidade exigida por certificações e à análise de recorrência: quais talhões repetem o mesmo problema, em que época do ano, sob quais condições.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8.4 Assistência técnica e cooperativas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Numa cooperativa, o mesmo servidor atende dezenas de associados pela rede local ou pela internet, e a base consolidada de laudos vira um mapa fitossanitário da região — informação que hoje se perde em conversas de WhatsApp.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8.5 Extensão natural do trabalho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 arquitetura de dois motores foi pensada para crescer: novas culturas entram no CNN por retreino, sem tocar no restante do sistema, enquanto o generalista cobre desde já o que ainda não foi treinado. A mesma base serve a um aplicativo de celular, a uma câmera fixa em estufa ou a imagens de drone, trocando apenas a camada de captura.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9. Limitações conhecidas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9.1 Do modelo especializado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PlantVillage é composto por folhas destacadas sobre fundo uniforme de laboratório. A acurácia medida no conjunto de teste não se transfere integralmente para fotos de celular no campo, com sombra, solo ao fundo e foco irregular. Por isso o projeto mantém separadas as pastas de amostras padrão e de fotos reais — a diferença entre as duas acurácias é um resultado honesto, não um defeito a esconder.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9.2 Do modelo generalista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Não tem acurácia mensurável por classe: a confiança que ele reporta é autoavaliação, não probabilidade calibrada. Pode errar a espécie e pode descrever sintomas plausíveis que não estão na foto. Depende de conexão e da cota da API.</w:t>
      </w:r>
    </w:p>
    <w:p>
      <w:pPr>
        <w:pStyle w:val="Heading2"/>
        <w:keepNext/>
        <w:keepLines/>
        <w:spacing w:after="110" w:before="260"/>
      </w:pPr>
      <w:r>
        <w:rPr>
          <w:b/>
          <w:bCs/>
          <w:color w:val="2E3A33"/>
          <w:sz w:val="24"/>
          <w:szCs w:val="24"/>
        </w:rPr>
        <w:t xml:space="preserve">9.3 Do escopo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O laudo é uma triagem, não um parecer técnico. Decisões de aplicação de defensivo exigem engenheiro agrônomo — princípio que está impresso no rodapé da própria interface, não apenas neste documento.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10. Estado atual e próximos passos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A interface, a orquestração dos dois motores, o histórico e a exportação estão implementados e funcionando de ponta a ponta. Os laudos deste relatório foram produzidos pelo sistema em execução.</w:t>
      </w:r>
    </w:p>
    <w:p>
      <w:pPr>
        <w:pBdr>
          <w:left w:val="single" w:color="1F6B3B" w:sz="18" w:space="8"/>
        </w:pBdr>
        <w:shd w:fill="E8F5EC" w:val="clear"/>
        <w:spacing w:after="0" w:before="200"/>
        <w:ind w:left="160" w:right="160"/>
      </w:pPr>
      <w:r>
        <w:rPr>
          <w:b/>
          <w:bCs/>
          <w:color w:val="1F6B3B"/>
          <w:sz w:val="20"/>
          <w:szCs w:val="20"/>
        </w:rPr>
        <w:t xml:space="preserve">Modelo treinado — pendência resolvida</w:t>
      </w:r>
    </w:p>
    <w:p>
      <w:pPr>
        <w:pBdr>
          <w:left w:val="single" w:color="1F6B3B" w:sz="18" w:space="8"/>
        </w:pBdr>
        <w:shd w:fill="E8F5EC" w:val="clear"/>
        <w:spacing w:after="200" w:before="40"/>
        <w:ind w:left="160" w:right="160"/>
      </w:pPr>
      <w:r>
        <w:rPr>
          <w:color w:val="3A3A33"/>
          <w:sz w:val="20"/>
          <w:szCs w:val="20"/>
        </w:rPr>
        <w:t xml:space="preserve">O notebook notebooks/treino_agrosmart.ipynb rodou no Google Colab (MobileNetV2, transferência de aprendizado, base congelada seguida de ajuste fino) e substituiu o stub pelo modelo real. O campo acuracia_teste em modelo/classes.json saiu de nulo para 0,9707.</w:t>
      </w:r>
    </w:p>
    <w:p>
      <w:pPr>
        <w:spacing w:after="200" w:line="276"/>
      </w:pPr>
      <w:r>
        <w:rPr>
          <w:color w:val="222826"/>
          <w:sz w:val="21"/>
          <w:szCs w:val="21"/>
        </w:rPr>
        <w:t xml:space="preserve">Acurácia global no conjunto de teste: 97,07% (2.151 imagens nunca vistas pelo modelo, de um total de 14.331 imagens filtradas — 10.029 usadas no treino). Por classe, o F1-score varia de 91,3% (batata-saudável) a 100% (milho-saudável, milho-ferrugem comum e uva-podridão-negra). A matriz de confusão e a curva de aprendizado — fase A com a base congelada, fase B com ajuste fino — estão em docs/matriz_confusao.png e docs/curvas_treino.png; os números completos por classe, em docs/metricas.json.</w:t>
      </w:r>
    </w:p>
    <w:p>
      <w:pPr>
        <w:pBdr>
          <w:left w:val="single" w:color="B36B00" w:sz="18" w:space="8"/>
        </w:pBdr>
        <w:shd w:fill="FFF6E5" w:val="clear"/>
        <w:spacing w:after="0" w:before="200"/>
        <w:ind w:left="160" w:right="160"/>
      </w:pPr>
      <w:r>
        <w:rPr>
          <w:b/>
          <w:bCs/>
          <w:color w:val="B36B00"/>
          <w:sz w:val="20"/>
          <w:szCs w:val="20"/>
        </w:rPr>
        <w:t xml:space="preserve">Pendências restantes antes da entrega</w:t>
      </w:r>
    </w:p>
    <w:p>
      <w:pPr>
        <w:pBdr>
          <w:left w:val="single" w:color="B36B00" w:sz="18" w:space="8"/>
        </w:pBdr>
        <w:shd w:fill="FFF6E5" w:val="clear"/>
        <w:spacing w:after="200" w:before="40"/>
        <w:ind w:left="160" w:right="160"/>
      </w:pPr>
      <w:r>
        <w:rPr>
          <w:color w:val="3A3A33"/>
          <w:sz w:val="20"/>
          <w:szCs w:val="20"/>
        </w:rPr>
        <w:t xml:space="preserve">Faltam duas capturas de tela do app em funcionamento, pedidas na seção 5.1. E falta a comparação direta entre os dois motores sobre fotos de campo reais: dados/campo/ está vazia — precisa de 10 a 15 fotos tiradas pela equipe, com o diagnóstico verdadeiro anotado, para rodar classificar_pasta.py dados/campo --motor comparacao e produzir os números que completam esta seção.</w:t>
      </w:r>
    </w:p>
    <w:p>
      <w:pPr>
        <w:pStyle w:val="Heading1"/>
        <w:pBdr>
          <w:bottom w:val="single" w:color="1F6B3B" w:sz="6" w:space="6"/>
        </w:pBdr>
        <w:spacing w:after="160" w:before="360"/>
      </w:pPr>
      <w:r>
        <w:rPr>
          <w:b/>
          <w:bCs/>
          <w:color w:val="1F6B3B"/>
          <w:sz w:val="30"/>
          <w:szCs w:val="30"/>
        </w:rPr>
        <w:t xml:space="preserve">Anexo — como executar</w:t>
      </w:r>
    </w:p>
    <w:p>
      <w:pPr>
        <w:spacing w:after="140" w:line="276"/>
      </w:pPr>
      <w:r>
        <w:rPr>
          <w:color w:val="222826"/>
          <w:sz w:val="21"/>
          <w:szCs w:val="21"/>
        </w:rPr>
        <w:t xml:space="preserve">Requisitos: Python 3.12 e cerca de 800 MB livres para o TensorFlow. No Windows, use o launcher py, pois o comando python costuma cair na stub da Microsoft Store.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py -3.12 -m venv .venv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.venv\Scripts\python.exe -m pip install -r requirements.txt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copy .env.example .env      :: e cole a chave do Gemini no arquivo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.venv\Scripts\python.exe servidor.py</w:t>
      </w:r>
    </w:p>
    <w:p>
      <w:pPr>
        <w:spacing w:after="160" w:line="276"/>
      </w:pPr>
      <w:r>
        <w:rPr>
          <w:color w:val="222826"/>
          <w:sz w:val="21"/>
          <w:szCs w:val="21"/>
        </w:rPr>
        <w:t xml:space="preserve">A chave gratuita do Gemini é obtida em aistudio.google.com/apikey e não exige cartão de crédito. Sem chave, o motor CNN continua funcionando normalmente; apenas os modos que dependem da visão generalista ficam indisponíveis.</w:t>
      </w:r>
    </w:p>
    <w:p>
      <w:pPr>
        <w:spacing w:after="80" w:line="276"/>
      </w:pPr>
      <w:r>
        <w:rPr>
          <w:color w:val="222826"/>
          <w:sz w:val="21"/>
          <w:szCs w:val="21"/>
        </w:rPr>
        <w:t xml:space="preserve">Estrutura do pacote entregue: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servidor.py            API FastAPI e servidor do front-end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web/                   Interface (index.html, estilo.css, app.js)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src/                   Núcleo: inferência, VLM, orquestração, exportação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classificar_pasta.py   Diagnóstico em lote pela linha de comando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notebooks/             Notebook de treino para o Google Colab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modelo/                Modelo treinado e catálogo de classes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exportacoes/           CSV e JSON gerados pelo sistema</w:t>
      </w:r>
    </w:p>
    <w:p>
      <w:pPr>
        <w:shd w:fill="F2F4F2" w:val="clear"/>
        <w:spacing w:after="60" w:line="240"/>
        <w:ind w:left="200" w:right="200"/>
      </w:pPr>
      <w:r>
        <w:rPr>
          <w:rFonts w:ascii="Consolas" w:cs="Consolas" w:eastAsia="Consolas" w:hAnsi="Consolas"/>
          <w:color w:val="2E3A33"/>
          <w:sz w:val="18"/>
          <w:szCs w:val="18"/>
        </w:rPr>
        <w:t xml:space="preserve">relatorio/             Este documento e as imagens de exemplo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B60"/>
        <w:sz w:val="16"/>
        <w:szCs w:val="16"/>
      </w:rPr>
      <w:t xml:space="preserve">AgroSmart · Relatório técnico · </w:t>
    </w:r>
    <w:r>
      <w:rPr>
        <w:color w:val="5A6B6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2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40595f1681fc9adaca87d8e054b68ad28cee798.jpg"/><Relationship Id="rId9" Type="http://schemas.openxmlformats.org/officeDocument/2006/relationships/image" Target="media/2e534ed56a2c5a0ff080a2b3dc866fd8e419226f.jpg"/><Relationship Id="rId10" Type="http://schemas.openxmlformats.org/officeDocument/2006/relationships/image" Target="media/9cb30292f59ee1e076de661407325ae72bcc0459.jpg"/><Relationship Id="rId11" Type="http://schemas.openxmlformats.org/officeDocument/2006/relationships/image" Target="media/491ba1328032537f9086a97e242730dda293a917.jp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AgroSmart — Relatório Técnico</dc:title>
  <dc:creator>AgroSmart</dc:creator>
  <dc:description>Relatório técnico da Fase 1 — diagnóstico de plantas por visão computacional</dc:description>
  <cp:lastModifiedBy>Un-named</cp:lastModifiedBy>
  <cp:revision>1</cp:revision>
  <dcterms:created xsi:type="dcterms:W3CDTF">2026-08-15T14:36:39.642Z</dcterms:created>
  <dcterms:modified xsi:type="dcterms:W3CDTF">2026-08-15T14:36:39.643Z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