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Oswald" w:cs="Oswald" w:eastAsia="Oswald" w:hAnsi="Oswald"/>
          <w:b/>
          <w:bCs/>
          <w:color w:val="1F3864"/>
          <w:sz w:val="44"/>
          <w:szCs w:val="44"/>
        </w:rPr>
        <w:t xml:space="preserve">RELATÓRIO TÉCNICO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2E74B5"/>
          <w:sz w:val="26"/>
          <w:szCs w:val="26"/>
        </w:rPr>
        <w:t xml:space="preserve">ARES-1 Habitat Monitoring System (HMS)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Missão: Habitat em Marte — Monitoramento Inteligente de Operações</w:t>
      </w:r>
    </w:p>
    <w:p>
      <w:pPr>
        <w:pBdr>
          <w:bottom w:val="single" w:color="1F3864" w:sz="8" w:space="6"/>
        </w:pBdr>
        <w:spacing w:after="60"/>
      </w:pPr>
    </w:p>
    <w:p>
      <w:pPr>
        <w:spacing w:after="200" w:before="120"/>
        <w:jc w:val="center"/>
      </w:pPr>
      <w:r>
        <w:rPr>
          <w:rFonts w:ascii="Oswald" w:cs="Oswald" w:eastAsia="Oswald" w:hAnsi="Oswald"/>
          <w:b/>
          <w:bCs/>
          <w:color w:val="1F3864"/>
          <w:sz w:val="34"/>
          <w:szCs w:val="34"/>
        </w:rPr>
        <w:t xml:space="preserve">FIAP</w:t>
      </w:r>
    </w:p>
    <w:p>
      <w:pPr>
        <w:spacing w:after="60"/>
      </w:pPr>
      <w:r>
        <w:rPr>
          <w:rFonts w:ascii="Oswald" w:cs="Oswald" w:eastAsia="Oswald" w:hAnsi="Oswald"/>
          <w:b/>
          <w:bCs/>
          <w:color w:val="1F3864"/>
          <w:sz w:val="20"/>
          <w:szCs w:val="20"/>
        </w:rPr>
        <w:t xml:space="preserve">ALUNOS:</w:t>
      </w:r>
    </w:p>
    <w:p>
      <w:pPr>
        <w:spacing w:after="30"/>
      </w:pPr>
      <w:r>
        <w:rPr>
          <w:rFonts w:ascii="Oswald" w:cs="Oswald" w:eastAsia="Oswald" w:hAnsi="Oswald"/>
          <w:color w:val="222222"/>
          <w:sz w:val="19"/>
          <w:szCs w:val="19"/>
        </w:rPr>
        <w:t xml:space="preserve">FERNANDO DOS SANTOS MOTTA — RM570046</w:t>
      </w:r>
    </w:p>
    <w:p>
      <w:pPr>
        <w:spacing w:after="30"/>
      </w:pPr>
      <w:r>
        <w:rPr>
          <w:rFonts w:ascii="Oswald" w:cs="Oswald" w:eastAsia="Oswald" w:hAnsi="Oswald"/>
          <w:color w:val="222222"/>
          <w:sz w:val="19"/>
          <w:szCs w:val="19"/>
        </w:rPr>
        <w:t xml:space="preserve">CAETANO DE MEDEIROS BONA — RM569262</w:t>
      </w:r>
    </w:p>
    <w:p>
      <w:pPr>
        <w:spacing w:after="30"/>
      </w:pPr>
      <w:r>
        <w:rPr>
          <w:rFonts w:ascii="Oswald" w:cs="Oswald" w:eastAsia="Oswald" w:hAnsi="Oswald"/>
          <w:color w:val="222222"/>
          <w:sz w:val="19"/>
          <w:szCs w:val="19"/>
        </w:rPr>
        <w:t xml:space="preserve">JOEDSON DA SILVA SOUZA — RM573981</w:t>
      </w:r>
    </w:p>
    <w:p>
      <w:pPr>
        <w:spacing w:after="30"/>
      </w:pPr>
      <w:r>
        <w:rPr>
          <w:rFonts w:ascii="Oswald" w:cs="Oswald" w:eastAsia="Oswald" w:hAnsi="Oswald"/>
          <w:color w:val="222222"/>
          <w:sz w:val="19"/>
          <w:szCs w:val="19"/>
        </w:rPr>
        <w:t xml:space="preserve">MYLENA RAMALHO DA SILVA TORQUATO — RM572383</w:t>
      </w:r>
    </w:p>
    <w:p>
      <w:pPr>
        <w:spacing w:after="30"/>
      </w:pPr>
      <w:r>
        <w:rPr>
          <w:rFonts w:ascii="Oswald" w:cs="Oswald" w:eastAsia="Oswald" w:hAnsi="Oswald"/>
          <w:color w:val="222222"/>
          <w:sz w:val="19"/>
          <w:szCs w:val="19"/>
        </w:rPr>
        <w:t xml:space="preserve">ERIK FABIANO DE JESUS APPE — RM571067</w:t>
      </w:r>
    </w:p>
    <w:p>
      <w:pPr>
        <w:spacing w:after="40" w:before="160"/>
      </w:pPr>
      <w:r>
        <w:rPr>
          <w:rFonts w:ascii="Oswald" w:cs="Oswald" w:eastAsia="Oswald" w:hAnsi="Oswald"/>
          <w:b/>
          <w:bCs/>
          <w:color w:val="1F3864"/>
          <w:sz w:val="19"/>
          <w:szCs w:val="19"/>
        </w:rPr>
        <w:t xml:space="preserve">GITHUB:  </w:t>
      </w:r>
      <w:hyperlink w:history="1" r:id="rIdxurlciu3x6wihpu4b1nob">
        <w:r>
          <w:rPr>
            <w:rFonts w:ascii="Oswald" w:cs="Oswald" w:eastAsia="Oswald" w:hAnsi="Oswald"/>
            <w:color w:val="2E74B5"/>
            <w:sz w:val="19"/>
            <w:szCs w:val="19"/>
            <w:u w:val="single"/>
          </w:rPr>
          <w:t xml:space="preserve">github.com/FIAP-404/atv-global-solution</w:t>
        </w:r>
      </w:hyperlink>
    </w:p>
    <w:p>
      <w:pPr>
        <w:spacing w:before="36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São Paulo, 2026</w:t>
      </w:r>
    </w:p>
    <w:p>
      <w:r>
        <w:br w:type="page"/>
      </w:r>
    </w:p>
    <w:p>
      <w:pPr>
        <w:pStyle w:val="Heading1"/>
        <w:pBdr>
          <w:top w:val="single" w:color="1F3864" w:sz="12" w:space="8"/>
        </w:pBdr>
        <w:spacing w:after="140" w:before="320"/>
      </w:pPr>
      <w:r>
        <w:rPr>
          <w:rFonts w:ascii="Oswald" w:cs="Oswald" w:eastAsia="Oswald" w:hAnsi="Oswald"/>
          <w:b/>
          <w:bCs/>
          <w:color w:val="1F3864"/>
          <w:sz w:val="30"/>
          <w:szCs w:val="30"/>
        </w:rPr>
        <w:t xml:space="preserve">1. Introdução e Cenário Analisado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 presente relatório documenta o ARES-1 Habitat Monitoring System (HMS), um sistema de monitoramento operacional desenvolvido em Python para um habitat científico experimental em Marte. Em operações espaciais, a comunicação com a Terra é intermitente e os dados gerados pelos sensores tornam-se a principal fonte de informação para a tomada de decisão. O sistema recebe um pacote de telemetria, interpreta o estado da missão, detecta anomalias, gera alertas automáticos, prevê o comportamento de uma variável crítica e fornece recomendações técnicas.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 cenário analisado representa um ciclo operacional crítico da Missão ARES-1, um habitat semi-autônomo que abriga seis astronautas. Durante esse ciclo ocorrem, de forma simultânea: dano em um painel solar com queda de geração, falha no módulo de comunicação primário, pico de radiação acima do limite seguro, queda acentuada da reserva de energia e uma leitura fisicamente impossível do sensor de pressão (-999 kPa). O desafio computacional é diagnosticar a situação, separar dado confiável de ruído e recomendar ações que protejam a tripulação e os equipamentos.</w:t>
      </w:r>
    </w:p>
    <w:p>
      <w:pPr>
        <w:pStyle w:val="Heading2"/>
        <w:spacing w:after="100" w:before="200"/>
      </w:pPr>
      <w:r>
        <w:rPr>
          <w:rFonts w:ascii="Oswald" w:cs="Oswald" w:eastAsia="Oswald" w:hAnsi="Oswald"/>
          <w:b/>
          <w:bCs/>
          <w:color w:val="2E74B5"/>
          <w:sz w:val="24"/>
          <w:szCs w:val="24"/>
        </w:rPr>
        <w:t xml:space="preserve">1.1 Pacote de Dados Simulado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Os dados ficam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data/dados.csv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organizado em quatro seções lidas por um parser próprio que ignora comentários e cabeçalhos. O pacote atende a todos os mínimos exigidos pelo enunciado: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 módulos críticos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 status binário 0/1: suporte_vida, energia, comunicacao, habitat, laboratorio e armazenamento.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 ciclos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 leitura de energia (geração, consumo e reserva).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Variáveis ambientais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temperatura interna/externa, radiação, qualidade de comunicação, velocidade do vento e pressão interna.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 eventos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log (INFO, ALERTA, CRÍTICO, ERRO).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Inconsistência intencional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pressão interna = -999 kPa, impossível fisicamente, plantada para testar a detecção de anomalias.</w:t>
      </w:r>
    </w:p>
    <w:p>
      <w:pPr>
        <w:pStyle w:val="Heading1"/>
        <w:pBdr>
          <w:top w:val="single" w:color="1F3864" w:sz="12" w:space="8"/>
        </w:pBdr>
        <w:spacing w:after="140" w:before="320"/>
      </w:pPr>
      <w:r>
        <w:rPr>
          <w:rFonts w:ascii="Oswald" w:cs="Oswald" w:eastAsia="Oswald" w:hAnsi="Oswald"/>
          <w:b/>
          <w:bCs/>
          <w:color w:val="1F3864"/>
          <w:sz w:val="30"/>
          <w:szCs w:val="30"/>
        </w:rPr>
        <w:t xml:space="preserve">2. Estruturas de Dados Utilizadas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 sistema aplica, de forma justificada, as estruturas fundamentais estudadas nas três fases do curso. Cada escolha responde a uma necessidade concreta de acesso ou de organização dos dados:</w:t>
      </w:r>
    </w:p>
    <w:tbl>
      <w:tblPr>
        <w:tblW w:type="dxa" w:w="9026"/>
        <w:tblBorders>
          <w:top w:val="single" w:color="BFCDDD" w:sz="2"/>
          <w:left w:val="single" w:color="BFCDDD" w:sz="2"/>
          <w:bottom w:val="single" w:color="BFCDDD" w:sz="2"/>
          <w:right w:val="single" w:color="BFCDDD" w:sz="2"/>
          <w:insideH w:val="single" w:color="BFCDDD" w:sz="2"/>
          <w:insideV w:val="single" w:color="BFCDDD" w:sz="2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44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Lista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historico_reserva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Série temporal ordenada da reserva; acesso por índice e iteração no forecasting.</w:t>
            </w:r>
          </w:p>
        </w:tc>
      </w:tr>
      <w:tr>
        <w:tc>
          <w:tcPr>
            <w:tcW w:type="dxa" w:w="2000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Fila (FIFO)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fila_alertas</w:t>
            </w:r>
          </w:p>
        </w:tc>
        <w:tc>
          <w:tcPr>
            <w:tcW w:type="dxa" w:w="4426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Alertas tratados na ordem de chegada (append / pop(0)).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Pilha (LIFO)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pilha_eventos_criticos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Acesso rápido ao evento crítico mais recente (append / pop).</w:t>
            </w:r>
          </w:p>
        </w:tc>
      </w:tr>
      <w:tr>
        <w:tc>
          <w:tcPr>
            <w:tcW w:type="dxa" w:w="2000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Dicionário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modulos</w:t>
            </w:r>
          </w:p>
        </w:tc>
        <w:tc>
          <w:tcPr>
            <w:tcW w:type="dxa" w:w="4426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Acesso O(1) ao status de um módulo pelo nome.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Hierarquia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areas_missao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Dict de dicts agrupando módulos por área: vida, energia, comunicação, habitat.</w:t>
            </w:r>
          </w:p>
        </w:tc>
      </w:tr>
      <w:tr>
        <w:tc>
          <w:tcPr>
            <w:tcW w:type="dxa" w:w="2000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Matriz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matriz_leituras</w:t>
            </w:r>
          </w:p>
        </w:tc>
        <w:tc>
          <w:tcPr>
            <w:tcW w:type="dxa" w:w="4426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Lista de listas: visão tabular ciclo x variável.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Tabela 1 – Estruturas de dados do sistema. Fonte: Elaborada pelo autor (2026).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fila e a pilha foram implementadas sem bibliotecas externas, usando listas nativas e os métodos append/pop, evidenciando o entendimento do comportamento FIFO e LIFO em vez de apenas consumir uma estrutura pronta.</w:t>
      </w:r>
    </w:p>
    <w:p>
      <w:pPr>
        <w:pStyle w:val="Heading1"/>
        <w:pBdr>
          <w:top w:val="single" w:color="1F3864" w:sz="12" w:space="8"/>
        </w:pBdr>
        <w:spacing w:after="140" w:before="320"/>
      </w:pPr>
      <w:r>
        <w:rPr>
          <w:rFonts w:ascii="Oswald" w:cs="Oswald" w:eastAsia="Oswald" w:hAnsi="Oswald"/>
          <w:b/>
          <w:bCs/>
          <w:color w:val="1F3864"/>
          <w:sz w:val="30"/>
          <w:szCs w:val="30"/>
        </w:rPr>
        <w:t xml:space="preserve">3. Regras Lógicas de Diagnóstico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 estado global da missão é classificado em NORMAL, ALERTA ou CRÍTICO por meio de três regras encadeadas com if/elif/else e dos operadores lógicos and, or e not. A expressão booleana principal do diagnóstico é:</w:t>
      </w:r>
    </w:p>
    <w:p>
      <w:pPr>
        <w:pBdr>
          <w:top w:val="single" w:color="2E74B5" w:sz="4" w:space="6"/>
          <w:left w:val="single" w:color="2E74B5" w:sz="4" w:space="6"/>
          <w:bottom w:val="single" w:color="2E74B5" w:sz="4" w:space="6"/>
          <w:right w:val="single" w:color="2E74B5" w:sz="4" w:space="6"/>
        </w:pBdr>
        <w:shd w:fill="EAF1F8" w:val="clear"/>
        <w:spacing w:after="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CRITICO = (suporte_vida == 0) OR (energia == 0) OR</w:t>
        <w:br/>
        <w:t xml:space="preserve">          (reserva &lt; 20 AND comunicacao == 0) OR</w:t>
        <w:br/>
        <w:t xml:space="preserve">          (radiacao &gt; 8.0 AND reserva &lt; 30)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Código 1 – Expressão booleana principal do diagnóstico.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CRÍTICO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— dispara quando um módulo essencial cai, quando energia e comunicação falham juntas, ou quando radiação alta coincide com reserva baixa. São combinações que ameaçam diretamente a vida da tripulação.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ALERTA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— avaliado apenas se o estado não for crítico (uso do not) e se houver alguma condição de risco isolada: reserva abaixo de 40%, comunicação offline, radiação acima de 5.0 mSv/h, temperatura interna fora da faixa 18–28 °C ou inconsistência de sensor detectada.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NORMAL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— nenhuma das condições anteriores é verdadeira; a operação segue nominal. Há ainda uma regra de interpretação por faixas de segurança, que valida cada variável ambiental contra um intervalo físico plausível; a pressão -999 kPa viola a faixa (0, 200) e é marcada como leitura não confiável, sem contaminar o diagnóstico.</w:t>
      </w:r>
    </w:p>
    <w:p>
      <w:pPr>
        <w:pStyle w:val="Heading1"/>
        <w:pBdr>
          <w:top w:val="single" w:color="1F3864" w:sz="12" w:space="8"/>
        </w:pBdr>
        <w:spacing w:after="140" w:before="320"/>
      </w:pPr>
      <w:r>
        <w:rPr>
          <w:rFonts w:ascii="Oswald" w:cs="Oswald" w:eastAsia="Oswald" w:hAnsi="Oswald"/>
          <w:b/>
          <w:bCs/>
          <w:color w:val="1F3864"/>
          <w:sz w:val="30"/>
          <w:szCs w:val="30"/>
        </w:rPr>
        <w:t xml:space="preserve">4. Alertas Automáticos e Priorização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Cada condição de risco gera um alerta — um dicionário com severidade, módulo, descrição e ação recomendada — inserido na fila de alertas. Para exibição, os alertas são reordenados por severidade (CRÍTICO &gt; ALERTA &gt; NORMAL), garantindo que o operador veja primeiro o que é mais grave. No cenário analisado, o sistema gera quatro alertas:</w:t>
      </w:r>
    </w:p>
    <w:tbl>
      <w:tblPr>
        <w:tblW w:type="dxa" w:w="9026"/>
        <w:tblBorders>
          <w:top w:val="single" w:color="BFCDDD" w:sz="2"/>
          <w:left w:val="single" w:color="BFCDDD" w:sz="2"/>
          <w:bottom w:val="single" w:color="BFCDDD" w:sz="2"/>
          <w:right w:val="single" w:color="BFCDDD" w:sz="2"/>
          <w:insideH w:val="single" w:color="BFCDDD" w:sz="2"/>
          <w:insideV w:val="single" w:color="BFCDDD" w:sz="2"/>
        </w:tblBorders>
      </w:tblPr>
      <w:tblGrid>
        <w:gridCol w:w="1900"/>
        <w:gridCol w:w="2200"/>
        <w:gridCol w:w="4926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9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/>
                <w:bCs/>
                <w:color w:val="FFFFFF"/>
                <w:sz w:val="19"/>
                <w:szCs w:val="19"/>
              </w:rPr>
              <w:t xml:space="preserve">Ação recomendada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CRÍTICO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energia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Reserva crítica (12%): desligar laboratório e não essenciais.</w:t>
            </w:r>
          </w:p>
        </w:tc>
      </w:tr>
      <w:tr>
        <w:tc>
          <w:tcPr>
            <w:tcW w:type="dxa" w:w="1900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CRÍTICO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ambiente</w:t>
            </w:r>
          </w:p>
        </w:tc>
        <w:tc>
          <w:tcPr>
            <w:tcW w:type="dxa" w:w="4926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Radiação 8.7 mSv/h: recolher equipe e proteger equipamentos.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ALERTA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comunicacao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Comunicação offline: ativar backup e contato de emergência.</w:t>
            </w:r>
          </w:p>
        </w:tc>
      </w:tr>
      <w:tr>
        <w:tc>
          <w:tcPr>
            <w:tcW w:type="dxa" w:w="1900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ALERTA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pressao_interna</w:t>
            </w:r>
          </w:p>
        </w:tc>
        <w:tc>
          <w:tcPr>
            <w:tcW w:type="dxa" w:w="4926"/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Oswald" w:cs="Oswald" w:eastAsia="Oswald" w:hAnsi="Oswald"/>
                <w:b w:val="false"/>
                <w:bCs w:val="false"/>
                <w:color w:val="222222"/>
                <w:sz w:val="19"/>
                <w:szCs w:val="19"/>
              </w:rPr>
              <w:t xml:space="preserve">Leitura -999 kPa inválida: marcar sensor como não confiável.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Tabela 2 – Alertas gerados no ciclo analisado. Fonte: Elaborada pelo autor (2026).</w:t>
      </w:r>
    </w:p>
    <w:p>
      <w:pPr>
        <w:pStyle w:val="Heading1"/>
        <w:pBdr>
          <w:top w:val="single" w:color="1F3864" w:sz="12" w:space="8"/>
        </w:pBdr>
        <w:spacing w:after="140" w:before="320"/>
      </w:pPr>
      <w:r>
        <w:rPr>
          <w:rFonts w:ascii="Oswald" w:cs="Oswald" w:eastAsia="Oswald" w:hAnsi="Oswald"/>
          <w:b/>
          <w:bCs/>
          <w:color w:val="1F3864"/>
          <w:sz w:val="30"/>
          <w:szCs w:val="30"/>
        </w:rPr>
        <w:t xml:space="preserve">5. Análise e Previsão da Reserva de Energia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variável crítica escolhida para previsão foi a reserva de energia, cuja série observada nos seis ciclos foi: 72, 65, 52, 38, 24 e 12 por cento. Duas técnicas foram implementadas manualmente, sem NumPy ou Pandas.</w:t>
      </w:r>
    </w:p>
    <w:p>
      <w:pPr>
        <w:pStyle w:val="Heading2"/>
        <w:spacing w:after="100" w:before="200"/>
      </w:pPr>
      <w:r>
        <w:rPr>
          <w:rFonts w:ascii="Oswald" w:cs="Oswald" w:eastAsia="Oswald" w:hAnsi="Oswald"/>
          <w:b/>
          <w:bCs/>
          <w:color w:val="2E74B5"/>
          <w:sz w:val="24"/>
          <w:szCs w:val="24"/>
        </w:rPr>
        <w:t xml:space="preserve">5.1 Média Móvel (janela de 3 ciclos)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Suaviza o ruído ciclo a ciclo e revela a tendência real. As médias resultantes (63,0; 51,7; 38,0; 24,7) confirmam uma queda média de aproximadamente 13 pontos percentuais por ciclo.</w:t>
      </w:r>
    </w:p>
    <w:p>
      <w:pPr>
        <w:pStyle w:val="Heading2"/>
        <w:spacing w:after="100" w:before="200"/>
      </w:pPr>
      <w:r>
        <w:rPr>
          <w:rFonts w:ascii="Oswald" w:cs="Oswald" w:eastAsia="Oswald" w:hAnsi="Oswald"/>
          <w:b/>
          <w:bCs/>
          <w:color w:val="2E74B5"/>
          <w:sz w:val="24"/>
          <w:szCs w:val="24"/>
        </w:rPr>
        <w:t xml:space="preserve">5.2 Regressão Linear Simples (mínimos quadrados)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Ajusta a reta y = a + b*x sobre os seis pontos. Os coeficientes calculados são:</w:t>
      </w:r>
    </w:p>
    <w:p>
      <w:pPr>
        <w:pBdr>
          <w:top w:val="single" w:color="2E74B5" w:sz="4" w:space="6"/>
          <w:left w:val="single" w:color="2E74B5" w:sz="4" w:space="6"/>
          <w:bottom w:val="single" w:color="2E74B5" w:sz="4" w:space="6"/>
          <w:right w:val="single" w:color="2E74B5" w:sz="4" w:space="6"/>
        </w:pBdr>
        <w:shd w:fill="EAF1F8" w:val="clear"/>
        <w:spacing w:after="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 = (n*Sxy - Sx*Sy) / (n*Sxx - Sx^2) = -12.49</w:t>
        <w:br/>
        <w:t xml:space="preserve">a = (Sy - b*Sx) / n = 87.53</w:t>
        <w:br/>
        <w:t xml:space="preserve">reserva = 87.5 - 12.5 * ciclo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Código 2 – Coeficientes da regressão linear da reserva de energia.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projeção para os próximos ciclos resulta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 7 ≈ 0,1%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 valores negativos nos ciclos 8 e 9, ou seja, esgotamento iminente da reserva. Recalculamos os coeficientes manualmente e confirmamos que coincidem com a saída do programa, validando a implementação.</w:t>
      </w:r>
    </w:p>
    <w:p>
      <w:pPr>
        <w:pStyle w:val="Heading2"/>
        <w:spacing w:after="100" w:before="200"/>
      </w:pPr>
      <w:r>
        <w:rPr>
          <w:rFonts w:ascii="Oswald" w:cs="Oswald" w:eastAsia="Oswald" w:hAnsi="Oswald"/>
          <w:b/>
          <w:bCs/>
          <w:color w:val="2E74B5"/>
          <w:sz w:val="24"/>
          <w:szCs w:val="24"/>
        </w:rPr>
        <w:t xml:space="preserve">5.3 Impacto na Decisão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previsão não é apenas informativa: a detecção de esgotamento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eleva o estado da missão para CRÍTICO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(caso ainda não estivesse) e adiciona uma recomendação crítica de racionamento de consumo e priorização de recarga. Assim, o resultado do forecasting influencia diretamente a classificação e as ações recomendadas pelo sistema.</w:t>
      </w:r>
    </w:p>
    <w:p>
      <w:pPr>
        <w:pStyle w:val="Heading1"/>
        <w:pBdr>
          <w:top w:val="single" w:color="1F3864" w:sz="12" w:space="8"/>
        </w:pBdr>
        <w:spacing w:after="140" w:before="320"/>
      </w:pPr>
      <w:r>
        <w:rPr>
          <w:rFonts w:ascii="Oswald" w:cs="Oswald" w:eastAsia="Oswald" w:hAnsi="Oswald"/>
          <w:b/>
          <w:bCs/>
          <w:color w:val="1F3864"/>
          <w:sz w:val="30"/>
          <w:szCs w:val="30"/>
        </w:rPr>
        <w:t xml:space="preserve">6. Decisões Técnicas e Arquitetura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 código foi organizado em funções de responsabilidade única (carregar_dados, montar_estruturas, detectar_inconsistencias, classificar_modulos, classificar_estado_missao, gerar_alertas, executar_forecasting, gerar_recomendacoes e exibir_relatorio), orquestradas por main(). As principais decisões de projeto foram: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Zero dependências externas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— apenas a biblioteca padrão (csv, os), garantindo execução imediata com python src/sistema.py.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Leitura robusta de arquivo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— o parser tolera comentários, seções e cabeçalhos, e encerra com mensagem clara se o CSV não existir.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Validação antes de confiar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— faixas físicas filtram leituras impossíveis para que o ruído não corrompa o diagnóstico.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Rastreabilidade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— cada recomendação remete a um alerta, a uma regra ou à previsão, deixando o raciocínio auditável.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Exportação do log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— a sessão é salva em data/log_sessao.txt para registro operacional.</w:t>
      </w:r>
    </w:p>
    <w:p>
      <w:pPr>
        <w:pStyle w:val="Heading1"/>
        <w:pBdr>
          <w:top w:val="single" w:color="1F3864" w:sz="12" w:space="8"/>
        </w:pBdr>
        <w:spacing w:after="140" w:before="320"/>
      </w:pPr>
      <w:r>
        <w:rPr>
          <w:rFonts w:ascii="Oswald" w:cs="Oswald" w:eastAsia="Oswald" w:hAnsi="Oswald"/>
          <w:b/>
          <w:bCs/>
          <w:color w:val="1F3864"/>
          <w:sz w:val="30"/>
          <w:szCs w:val="30"/>
        </w:rPr>
        <w:t xml:space="preserve">7. Conclusão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 ARES-1 HMS demonstra como estruturas de dados fundamentais, regras lógicas claras e uma técnica simples de previsão se combinam para transformar telemetria heterogênea em decisões operacionais defensáveis. A separação entre dado confiável e ruído e a influência direta da previsão sobre o diagnóstico reproduzem, em escala didática, o comportamento esperado de um sistema real de apoio à decisão em missões espaciais críticas. Mais do que entregar código funcional, o projeto evidencia a compreensão do problema e a capacidade de justificar cada escolha técnica.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ARES-1 HMS — FIAP 2026     </w:t>
    </w:r>
    <w:r>
      <w:rPr>
        <w:rFonts w:ascii="Times New Roman" w:cs="Times New Roman" w:eastAsia="Times New Roman" w:hAnsi="Times New Roman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Oswald" w:cs="Oswald" w:eastAsia="Oswald" w:hAnsi="Oswald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Oswald" w:cs="Oswald" w:eastAsia="Oswald" w:hAnsi="Oswald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urlciu3x6wihpu4b1nob" Type="http://schemas.openxmlformats.org/officeDocument/2006/relationships/hyperlink" Target="https://github.com/FIAP-404/atv-global-solutio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2026-06-06T20:24:49.106Z</dcterms:created>
  <dcterms:modified xsi:type="dcterms:W3CDTF">2026-06-06T20:24:49.107Z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