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mc:AlternateContent>
          <mc:Choice Requires="wps">
            <w:drawing>
              <wp:anchor behindDoc="0" distT="0" distB="1270" distL="0" distR="0" simplePos="0" locked="0" layoutInCell="1" allowOverlap="1" relativeHeight="47" wp14:anchorId="0E501730">
                <wp:simplePos x="0" y="0"/>
                <wp:positionH relativeFrom="column">
                  <wp:posOffset>5635625</wp:posOffset>
                </wp:positionH>
                <wp:positionV relativeFrom="paragraph">
                  <wp:posOffset>78740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3.75pt;margin-top:6.2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259600 (двісті п’ятдесят дев’ять тисяч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2625090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6.7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LibreOffice/25.2.1.2$Linux_X86_64 LibreOffice_project/d3abf4aee5fd705e4a92bba33a32f40bc4e56f49</Application>
  <AppVersion>15.0000</AppVersion>
  <Pages>2</Pages>
  <Words>1461</Words>
  <Characters>10807</Characters>
  <CharactersWithSpaces>12558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2025-08-19T22:52:00Z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