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Arial" w:hAnsi="Arial" w:eastAsia="黑体"/>
          <w:b/>
          <w:color w:val="142864"/>
          <w:sz w:val="28"/>
        </w:rPr>
        <w:t>附件三：平台协议合规对照说明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本附件梳理了抖音、小红书平台用户协议中涉及数据采集的主要条款，并对照说明本方案的行为边界。以下条款信息仅供参考，请法务团队结合平台最新协议文本进行确认。</w:t>
      </w:r>
    </w:p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1. 小红书平台相关条款对照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平台相关条款（摘要）</w:t>
            </w:r>
          </w:p>
        </w:tc>
        <w:tc>
          <w:tcPr>
            <w:tcW w:type="dxa" w:w="4535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本方案对应说明</w:t>
            </w:r>
          </w:p>
        </w:tc>
        <w:tc>
          <w:tcPr>
            <w:tcW w:type="dxa" w:w="226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初步风险判断</w:t>
            </w:r>
          </w:p>
        </w:tc>
      </w:tr>
      <w:tr>
        <w:tc>
          <w:tcPr>
            <w:tcW w:type="dxa" w:w="28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禁止使用自动化工具批量抓取数据</w:t>
            </w:r>
          </w:p>
        </w:tc>
        <w:tc>
          <w:tcPr>
            <w:tcW w:type="dxa" w:w="45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本方案采用限速控制，每日采集量不超过普通用户日均浏览量，不构成批量高并发抓取；且采集目的系补充内部分析工具，非商业批量数据销售行为。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B46400"/>
                <w:sz w:val="20"/>
              </w:rPr>
              <w:t>⚠ 存在一定风险，需进一步评估频率阈值的定义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禁止将平台内容用于商业目的未经授权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本方案采集数据仅用于企业内部产品分析，不用于对外商业销售、不在公开渠道发布原始内容。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内部使用，不属于对外商业利用</w:t>
            </w:r>
          </w:p>
        </w:tc>
      </w:tr>
      <w:tr>
        <w:tc>
          <w:tcPr>
            <w:tcW w:type="dxa" w:w="28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禁止爬取非公开数据</w:t>
            </w:r>
          </w:p>
        </w:tc>
        <w:tc>
          <w:tcPr>
            <w:tcW w:type="dxa" w:w="45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本方案严格限定采集公开页面内容，不访问任何需要特殊权限的接口或数据。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仅采集公开可见数据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用户隐私保护条款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对作者昵称等进行脱敏处理，不采集任何真实可识别个人信息。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已做脱敏处理</w:t>
            </w:r>
          </w:p>
        </w:tc>
      </w:tr>
      <w:tr>
        <w:tc>
          <w:tcPr>
            <w:tcW w:type="dxa" w:w="28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robots.txt 声明</w:t>
            </w:r>
          </w:p>
        </w:tc>
        <w:tc>
          <w:tcPr>
            <w:tcW w:type="dxa" w:w="45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小红书 robots.txt 中限制了部分路径的爬虫访问；本方案使用正常浏览器访问，需确认所访问路径的 robots 声明情况。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B46400"/>
                <w:sz w:val="20"/>
              </w:rPr>
              <w:t>⚠ 建议法务确认 robots.txt 的法律约束力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2. 抖音平台相关条款对照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平台相关条款（摘要）</w:t>
            </w:r>
          </w:p>
        </w:tc>
        <w:tc>
          <w:tcPr>
            <w:tcW w:type="dxa" w:w="4535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本方案对应说明</w:t>
            </w:r>
          </w:p>
        </w:tc>
        <w:tc>
          <w:tcPr>
            <w:tcW w:type="dxa" w:w="226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初步风险判断</w:t>
            </w:r>
          </w:p>
        </w:tc>
      </w:tr>
      <w:tr>
        <w:tc>
          <w:tcPr>
            <w:tcW w:type="dxa" w:w="28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禁止通过技术手段干扰平台正常运营</w:t>
            </w:r>
          </w:p>
        </w:tc>
        <w:tc>
          <w:tcPr>
            <w:tcW w:type="dxa" w:w="45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本方案有访问限速，不对平台造成异常流量，不属于干扰平台运营。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限速访问，不干扰运营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禁止未授权抓取平台数据进行商业利用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本方案仅用于内部分析，不对外销售或发布原始数据。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B46400"/>
                <w:sz w:val="20"/>
              </w:rPr>
              <w:t>⚠ 需确认内部使用是否属于商业利用范畴</w:t>
            </w:r>
          </w:p>
        </w:tc>
      </w:tr>
      <w:tr>
        <w:tc>
          <w:tcPr>
            <w:tcW w:type="dxa" w:w="28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用户内容版权归属</w:t>
            </w:r>
          </w:p>
        </w:tc>
        <w:tc>
          <w:tcPr>
            <w:tcW w:type="dxa" w:w="4535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本方案不复制、不转发、不发布他人内容，仅提取元数据（标题、点赞数等统计信息）用于内部分析。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仅提取统计元数据，非内容复制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个人信息保护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已做脱敏处理，不存储可识别真实个人身份的信息。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脱敏处理已执行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3. 相关法律法规参考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相关法律法规</w:t>
            </w:r>
          </w:p>
        </w:tc>
        <w:tc>
          <w:tcPr>
            <w:tcW w:type="dxa" w:w="4819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本方案对应情况</w:t>
            </w:r>
          </w:p>
        </w:tc>
        <w:tc>
          <w:tcPr>
            <w:tcW w:type="dxa" w:w="226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初步风险判断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个人信息保护法（2021）</w:t>
            </w:r>
          </w:p>
        </w:tc>
        <w:tc>
          <w:tcPr>
            <w:tcW w:type="dxa" w:w="4819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采集数据已脱敏，不采集手机号、真实姓名等个人敏感信息。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基本合规，建议法务评估昵称是否构成个人信息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数据安全法（2021）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采集的均为平台公开数据，非国家核心数据；数据存储于企业内部，有权限管控。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不涉及核心数据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网络安全法（2017）</w:t>
            </w:r>
          </w:p>
        </w:tc>
        <w:tc>
          <w:tcPr>
            <w:tcW w:type="dxa" w:w="4819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不涉及破解平台安全机制、不进行网络攻击，采集行为本身不违反网络安全法，但需注意平台 ToS 条款。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未触及网络攻击相关条款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著作权法（2021修正）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本方案仅提取标题、点赞数等元信息，不全文复制正文内容用于对外发布；内部分析使用通常受合理使用原则保护。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B46400"/>
                <w:sz w:val="20"/>
              </w:rPr>
              <w:t>⚠ 建议法务明确内部分析场景的合理使用边界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反不正当竞争法（2019修正）</w:t>
            </w:r>
          </w:p>
        </w:tc>
        <w:tc>
          <w:tcPr>
            <w:tcW w:type="dxa" w:w="4819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本方案不用于商业竞争目的，不损害平台商业利益。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2"/>
                <w:sz w:val="20"/>
              </w:rPr>
              <w:t>✅ 内部使用，非竞争性利用</w:t>
            </w:r>
          </w:p>
        </w:tc>
      </w:tr>
    </w:tbl>
    <w:p/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828282"/>
          <w:sz w:val="20"/>
        </w:rPr>
        <w:t>注：以上法规分析为技术团队的初步自查，最终法律结论请以法务团队专业评估为准。</w:t>
      </w:r>
    </w:p>
    <w:sectPr w:rsidR="00FC693F" w:rsidRPr="0006063C" w:rsidSect="00034616">
      <w:head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969696"/>
        <w:sz w:val="18"/>
      </w:rPr>
      <w:t>附件三：平台协议合规对照说明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