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38D88">
      <w:pPr>
        <w:spacing w:before="800" w:after="120"/>
        <w:jc w:val="center"/>
      </w:pPr>
      <w:r>
        <w:rPr>
          <w:rFonts w:ascii="Arial" w:hAnsi="Arial" w:eastAsia="黑体"/>
          <w:b/>
          <w:color w:val="142864"/>
          <w:sz w:val="44"/>
        </w:rPr>
        <w:t>社媒公开数据采集方案</w:t>
      </w:r>
    </w:p>
    <w:p w14:paraId="0C95E577">
      <w:pPr>
        <w:spacing w:after="120"/>
        <w:jc w:val="center"/>
      </w:pPr>
      <w:r>
        <w:rPr>
          <w:rFonts w:ascii="Arial" w:hAnsi="Arial" w:eastAsia="黑体"/>
          <w:b w:val="0"/>
          <w:color w:val="505082"/>
          <w:sz w:val="28"/>
        </w:rPr>
        <w:t>技术说明文件（供法务合规评估）</w:t>
      </w:r>
    </w:p>
    <w:p w14:paraId="5E7C8936">
      <w:pPr>
        <w:spacing w:after="800"/>
        <w:jc w:val="center"/>
      </w:pPr>
      <w:r>
        <w:rPr>
          <w:rFonts w:ascii="Times New Roman" w:hAnsi="Times New Roman" w:eastAsia="宋体"/>
          <w:b w:val="0"/>
          <w:color w:val="787878"/>
          <w:sz w:val="22"/>
        </w:rPr>
        <w:t>日期：2026年4月</w:t>
      </w:r>
    </w:p>
    <w:p w14:paraId="59F3280D">
      <w:pPr>
        <w:pBdr>
          <w:bottom w:val="single" w:color="CCCCCC" w:sz="4" w:space="1"/>
        </w:pBdr>
        <w:spacing w:before="80" w:after="80"/>
      </w:pPr>
    </w:p>
    <w:p w14:paraId="2EB08573">
      <w:pPr>
        <w:spacing w:before="320" w:after="120"/>
      </w:pPr>
      <w:r>
        <w:rPr>
          <w:rFonts w:ascii="Arial" w:hAnsi="Arial" w:eastAsia="黑体"/>
          <w:b/>
          <w:color w:val="142864"/>
          <w:sz w:val="26"/>
        </w:rPr>
        <w:t>一、文件目的与背景</w:t>
      </w:r>
    </w:p>
    <w:p w14:paraId="746B8CDC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本文件旨在向法务团队完整、准确地描述本公司社媒数据采集方案的技术实现方式，以便法务团队就合规性、数据安全性及法律风险作出综合评估。</w:t>
      </w:r>
    </w:p>
    <w:p w14:paraId="7BF259AD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方案属于浏览器自动化模拟采集，本质上与普通员工手动打开网页、浏览内容、记录数据的行为完全一致，差异仅在于由程序代替人工执行重复性操作，以提升效率。本方案目前用于补充公司内部数据分析平台的内容来源，所采集的数据仅在企业内部使用，不对外分发、不公开发布、不用于商业出售。</w:t>
      </w:r>
    </w:p>
    <w:p w14:paraId="6C28D472">
      <w:pPr>
        <w:spacing w:before="320" w:after="120"/>
      </w:pPr>
      <w:r>
        <w:rPr>
          <w:rFonts w:ascii="Arial" w:hAnsi="Arial" w:eastAsia="黑体"/>
          <w:b/>
          <w:color w:val="142864"/>
          <w:sz w:val="26"/>
        </w:rPr>
        <w:t>二、方案技术定性</w:t>
      </w:r>
    </w:p>
    <w:p w14:paraId="5A4D088F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本方案采用以下技术路径实现数据采集，具体定性如下：</w:t>
      </w:r>
    </w:p>
    <w:tbl>
      <w:tblPr>
        <w:tblStyle w:val="32"/>
        <w:tblW w:w="0" w:type="auto"/>
        <w:jc w:val="center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6869"/>
      </w:tblGrid>
      <w:tr w14:paraId="121D40D5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E3A8A"/>
            <w:vAlign w:val="center"/>
          </w:tcPr>
          <w:p w14:paraId="37EE3A62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属性</w:t>
            </w:r>
          </w:p>
        </w:tc>
        <w:tc>
          <w:tcPr>
            <w:tcW w:w="7087" w:type="dxa"/>
            <w:shd w:val="clear" w:color="auto" w:fill="1E3A8A"/>
            <w:vAlign w:val="center"/>
          </w:tcPr>
          <w:p w14:paraId="6B5FE2E1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说明</w:t>
            </w:r>
          </w:p>
        </w:tc>
      </w:tr>
      <w:tr w14:paraId="509AC7A1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8F9FF"/>
            <w:vAlign w:val="center"/>
          </w:tcPr>
          <w:p w14:paraId="1B779DD8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技术类型</w:t>
            </w:r>
          </w:p>
        </w:tc>
        <w:tc>
          <w:tcPr>
            <w:tcW w:w="7087" w:type="dxa"/>
            <w:shd w:val="clear" w:color="auto" w:fill="F8F9FF"/>
            <w:vAlign w:val="center"/>
          </w:tcPr>
          <w:p w14:paraId="03D7048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浏览器自动化（Browser Automation）</w:t>
            </w:r>
          </w:p>
        </w:tc>
      </w:tr>
      <w:tr w14:paraId="3ACCC85E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6D534D9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所用工具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5D59A55B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标准 Chrome 浏览器 + 自动化控制程序</w:t>
            </w:r>
          </w:p>
        </w:tc>
      </w:tr>
      <w:tr w14:paraId="494B61C0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8F9FF"/>
            <w:vAlign w:val="center"/>
          </w:tcPr>
          <w:p w14:paraId="06938374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访问入口</w:t>
            </w:r>
          </w:p>
        </w:tc>
        <w:tc>
          <w:tcPr>
            <w:tcW w:w="7087" w:type="dxa"/>
            <w:shd w:val="clear" w:color="auto" w:fill="F8F9FF"/>
            <w:vAlign w:val="center"/>
          </w:tcPr>
          <w:p w14:paraId="5FAF1D62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平台官方公开网页（非 API、非内部接口）</w:t>
            </w:r>
          </w:p>
        </w:tc>
      </w:tr>
      <w:tr w14:paraId="636B3A4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068289F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登录方式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1623A406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使用公司员工正常注册的个人账号登录</w:t>
            </w:r>
          </w:p>
        </w:tc>
      </w:tr>
      <w:tr w14:paraId="55993C9A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8F9FF"/>
            <w:vAlign w:val="center"/>
          </w:tcPr>
          <w:p w14:paraId="127E73FB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数据范围</w:t>
            </w:r>
          </w:p>
        </w:tc>
        <w:tc>
          <w:tcPr>
            <w:tcW w:w="7087" w:type="dxa"/>
            <w:shd w:val="clear" w:color="auto" w:fill="F8F9FF"/>
            <w:vAlign w:val="center"/>
          </w:tcPr>
          <w:p w14:paraId="58150204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平台向登录用户公开展示的内容字段</w:t>
            </w:r>
          </w:p>
        </w:tc>
      </w:tr>
      <w:tr w14:paraId="0F06D675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0A14B5E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存储位置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1A18BC8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企业内部私有服务器，不外传</w:t>
            </w:r>
          </w:p>
        </w:tc>
      </w:tr>
      <w:tr w14:paraId="688E760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8F9FF"/>
            <w:vAlign w:val="center"/>
          </w:tcPr>
          <w:p w14:paraId="739C6130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使用目的</w:t>
            </w:r>
          </w:p>
        </w:tc>
        <w:tc>
          <w:tcPr>
            <w:tcW w:w="7087" w:type="dxa"/>
            <w:shd w:val="clear" w:color="auto" w:fill="F8F9FF"/>
            <w:vAlign w:val="center"/>
          </w:tcPr>
          <w:p w14:paraId="31BE497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内部产品分析，不对外发布或销售</w:t>
            </w:r>
          </w:p>
        </w:tc>
      </w:tr>
    </w:tbl>
    <w:p w14:paraId="413D44D3"/>
    <w:p w14:paraId="0EDF4C31">
      <w:pPr>
        <w:spacing w:before="320" w:after="120"/>
      </w:pPr>
      <w:r>
        <w:rPr>
          <w:rFonts w:ascii="Arial" w:hAnsi="Arial" w:eastAsia="黑体"/>
          <w:b/>
          <w:color w:val="142864"/>
          <w:sz w:val="26"/>
        </w:rPr>
        <w:t>三、技术执行流程</w:t>
      </w:r>
    </w:p>
    <w:p w14:paraId="6229D2CD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采集程序按以下五个步骤依序执行，每一步均有明确的技术边界与限制：</w:t>
      </w:r>
    </w:p>
    <w:p w14:paraId="53CEAEDD">
      <w:pPr>
        <w:spacing w:before="200" w:after="40"/>
      </w:pPr>
      <w:r>
        <w:rPr>
          <w:rFonts w:ascii="Arial" w:hAnsi="Arial" w:eastAsia="黑体"/>
          <w:b/>
          <w:color w:val="1E1E1E"/>
          <w:sz w:val="22"/>
        </w:rPr>
        <w:t xml:space="preserve">  第一步：模拟真实用户访问</w:t>
      </w:r>
    </w:p>
    <w:p w14:paraId="47B39B00">
      <w:pPr>
        <w:spacing w:before="0" w:after="80" w:line="400" w:lineRule="exact"/>
        <w:ind w:left="454" w:firstLine="0"/>
      </w:pPr>
      <w:r>
        <w:rPr>
          <w:rFonts w:ascii="Times New Roman" w:hAnsi="Times New Roman" w:eastAsia="宋体"/>
          <w:b w:val="0"/>
          <w:color w:val="323232"/>
          <w:sz w:val="22"/>
        </w:rPr>
        <w:t>通过启动标准 Chrome 浏览器，加载抖音、小红书的公开网页版（如 xiaohongshu.com/explore、douyin.com），完全模拟普通用户的浏览行为（包括页面滚动、点击加载更多等）。不使用任何非公开的接口或私有协议，所有访问均通过平台官方网页入口进行。</w:t>
      </w:r>
    </w:p>
    <w:p w14:paraId="44A68122">
      <w:pPr>
        <w:spacing w:before="200" w:after="40"/>
      </w:pPr>
      <w:r>
        <w:rPr>
          <w:rFonts w:ascii="Arial" w:hAnsi="Arial" w:eastAsia="黑体"/>
          <w:b/>
          <w:color w:val="1E1E1E"/>
          <w:sz w:val="22"/>
        </w:rPr>
        <w:t xml:space="preserve">  第二步：账号登录方式</w:t>
      </w:r>
    </w:p>
    <w:p w14:paraId="7311E104">
      <w:pPr>
        <w:spacing w:before="0" w:after="80" w:line="400" w:lineRule="exact"/>
        <w:ind w:left="454" w:firstLine="0"/>
      </w:pPr>
      <w:r>
        <w:rPr>
          <w:rFonts w:ascii="Times New Roman" w:hAnsi="Times New Roman" w:eastAsia="宋体"/>
          <w:b w:val="0"/>
          <w:color w:val="323232"/>
          <w:sz w:val="22"/>
        </w:rPr>
        <w:t>采集过程需使用公司指定员工的个人账号登录上述平台。账号为正常注册的普通用户账号，登录行为与普通用户无异。程序访问的内容，是该账号在正常登录状态下、通过浏览器即可看到的全部公开内容。</w:t>
      </w:r>
    </w:p>
    <w:p w14:paraId="302F1B3D">
      <w:pPr>
        <w:spacing w:before="200" w:after="40"/>
      </w:pPr>
      <w:r>
        <w:rPr>
          <w:rFonts w:ascii="Arial" w:hAnsi="Arial" w:eastAsia="黑体"/>
          <w:b/>
          <w:color w:val="1E1E1E"/>
          <w:sz w:val="22"/>
        </w:rPr>
        <w:t xml:space="preserve">  第三步：解析公开页面内容</w:t>
      </w:r>
    </w:p>
    <w:p w14:paraId="39519B2D">
      <w:pPr>
        <w:spacing w:before="0" w:after="80" w:line="400" w:lineRule="exact"/>
        <w:ind w:left="454" w:firstLine="0"/>
      </w:pPr>
      <w:r>
        <w:rPr>
          <w:rFonts w:ascii="Times New Roman" w:hAnsi="Times New Roman" w:eastAsia="宋体"/>
          <w:b w:val="0"/>
          <w:color w:val="323232"/>
          <w:sz w:val="22"/>
        </w:rPr>
        <w:t>当页面加载完成后，提取浏览器渲染完成的 HTML 文档中公开可见的文本和数值信息，仅解析页面上已展示给所有访问者的内容。不读取浏览器本地缓存中的非展示数据，不访问平台后台接口，不进行任何协议层面的逆向操作。</w:t>
      </w:r>
    </w:p>
    <w:p w14:paraId="5909C35A">
      <w:pPr>
        <w:spacing w:before="200" w:after="40"/>
      </w:pPr>
      <w:r>
        <w:rPr>
          <w:rFonts w:ascii="Arial" w:hAnsi="Arial" w:eastAsia="黑体"/>
          <w:b/>
          <w:color w:val="1E1E1E"/>
          <w:sz w:val="22"/>
        </w:rPr>
        <w:t xml:space="preserve">  第四步：本地数据清洗与存储</w:t>
      </w:r>
    </w:p>
    <w:p w14:paraId="794458A7">
      <w:pPr>
        <w:spacing w:before="0" w:after="80" w:line="400" w:lineRule="exact"/>
        <w:ind w:left="454" w:firstLine="0"/>
      </w:pPr>
      <w:r>
        <w:rPr>
          <w:rFonts w:ascii="Times New Roman" w:hAnsi="Times New Roman" w:eastAsia="宋体"/>
          <w:b w:val="0"/>
          <w:color w:val="323232"/>
          <w:sz w:val="22"/>
        </w:rPr>
        <w:t>将提取的原始数据在本地服务器进行结构化处理，仅保留产品分析所需的业务字段，删除所有无关信息后存入企业内部私有数据库。数据不对外传输，不上传至任何第三方服务。访问权限限定为内部数据分析团队。</w:t>
      </w:r>
    </w:p>
    <w:p w14:paraId="245BF0C7">
      <w:pPr>
        <w:spacing w:before="200" w:after="40"/>
      </w:pPr>
      <w:r>
        <w:rPr>
          <w:rFonts w:ascii="Arial" w:hAnsi="Arial" w:eastAsia="黑体"/>
          <w:b/>
          <w:color w:val="1E1E1E"/>
          <w:sz w:val="22"/>
        </w:rPr>
        <w:t xml:space="preserve">  第五步：自动停止机制</w:t>
      </w:r>
    </w:p>
    <w:p w14:paraId="66E6D014">
      <w:pPr>
        <w:spacing w:before="0" w:after="80" w:line="400" w:lineRule="exact"/>
        <w:ind w:left="454" w:firstLine="0"/>
      </w:pPr>
      <w:r>
        <w:rPr>
          <w:rFonts w:ascii="Times New Roman" w:hAnsi="Times New Roman" w:eastAsia="宋体"/>
          <w:b w:val="0"/>
          <w:color w:val="323232"/>
          <w:sz w:val="22"/>
        </w:rPr>
        <w:t>若遇到平台弹出登录验证、验证码或访问限制提示，程序将立即终止该页面的采集，不尝试任何破解或绕过操作。程序对访问频率设有限速控制（单账号每日采集量不超过平台正常用户的日均浏览量），避免对平台服务器造成异常压力。</w:t>
      </w:r>
    </w:p>
    <w:p w14:paraId="21990011">
      <w:pPr>
        <w:spacing w:before="320" w:after="120"/>
      </w:pPr>
      <w:r>
        <w:rPr>
          <w:rFonts w:ascii="Arial" w:hAnsi="Arial" w:eastAsia="黑体"/>
          <w:b/>
          <w:color w:val="142864"/>
          <w:sz w:val="26"/>
        </w:rPr>
        <w:t>四、采集数据范围（严格限定）</w:t>
      </w:r>
    </w:p>
    <w:p w14:paraId="77EDF231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本方案仅采集平台向登录用户公开展示的内容，所有采集字段均为普通用户通过浏览器即可看见的信息。具体字段如下：</w:t>
      </w:r>
    </w:p>
    <w:tbl>
      <w:tblPr>
        <w:tblStyle w:val="32"/>
        <w:tblW w:w="0" w:type="auto"/>
        <w:jc w:val="center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3030"/>
        <w:gridCol w:w="2742"/>
        <w:gridCol w:w="1919"/>
      </w:tblGrid>
      <w:tr w14:paraId="5482D85B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  <w:vAlign w:val="center"/>
          </w:tcPr>
          <w:p w14:paraId="29362A0F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数据类型</w:t>
            </w:r>
          </w:p>
        </w:tc>
        <w:tc>
          <w:tcPr>
            <w:tcW w:w="3118" w:type="dxa"/>
            <w:shd w:val="clear" w:color="auto" w:fill="1E3A8A"/>
            <w:vAlign w:val="center"/>
          </w:tcPr>
          <w:p w14:paraId="652E4CF3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采集字段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57D9FD2F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数据来源性质</w:t>
            </w:r>
          </w:p>
        </w:tc>
        <w:tc>
          <w:tcPr>
            <w:tcW w:w="1984" w:type="dxa"/>
            <w:shd w:val="clear" w:color="auto" w:fill="1E3A8A"/>
            <w:vAlign w:val="center"/>
          </w:tcPr>
          <w:p w14:paraId="434B3A62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是否公开可见</w:t>
            </w:r>
          </w:p>
        </w:tc>
      </w:tr>
      <w:tr w14:paraId="0CA85B13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1BE1D467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 / 视频</w:t>
            </w:r>
          </w:p>
        </w:tc>
        <w:tc>
          <w:tcPr>
            <w:tcW w:w="3118" w:type="dxa"/>
            <w:shd w:val="clear" w:color="auto" w:fill="F8F9FF"/>
            <w:vAlign w:val="center"/>
          </w:tcPr>
          <w:p w14:paraId="66DCAA3E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标题</w:t>
            </w:r>
          </w:p>
        </w:tc>
        <w:tc>
          <w:tcPr>
            <w:tcW w:w="2835" w:type="dxa"/>
            <w:shd w:val="clear" w:color="auto" w:fill="F8F9FF"/>
            <w:vAlign w:val="center"/>
          </w:tcPr>
          <w:p w14:paraId="0E323C0B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页面标题栏公开展示</w:t>
            </w:r>
          </w:p>
        </w:tc>
        <w:tc>
          <w:tcPr>
            <w:tcW w:w="1984" w:type="dxa"/>
            <w:shd w:val="clear" w:color="auto" w:fill="F8F9FF"/>
            <w:vAlign w:val="center"/>
          </w:tcPr>
          <w:p w14:paraId="12E44210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2878FBC0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7F7AA38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 / 视频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B4D554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正文内容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A84A832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页面正文区公开展示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19ED008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45EC1B28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58438AA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 / 视频</w:t>
            </w:r>
          </w:p>
        </w:tc>
        <w:tc>
          <w:tcPr>
            <w:tcW w:w="3118" w:type="dxa"/>
            <w:shd w:val="clear" w:color="auto" w:fill="F8F9FF"/>
            <w:vAlign w:val="center"/>
          </w:tcPr>
          <w:p w14:paraId="3A62F8CF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发布时间</w:t>
            </w:r>
          </w:p>
        </w:tc>
        <w:tc>
          <w:tcPr>
            <w:tcW w:w="2835" w:type="dxa"/>
            <w:shd w:val="clear" w:color="auto" w:fill="F8F9FF"/>
            <w:vAlign w:val="center"/>
          </w:tcPr>
          <w:p w14:paraId="62D4A4C9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页面公开展示</w:t>
            </w:r>
          </w:p>
        </w:tc>
        <w:tc>
          <w:tcPr>
            <w:tcW w:w="1984" w:type="dxa"/>
            <w:shd w:val="clear" w:color="auto" w:fill="F8F9FF"/>
            <w:vAlign w:val="center"/>
          </w:tcPr>
          <w:p w14:paraId="7FAC08B7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0429DB5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721AF62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 / 视频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41BF37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点赞数 / 收藏数 / 评论数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20AD560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页面公开展示的互动计数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760AB6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62F3983E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0D2B23A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笔记 / 视频</w:t>
            </w:r>
          </w:p>
        </w:tc>
        <w:tc>
          <w:tcPr>
            <w:tcW w:w="3118" w:type="dxa"/>
            <w:shd w:val="clear" w:color="auto" w:fill="F8F9FF"/>
            <w:vAlign w:val="center"/>
          </w:tcPr>
          <w:p w14:paraId="2D9795E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封面图片（URL）</w:t>
            </w:r>
          </w:p>
        </w:tc>
        <w:tc>
          <w:tcPr>
            <w:tcW w:w="2835" w:type="dxa"/>
            <w:shd w:val="clear" w:color="auto" w:fill="F8F9FF"/>
            <w:vAlign w:val="center"/>
          </w:tcPr>
          <w:p w14:paraId="4B4AAFD6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页面公开展示的缩略图地址</w:t>
            </w:r>
          </w:p>
        </w:tc>
        <w:tc>
          <w:tcPr>
            <w:tcW w:w="1984" w:type="dxa"/>
            <w:shd w:val="clear" w:color="auto" w:fill="F8F9FF"/>
            <w:vAlign w:val="center"/>
          </w:tcPr>
          <w:p w14:paraId="7044B5B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1FC9E5FA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0E987F3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商品页面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2D38D1D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商品名称 / 价格 / SKU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052497A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商家公开发布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B433764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30F5BBCC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7EF17FEF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商品页面</w:t>
            </w:r>
          </w:p>
        </w:tc>
        <w:tc>
          <w:tcPr>
            <w:tcW w:w="3118" w:type="dxa"/>
            <w:shd w:val="clear" w:color="auto" w:fill="F8F9FF"/>
            <w:vAlign w:val="center"/>
          </w:tcPr>
          <w:p w14:paraId="613D30B4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商品描述 / 发货信息</w:t>
            </w:r>
          </w:p>
        </w:tc>
        <w:tc>
          <w:tcPr>
            <w:tcW w:w="2835" w:type="dxa"/>
            <w:shd w:val="clear" w:color="auto" w:fill="F8F9FF"/>
            <w:vAlign w:val="center"/>
          </w:tcPr>
          <w:p w14:paraId="414C4E3D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商家公开发布</w:t>
            </w:r>
          </w:p>
        </w:tc>
        <w:tc>
          <w:tcPr>
            <w:tcW w:w="1984" w:type="dxa"/>
            <w:shd w:val="clear" w:color="auto" w:fill="F8F9FF"/>
            <w:vAlign w:val="center"/>
          </w:tcPr>
          <w:p w14:paraId="1B45553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  <w:tr w14:paraId="46361509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E2A345F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用户评价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A89006E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与产品相关的关键词片段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D8BAF3D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用户公开发布，不含个人标识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1D310E0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783C"/>
                <w:sz w:val="20"/>
              </w:rPr>
              <w:t>是</w:t>
            </w:r>
          </w:p>
        </w:tc>
      </w:tr>
    </w:tbl>
    <w:p w14:paraId="1B5F83C0"/>
    <w:p w14:paraId="08A028CB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明确不采集的内容：用户手机号、真实姓名、私信内容、精确地理位置、账号密码、平台内部接口数据、任何需要特殊权限才能访问的非公开数据。</w:t>
      </w:r>
    </w:p>
    <w:p w14:paraId="6AF06511">
      <w:pPr>
        <w:spacing w:before="320" w:after="120"/>
      </w:pPr>
      <w:r>
        <w:rPr>
          <w:rFonts w:ascii="Arial" w:hAnsi="Arial" w:eastAsia="黑体"/>
          <w:b/>
          <w:color w:val="142864"/>
          <w:sz w:val="26"/>
        </w:rPr>
        <w:t>五、与常见高风险爬虫方案的对比</w:t>
      </w:r>
    </w:p>
    <w:p w14:paraId="082525AE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为便于法务判断风险边界，特列明本方案与高风险爬虫方案的本质区别：</w:t>
      </w:r>
    </w:p>
    <w:tbl>
      <w:tblPr>
        <w:tblStyle w:val="32"/>
        <w:tblW w:w="0" w:type="auto"/>
        <w:jc w:val="center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AAAAAA" w:sz="4" w:space="0"/>
          <w:insideV w:val="single" w:color="AAAAA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3848"/>
        <w:gridCol w:w="3839"/>
      </w:tblGrid>
      <w:tr w14:paraId="559761C8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E3A8A"/>
            <w:vAlign w:val="center"/>
          </w:tcPr>
          <w:p w14:paraId="5BC2AD7A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对比项</w:t>
            </w:r>
          </w:p>
        </w:tc>
        <w:tc>
          <w:tcPr>
            <w:tcW w:w="3969" w:type="dxa"/>
            <w:shd w:val="clear" w:color="auto" w:fill="1E3A8A"/>
            <w:vAlign w:val="center"/>
          </w:tcPr>
          <w:p w14:paraId="2280C214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本方案（低风险）</w:t>
            </w:r>
          </w:p>
        </w:tc>
        <w:tc>
          <w:tcPr>
            <w:tcW w:w="3969" w:type="dxa"/>
            <w:shd w:val="clear" w:color="auto" w:fill="1E3A8A"/>
            <w:vAlign w:val="center"/>
          </w:tcPr>
          <w:p w14:paraId="4D3FD3ED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高风险爬虫方案（参考）</w:t>
            </w:r>
          </w:p>
        </w:tc>
      </w:tr>
      <w:tr w14:paraId="23413C3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36A30161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访问入口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2A06513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官方网页，标准 Chrome 浏览器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7396D7A3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绕过网页直接调用后台 API</w:t>
            </w:r>
          </w:p>
        </w:tc>
      </w:tr>
      <w:tr w14:paraId="0DF6BB4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E1F9491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账号使用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2080D3C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正常注册账号，正常登录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51AB138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批量账号、购买账号或伪造身份</w:t>
            </w:r>
          </w:p>
        </w:tc>
      </w:tr>
      <w:tr w14:paraId="7B83E504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2A4F03A2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验证码处理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22DF53B3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遇到即立即停止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27E4D0AA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破解或人工打码绕过</w:t>
            </w:r>
          </w:p>
        </w:tc>
      </w:tr>
      <w:tr w14:paraId="1785A95C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16E7C51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访问频率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81C6D82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限速控制，模拟人工节奏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10A03E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高并发，可能对服务器造成压力</w:t>
            </w:r>
          </w:p>
        </w:tc>
      </w:tr>
      <w:tr w14:paraId="0863AEBF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28DC9D63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数据存储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4AC5F6B9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企业内部，访问受限，不外传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4DA0F74E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可能对外销售或公开分发</w:t>
            </w:r>
          </w:p>
        </w:tc>
      </w:tr>
      <w:tr w14:paraId="513296C6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51A6663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采集范围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1209AEA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公开展示字段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C773F41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可能涉及非公开、隐私数据</w:t>
            </w:r>
          </w:p>
        </w:tc>
      </w:tr>
      <w:tr w14:paraId="02524A71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AAAAAA" w:sz="4" w:space="0"/>
            <w:insideV w:val="single" w:color="AAAAA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8F9FF"/>
            <w:vAlign w:val="center"/>
          </w:tcPr>
          <w:p w14:paraId="3B69EC7B"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技术手段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400543CA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6432"/>
                <w:sz w:val="20"/>
              </w:rPr>
              <w:t>无逆向工程、无协议破解</w:t>
            </w:r>
          </w:p>
        </w:tc>
        <w:tc>
          <w:tcPr>
            <w:tcW w:w="3969" w:type="dxa"/>
            <w:shd w:val="clear" w:color="auto" w:fill="F8F9FF"/>
            <w:vAlign w:val="center"/>
          </w:tcPr>
          <w:p w14:paraId="5D92CD25"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A03C3C"/>
                <w:sz w:val="20"/>
              </w:rPr>
              <w:t>可能包含反爬绕过、协议逆向</w:t>
            </w:r>
          </w:p>
        </w:tc>
      </w:tr>
    </w:tbl>
    <w:p w14:paraId="01B0F90F"/>
    <w:p w14:paraId="0A29BC54">
      <w:pPr>
        <w:spacing w:before="320" w:after="120"/>
      </w:pPr>
      <w:r>
        <w:rPr>
          <w:rFonts w:ascii="Arial" w:hAnsi="Arial" w:eastAsia="黑体"/>
          <w:b/>
          <w:color w:val="142864"/>
          <w:sz w:val="26"/>
        </w:rPr>
        <w:t>六、配套附件清单</w:t>
      </w:r>
    </w:p>
    <w:p w14:paraId="459A9725"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本资料包同时附有以下文件，供法务团队参考：</w:t>
      </w:r>
    </w:p>
    <w:p w14:paraId="3468AF9B">
      <w:pPr>
        <w:spacing w:before="40" w:after="80"/>
        <w:ind w:left="340"/>
      </w:pPr>
      <w:r>
        <w:rPr>
          <w:rFonts w:ascii="Times New Roman" w:hAnsi="Times New Roman" w:eastAsia="宋体"/>
          <w:b w:val="0"/>
          <w:color w:val="323232"/>
          <w:sz w:val="22"/>
        </w:rPr>
        <w:t>【附件一】采集数据字段说明与脱敏样表：直观展示原始数据的字段结构与实际内容形态</w:t>
      </w:r>
    </w:p>
    <w:p w14:paraId="5084A6A6">
      <w:pPr>
        <w:spacing w:before="40" w:after="80"/>
        <w:ind w:left="340"/>
      </w:pPr>
      <w:r>
        <w:rPr>
          <w:rFonts w:ascii="Times New Roman" w:hAnsi="Times New Roman" w:eastAsia="宋体"/>
          <w:b w:val="0"/>
          <w:color w:val="323232"/>
          <w:sz w:val="22"/>
        </w:rPr>
        <w:t>【附件二】数据安全与存储说明：说明数据在企业内部的存储、访问控制与生命周期管理</w:t>
      </w:r>
    </w:p>
    <w:p w14:paraId="3C40A93B">
      <w:pPr>
        <w:spacing w:before="40" w:after="80"/>
        <w:ind w:left="340"/>
      </w:pPr>
      <w:r>
        <w:rPr>
          <w:rFonts w:ascii="Times New Roman" w:hAnsi="Times New Roman" w:eastAsia="宋体"/>
          <w:b w:val="0"/>
          <w:color w:val="323232"/>
          <w:sz w:val="22"/>
        </w:rPr>
        <w:t>【附件三】平台协议合规对照说明：对照抖音、小红书用户协议条款，标注本方案的合规位置及风险点</w:t>
      </w:r>
    </w:p>
    <w:p w14:paraId="1451E6E6">
      <w:pPr>
        <w:spacing w:before="40" w:after="80"/>
        <w:ind w:left="340"/>
      </w:pPr>
      <w:r>
        <w:rPr>
          <w:rFonts w:ascii="Times New Roman" w:hAnsi="Times New Roman" w:eastAsia="宋体"/>
          <w:b w:val="0"/>
          <w:color w:val="323232"/>
          <w:sz w:val="22"/>
        </w:rPr>
        <w:t>【附件四】风险评估自查清单：从常见法律维度出发的自查表，供法务快速定位评估重点</w:t>
      </w:r>
    </w:p>
    <w:p w14:paraId="70CE1C37">
      <w:pPr>
        <w:jc w:val="both"/>
      </w:pPr>
      <w:bookmarkStart w:id="0" w:name="_GoBack"/>
      <w:bookmarkEnd w:id="0"/>
    </w:p>
    <w:sectPr>
      <w:headerReference r:id="rId5" w:type="default"/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51195">
    <w:pPr>
      <w:pStyle w:val="25"/>
      <w:jc w:val="right"/>
    </w:pPr>
    <w:r>
      <w:rPr>
        <w:rFonts w:ascii="Times New Roman" w:hAnsi="Times New Roman" w:eastAsia="宋体"/>
        <w:b w:val="0"/>
        <w:color w:val="969696"/>
        <w:sz w:val="18"/>
      </w:rPr>
      <w:t>【内部文件·供法务评估使用】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C9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1409</Words>
  <Characters>1484</Characters>
  <Lines>0</Lines>
  <Paragraphs>0</Paragraphs>
  <TotalTime>1</TotalTime>
  <ScaleCrop>false</ScaleCrop>
  <LinksUpToDate>false</LinksUpToDate>
  <CharactersWithSpaces>1528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2026-04-10T02:18:19Z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eyJoZGlkIjoiNTJhYjg3OTQ3NTZkMDJhM2IzYTQ3MWU3ODhiODY5MWEiLCJ1c2VySWQiOiIyNjQxMTIxMjYifQ==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089A428678A74F21AE55D0A66CA645DA_12</vt:lpwstr>
  </property>
</Properties>
</file>