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00" w:after="120"/>
      </w:pPr>
      <w:r>
        <w:rPr>
          <w:rFonts w:ascii="Arial" w:hAnsi="Arial" w:eastAsia="黑体"/>
          <w:b/>
          <w:color w:val="142864"/>
          <w:sz w:val="28"/>
        </w:rPr>
        <w:t>附件二：数据安全与存储说明</w:t>
      </w:r>
    </w:p>
    <w:p>
      <w:pPr>
        <w:spacing w:before="80" w:after="80"/>
        <w:pBdr>
          <w:bottom w:val="single" w:sz="4" w:space="1" w:color="CCCCCC"/>
        </w:pBdr>
      </w:pPr>
    </w:p>
    <w:p>
      <w:pPr>
        <w:spacing w:before="240" w:after="120"/>
      </w:pPr>
      <w:r>
        <w:rPr>
          <w:rFonts w:ascii="Arial" w:hAnsi="Arial" w:eastAsia="黑体"/>
          <w:b/>
          <w:color w:val="142864"/>
          <w:sz w:val="24"/>
        </w:rPr>
        <w:t>1. 数据存储位置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blGrid>
        <w:gridCol w:w="4561"/>
        <w:gridCol w:w="4561"/>
      </w:tblGrid>
      <w:tr>
        <w:tc>
          <w:tcPr>
            <w:tcW w:type="dxa" w:w="2551"/>
            <w:vAlign w:val="center"/>
            <w:shd w:val="clear" w:color="auto" w:fill="1E3A8A"/>
          </w:tcPr>
          <w:p>
            <w:pPr>
              <w:spacing w:before="60" w:after="60"/>
              <w:jc w:val="left"/>
            </w:pPr>
            <w:r>
              <w:rPr>
                <w:rFonts w:ascii="Arial" w:hAnsi="Arial" w:eastAsia="黑体"/>
                <w:b/>
                <w:color w:val="FFFFFF"/>
                <w:sz w:val="20"/>
              </w:rPr>
              <w:t>项目</w:t>
            </w:r>
          </w:p>
        </w:tc>
        <w:tc>
          <w:tcPr>
            <w:tcW w:type="dxa" w:w="7087"/>
            <w:vAlign w:val="center"/>
            <w:shd w:val="clear" w:color="auto" w:fill="1E3A8A"/>
          </w:tcPr>
          <w:p>
            <w:pPr>
              <w:spacing w:before="60" w:after="60"/>
              <w:jc w:val="left"/>
            </w:pPr>
            <w:r>
              <w:rPr>
                <w:rFonts w:ascii="Arial" w:hAnsi="Arial" w:eastAsia="黑体"/>
                <w:b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2551"/>
            <w:vAlign w:val="center"/>
            <w:shd w:val="clear" w:color="auto" w:fill="F8F9FF"/>
          </w:tcPr>
          <w:p>
            <w:pPr>
              <w:spacing w:before="60" w:after="60"/>
              <w:jc w:val="left"/>
            </w:pPr>
            <w:r>
              <w:rPr>
                <w:rFonts w:ascii="Arial" w:hAnsi="Arial" w:eastAsia="黑体"/>
                <w:b/>
                <w:color w:val="1E1E1E"/>
                <w:sz w:val="20"/>
              </w:rPr>
              <w:t>存储位置</w:t>
            </w:r>
          </w:p>
        </w:tc>
        <w:tc>
          <w:tcPr>
            <w:tcW w:type="dxa" w:w="7087"/>
            <w:vAlign w:val="center"/>
            <w:shd w:val="clear" w:color="auto" w:fill="F8F9FF"/>
          </w:tcPr>
          <w:p>
            <w:pPr>
              <w:spacing w:before="60" w:after="60"/>
              <w:jc w:val="left"/>
            </w:pPr>
            <w:r>
              <w:rPr>
                <w:rFonts w:ascii="Times New Roman" w:hAnsi="Times New Roman" w:eastAsia="宋体"/>
                <w:b w:val="0"/>
                <w:color w:val="1E1E1E"/>
                <w:sz w:val="20"/>
              </w:rPr>
              <w:t>企业内部私有服务器（本地部署），不使用任何公共云存储</w:t>
            </w:r>
          </w:p>
        </w:tc>
      </w:tr>
      <w:tr>
        <w:tc>
          <w:tcPr>
            <w:tcW w:type="dxa" w:w="2551"/>
            <w:vAlign w:val="center"/>
            <w:shd w:val="clear" w:color="auto" w:fill="FFFFFF"/>
          </w:tcPr>
          <w:p>
            <w:pPr>
              <w:spacing w:before="60" w:after="60"/>
              <w:jc w:val="left"/>
            </w:pPr>
            <w:r>
              <w:rPr>
                <w:rFonts w:ascii="Arial" w:hAnsi="Arial" w:eastAsia="黑体"/>
                <w:b/>
                <w:color w:val="1E1E1E"/>
                <w:sz w:val="20"/>
              </w:rPr>
              <w:t>数据库类型</w:t>
            </w:r>
          </w:p>
        </w:tc>
        <w:tc>
          <w:tcPr>
            <w:tcW w:type="dxa" w:w="7087"/>
            <w:vAlign w:val="center"/>
            <w:shd w:val="clear" w:color="auto" w:fill="FFFFFF"/>
          </w:tcPr>
          <w:p>
            <w:pPr>
              <w:spacing w:before="60" w:after="60"/>
              <w:jc w:val="left"/>
            </w:pPr>
            <w:r>
              <w:rPr>
                <w:rFonts w:ascii="Times New Roman" w:hAnsi="Times New Roman" w:eastAsia="宋体"/>
                <w:b w:val="0"/>
                <w:color w:val="1E1E1E"/>
                <w:sz w:val="20"/>
              </w:rPr>
              <w:t>关系型数据库（MySQL / PostgreSQL），有权限控制</w:t>
            </w:r>
          </w:p>
        </w:tc>
      </w:tr>
      <w:tr>
        <w:tc>
          <w:tcPr>
            <w:tcW w:type="dxa" w:w="2551"/>
            <w:vAlign w:val="center"/>
            <w:shd w:val="clear" w:color="auto" w:fill="F8F9FF"/>
          </w:tcPr>
          <w:p>
            <w:pPr>
              <w:spacing w:before="60" w:after="60"/>
              <w:jc w:val="left"/>
            </w:pPr>
            <w:r>
              <w:rPr>
                <w:rFonts w:ascii="Arial" w:hAnsi="Arial" w:eastAsia="黑体"/>
                <w:b/>
                <w:color w:val="1E1E1E"/>
                <w:sz w:val="20"/>
              </w:rPr>
              <w:t>网络隔离</w:t>
            </w:r>
          </w:p>
        </w:tc>
        <w:tc>
          <w:tcPr>
            <w:tcW w:type="dxa" w:w="7087"/>
            <w:vAlign w:val="center"/>
            <w:shd w:val="clear" w:color="auto" w:fill="F8F9FF"/>
          </w:tcPr>
          <w:p>
            <w:pPr>
              <w:spacing w:before="60" w:after="60"/>
              <w:jc w:val="left"/>
            </w:pPr>
            <w:r>
              <w:rPr>
                <w:rFonts w:ascii="Times New Roman" w:hAnsi="Times New Roman" w:eastAsia="宋体"/>
                <w:b w:val="0"/>
                <w:color w:val="1E1E1E"/>
                <w:sz w:val="20"/>
              </w:rPr>
              <w:t>数据库服务器不对公网开放，仅在企业内网可访问</w:t>
            </w:r>
          </w:p>
        </w:tc>
      </w:tr>
      <w:tr>
        <w:tc>
          <w:tcPr>
            <w:tcW w:type="dxa" w:w="2551"/>
            <w:vAlign w:val="center"/>
            <w:shd w:val="clear" w:color="auto" w:fill="FFFFFF"/>
          </w:tcPr>
          <w:p>
            <w:pPr>
              <w:spacing w:before="60" w:after="60"/>
              <w:jc w:val="left"/>
            </w:pPr>
            <w:r>
              <w:rPr>
                <w:rFonts w:ascii="Arial" w:hAnsi="Arial" w:eastAsia="黑体"/>
                <w:b/>
                <w:color w:val="1E1E1E"/>
                <w:sz w:val="20"/>
              </w:rPr>
              <w:t>传输加密</w:t>
            </w:r>
          </w:p>
        </w:tc>
        <w:tc>
          <w:tcPr>
            <w:tcW w:type="dxa" w:w="7087"/>
            <w:vAlign w:val="center"/>
            <w:shd w:val="clear" w:color="auto" w:fill="FFFFFF"/>
          </w:tcPr>
          <w:p>
            <w:pPr>
              <w:spacing w:before="60" w:after="60"/>
              <w:jc w:val="left"/>
            </w:pPr>
            <w:r>
              <w:rPr>
                <w:rFonts w:ascii="Times New Roman" w:hAnsi="Times New Roman" w:eastAsia="宋体"/>
                <w:b w:val="0"/>
                <w:color w:val="1E1E1E"/>
                <w:sz w:val="20"/>
              </w:rPr>
              <w:t>数据采集程序与数据库之间通过加密连接传输</w:t>
            </w:r>
          </w:p>
        </w:tc>
      </w:tr>
    </w:tbl>
    <w:p/>
    <w:p>
      <w:pPr>
        <w:spacing w:before="240" w:after="120"/>
      </w:pPr>
      <w:r>
        <w:rPr>
          <w:rFonts w:ascii="Arial" w:hAnsi="Arial" w:eastAsia="黑体"/>
          <w:b/>
          <w:color w:val="142864"/>
          <w:sz w:val="24"/>
        </w:rPr>
        <w:t>2. 访问权限控制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blGrid>
        <w:gridCol w:w="4561"/>
        <w:gridCol w:w="4561"/>
      </w:tblGrid>
      <w:tr>
        <w:tc>
          <w:tcPr>
            <w:tcW w:type="dxa" w:w="2551"/>
            <w:vAlign w:val="center"/>
            <w:shd w:val="clear" w:color="auto" w:fill="1E3A8A"/>
          </w:tcPr>
          <w:p>
            <w:pPr>
              <w:spacing w:before="60" w:after="60"/>
              <w:jc w:val="left"/>
            </w:pPr>
            <w:r>
              <w:rPr>
                <w:rFonts w:ascii="Arial" w:hAnsi="Arial" w:eastAsia="黑体"/>
                <w:b/>
                <w:color w:val="FFFFFF"/>
                <w:sz w:val="20"/>
              </w:rPr>
              <w:t>项目</w:t>
            </w:r>
          </w:p>
        </w:tc>
        <w:tc>
          <w:tcPr>
            <w:tcW w:type="dxa" w:w="7087"/>
            <w:vAlign w:val="center"/>
            <w:shd w:val="clear" w:color="auto" w:fill="1E3A8A"/>
          </w:tcPr>
          <w:p>
            <w:pPr>
              <w:spacing w:before="60" w:after="60"/>
              <w:jc w:val="left"/>
            </w:pPr>
            <w:r>
              <w:rPr>
                <w:rFonts w:ascii="Arial" w:hAnsi="Arial" w:eastAsia="黑体"/>
                <w:b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2551"/>
            <w:vAlign w:val="center"/>
            <w:shd w:val="clear" w:color="auto" w:fill="F8F9FF"/>
          </w:tcPr>
          <w:p>
            <w:pPr>
              <w:spacing w:before="60" w:after="60"/>
              <w:jc w:val="left"/>
            </w:pPr>
            <w:r>
              <w:rPr>
                <w:rFonts w:ascii="Arial" w:hAnsi="Arial" w:eastAsia="黑体"/>
                <w:b/>
                <w:color w:val="1E1E1E"/>
                <w:sz w:val="20"/>
              </w:rPr>
              <w:t>访问人员</w:t>
            </w:r>
          </w:p>
        </w:tc>
        <w:tc>
          <w:tcPr>
            <w:tcW w:type="dxa" w:w="7087"/>
            <w:vAlign w:val="center"/>
            <w:shd w:val="clear" w:color="auto" w:fill="F8F9FF"/>
          </w:tcPr>
          <w:p>
            <w:pPr>
              <w:spacing w:before="60" w:after="60"/>
              <w:jc w:val="left"/>
            </w:pPr>
            <w:r>
              <w:rPr>
                <w:rFonts w:ascii="Times New Roman" w:hAnsi="Times New Roman" w:eastAsia="宋体"/>
                <w:b w:val="0"/>
                <w:color w:val="1E1E1E"/>
                <w:sz w:val="20"/>
              </w:rPr>
              <w:t>仅限内部数据分析团队（约 2-5 人）</w:t>
            </w:r>
          </w:p>
        </w:tc>
      </w:tr>
      <w:tr>
        <w:tc>
          <w:tcPr>
            <w:tcW w:type="dxa" w:w="2551"/>
            <w:vAlign w:val="center"/>
            <w:shd w:val="clear" w:color="auto" w:fill="FFFFFF"/>
          </w:tcPr>
          <w:p>
            <w:pPr>
              <w:spacing w:before="60" w:after="60"/>
              <w:jc w:val="left"/>
            </w:pPr>
            <w:r>
              <w:rPr>
                <w:rFonts w:ascii="Arial" w:hAnsi="Arial" w:eastAsia="黑体"/>
                <w:b/>
                <w:color w:val="1E1E1E"/>
                <w:sz w:val="20"/>
              </w:rPr>
              <w:t>权限分级</w:t>
            </w:r>
          </w:p>
        </w:tc>
        <w:tc>
          <w:tcPr>
            <w:tcW w:type="dxa" w:w="7087"/>
            <w:vAlign w:val="center"/>
            <w:shd w:val="clear" w:color="auto" w:fill="FFFFFF"/>
          </w:tcPr>
          <w:p>
            <w:pPr>
              <w:spacing w:before="60" w:after="60"/>
              <w:jc w:val="left"/>
            </w:pPr>
            <w:r>
              <w:rPr>
                <w:rFonts w:ascii="Times New Roman" w:hAnsi="Times New Roman" w:eastAsia="宋体"/>
                <w:b w:val="0"/>
                <w:color w:val="1E1E1E"/>
                <w:sz w:val="20"/>
              </w:rPr>
              <w:t>读取权限：分析人员；写入权限：采集程序；管理权限：IT 负责人</w:t>
            </w:r>
          </w:p>
        </w:tc>
      </w:tr>
      <w:tr>
        <w:tc>
          <w:tcPr>
            <w:tcW w:type="dxa" w:w="2551"/>
            <w:vAlign w:val="center"/>
            <w:shd w:val="clear" w:color="auto" w:fill="F8F9FF"/>
          </w:tcPr>
          <w:p>
            <w:pPr>
              <w:spacing w:before="60" w:after="60"/>
              <w:jc w:val="left"/>
            </w:pPr>
            <w:r>
              <w:rPr>
                <w:rFonts w:ascii="Arial" w:hAnsi="Arial" w:eastAsia="黑体"/>
                <w:b/>
                <w:color w:val="1E1E1E"/>
                <w:sz w:val="20"/>
              </w:rPr>
              <w:t>账号管理</w:t>
            </w:r>
          </w:p>
        </w:tc>
        <w:tc>
          <w:tcPr>
            <w:tcW w:type="dxa" w:w="7087"/>
            <w:vAlign w:val="center"/>
            <w:shd w:val="clear" w:color="auto" w:fill="F8F9FF"/>
          </w:tcPr>
          <w:p>
            <w:pPr>
              <w:spacing w:before="60" w:after="60"/>
              <w:jc w:val="left"/>
            </w:pPr>
            <w:r>
              <w:rPr>
                <w:rFonts w:ascii="Times New Roman" w:hAnsi="Times New Roman" w:eastAsia="宋体"/>
                <w:b w:val="0"/>
                <w:color w:val="1E1E1E"/>
                <w:sz w:val="20"/>
              </w:rPr>
              <w:t>数据库账号独立，不与其他系统共用，定期更换密码</w:t>
            </w:r>
          </w:p>
        </w:tc>
      </w:tr>
      <w:tr>
        <w:tc>
          <w:tcPr>
            <w:tcW w:type="dxa" w:w="2551"/>
            <w:vAlign w:val="center"/>
            <w:shd w:val="clear" w:color="auto" w:fill="FFFFFF"/>
          </w:tcPr>
          <w:p>
            <w:pPr>
              <w:spacing w:before="60" w:after="60"/>
              <w:jc w:val="left"/>
            </w:pPr>
            <w:r>
              <w:rPr>
                <w:rFonts w:ascii="Arial" w:hAnsi="Arial" w:eastAsia="黑体"/>
                <w:b/>
                <w:color w:val="1E1E1E"/>
                <w:sz w:val="20"/>
              </w:rPr>
              <w:t>访问日志</w:t>
            </w:r>
          </w:p>
        </w:tc>
        <w:tc>
          <w:tcPr>
            <w:tcW w:type="dxa" w:w="7087"/>
            <w:vAlign w:val="center"/>
            <w:shd w:val="clear" w:color="auto" w:fill="FFFFFF"/>
          </w:tcPr>
          <w:p>
            <w:pPr>
              <w:spacing w:before="60" w:after="60"/>
              <w:jc w:val="left"/>
            </w:pPr>
            <w:r>
              <w:rPr>
                <w:rFonts w:ascii="Times New Roman" w:hAnsi="Times New Roman" w:eastAsia="宋体"/>
                <w:b w:val="0"/>
                <w:color w:val="1E1E1E"/>
                <w:sz w:val="20"/>
              </w:rPr>
              <w:t>所有访问均有日志记录，保存周期不少于 90 天</w:t>
            </w:r>
          </w:p>
        </w:tc>
      </w:tr>
    </w:tbl>
    <w:p/>
    <w:p>
      <w:pPr>
        <w:spacing w:before="240" w:after="120"/>
      </w:pPr>
      <w:r>
        <w:rPr>
          <w:rFonts w:ascii="Arial" w:hAnsi="Arial" w:eastAsia="黑体"/>
          <w:b/>
          <w:color w:val="142864"/>
          <w:sz w:val="24"/>
        </w:rPr>
        <w:t>3. 数据保存周期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blGrid>
        <w:gridCol w:w="4561"/>
        <w:gridCol w:w="4561"/>
      </w:tblGrid>
      <w:tr>
        <w:tc>
          <w:tcPr>
            <w:tcW w:type="dxa" w:w="2551"/>
            <w:vAlign w:val="center"/>
            <w:shd w:val="clear" w:color="auto" w:fill="1E3A8A"/>
          </w:tcPr>
          <w:p>
            <w:pPr>
              <w:spacing w:before="60" w:after="60"/>
              <w:jc w:val="left"/>
            </w:pPr>
            <w:r>
              <w:rPr>
                <w:rFonts w:ascii="Arial" w:hAnsi="Arial" w:eastAsia="黑体"/>
                <w:b/>
                <w:color w:val="FFFFFF"/>
                <w:sz w:val="20"/>
              </w:rPr>
              <w:t>项目</w:t>
            </w:r>
          </w:p>
        </w:tc>
        <w:tc>
          <w:tcPr>
            <w:tcW w:type="dxa" w:w="7087"/>
            <w:vAlign w:val="center"/>
            <w:shd w:val="clear" w:color="auto" w:fill="1E3A8A"/>
          </w:tcPr>
          <w:p>
            <w:pPr>
              <w:spacing w:before="60" w:after="60"/>
              <w:jc w:val="left"/>
            </w:pPr>
            <w:r>
              <w:rPr>
                <w:rFonts w:ascii="Arial" w:hAnsi="Arial" w:eastAsia="黑体"/>
                <w:b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2551"/>
            <w:vAlign w:val="center"/>
            <w:shd w:val="clear" w:color="auto" w:fill="F8F9FF"/>
          </w:tcPr>
          <w:p>
            <w:pPr>
              <w:spacing w:before="60" w:after="60"/>
              <w:jc w:val="left"/>
            </w:pPr>
            <w:r>
              <w:rPr>
                <w:rFonts w:ascii="Arial" w:hAnsi="Arial" w:eastAsia="黑体"/>
                <w:b/>
                <w:color w:val="1E1E1E"/>
                <w:sz w:val="20"/>
              </w:rPr>
              <w:t>原始采集数据</w:t>
            </w:r>
          </w:p>
        </w:tc>
        <w:tc>
          <w:tcPr>
            <w:tcW w:type="dxa" w:w="7087"/>
            <w:vAlign w:val="center"/>
            <w:shd w:val="clear" w:color="auto" w:fill="F8F9FF"/>
          </w:tcPr>
          <w:p>
            <w:pPr>
              <w:spacing w:before="60" w:after="60"/>
              <w:jc w:val="left"/>
            </w:pPr>
            <w:r>
              <w:rPr>
                <w:rFonts w:ascii="Times New Roman" w:hAnsi="Times New Roman" w:eastAsia="宋体"/>
                <w:b w:val="0"/>
                <w:color w:val="1E1E1E"/>
                <w:sz w:val="20"/>
              </w:rPr>
              <w:t>保存周期 6 个月，到期自动清除</w:t>
            </w:r>
          </w:p>
        </w:tc>
      </w:tr>
      <w:tr>
        <w:tc>
          <w:tcPr>
            <w:tcW w:type="dxa" w:w="2551"/>
            <w:vAlign w:val="center"/>
            <w:shd w:val="clear" w:color="auto" w:fill="FFFFFF"/>
          </w:tcPr>
          <w:p>
            <w:pPr>
              <w:spacing w:before="60" w:after="60"/>
              <w:jc w:val="left"/>
            </w:pPr>
            <w:r>
              <w:rPr>
                <w:rFonts w:ascii="Arial" w:hAnsi="Arial" w:eastAsia="黑体"/>
                <w:b/>
                <w:color w:val="1E1E1E"/>
                <w:sz w:val="20"/>
              </w:rPr>
              <w:t>分析结果数据</w:t>
            </w:r>
          </w:p>
        </w:tc>
        <w:tc>
          <w:tcPr>
            <w:tcW w:type="dxa" w:w="7087"/>
            <w:vAlign w:val="center"/>
            <w:shd w:val="clear" w:color="auto" w:fill="FFFFFF"/>
          </w:tcPr>
          <w:p>
            <w:pPr>
              <w:spacing w:before="60" w:after="60"/>
              <w:jc w:val="left"/>
            </w:pPr>
            <w:r>
              <w:rPr>
                <w:rFonts w:ascii="Times New Roman" w:hAnsi="Times New Roman" w:eastAsia="宋体"/>
                <w:b w:val="0"/>
                <w:color w:val="1E1E1E"/>
                <w:sz w:val="20"/>
              </w:rPr>
              <w:t>保存周期 12 个月，作为业务分析存档</w:t>
            </w:r>
          </w:p>
        </w:tc>
      </w:tr>
      <w:tr>
        <w:tc>
          <w:tcPr>
            <w:tcW w:type="dxa" w:w="2551"/>
            <w:vAlign w:val="center"/>
            <w:shd w:val="clear" w:color="auto" w:fill="F8F9FF"/>
          </w:tcPr>
          <w:p>
            <w:pPr>
              <w:spacing w:before="60" w:after="60"/>
              <w:jc w:val="left"/>
            </w:pPr>
            <w:r>
              <w:rPr>
                <w:rFonts w:ascii="Arial" w:hAnsi="Arial" w:eastAsia="黑体"/>
                <w:b/>
                <w:color w:val="1E1E1E"/>
                <w:sz w:val="20"/>
              </w:rPr>
              <w:t>日志数据</w:t>
            </w:r>
          </w:p>
        </w:tc>
        <w:tc>
          <w:tcPr>
            <w:tcW w:type="dxa" w:w="7087"/>
            <w:vAlign w:val="center"/>
            <w:shd w:val="clear" w:color="auto" w:fill="F8F9FF"/>
          </w:tcPr>
          <w:p>
            <w:pPr>
              <w:spacing w:before="60" w:after="60"/>
              <w:jc w:val="left"/>
            </w:pPr>
            <w:r>
              <w:rPr>
                <w:rFonts w:ascii="Times New Roman" w:hAnsi="Times New Roman" w:eastAsia="宋体"/>
                <w:b w:val="0"/>
                <w:color w:val="1E1E1E"/>
                <w:sz w:val="20"/>
              </w:rPr>
              <w:t>保存周期 90 天，用于安全审计</w:t>
            </w:r>
          </w:p>
        </w:tc>
      </w:tr>
      <w:tr>
        <w:tc>
          <w:tcPr>
            <w:tcW w:type="dxa" w:w="2551"/>
            <w:vAlign w:val="center"/>
            <w:shd w:val="clear" w:color="auto" w:fill="FFFFFF"/>
          </w:tcPr>
          <w:p>
            <w:pPr>
              <w:spacing w:before="60" w:after="60"/>
              <w:jc w:val="left"/>
            </w:pPr>
            <w:r>
              <w:rPr>
                <w:rFonts w:ascii="Arial" w:hAnsi="Arial" w:eastAsia="黑体"/>
                <w:b/>
                <w:color w:val="1E1E1E"/>
                <w:sz w:val="20"/>
              </w:rPr>
              <w:t>数据销毁方式</w:t>
            </w:r>
          </w:p>
        </w:tc>
        <w:tc>
          <w:tcPr>
            <w:tcW w:type="dxa" w:w="7087"/>
            <w:vAlign w:val="center"/>
            <w:shd w:val="clear" w:color="auto" w:fill="FFFFFF"/>
          </w:tcPr>
          <w:p>
            <w:pPr>
              <w:spacing w:before="60" w:after="60"/>
              <w:jc w:val="left"/>
            </w:pPr>
            <w:r>
              <w:rPr>
                <w:rFonts w:ascii="Times New Roman" w:hAnsi="Times New Roman" w:eastAsia="宋体"/>
                <w:b w:val="0"/>
                <w:color w:val="1E1E1E"/>
                <w:sz w:val="20"/>
              </w:rPr>
              <w:t>到期后执行数据库物理删除，不保留备份副本</w:t>
            </w:r>
          </w:p>
        </w:tc>
      </w:tr>
    </w:tbl>
    <w:p/>
    <w:p>
      <w:pPr>
        <w:spacing w:before="240" w:after="120"/>
      </w:pPr>
      <w:r>
        <w:rPr>
          <w:rFonts w:ascii="Arial" w:hAnsi="Arial" w:eastAsia="黑体"/>
          <w:b/>
          <w:color w:val="142864"/>
          <w:sz w:val="24"/>
        </w:rPr>
        <w:t>4. 数据使用范围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blGrid>
        <w:gridCol w:w="4561"/>
        <w:gridCol w:w="4561"/>
      </w:tblGrid>
      <w:tr>
        <w:tc>
          <w:tcPr>
            <w:tcW w:type="dxa" w:w="2551"/>
            <w:vAlign w:val="center"/>
            <w:shd w:val="clear" w:color="auto" w:fill="1E3A8A"/>
          </w:tcPr>
          <w:p>
            <w:pPr>
              <w:spacing w:before="60" w:after="60"/>
              <w:jc w:val="left"/>
            </w:pPr>
            <w:r>
              <w:rPr>
                <w:rFonts w:ascii="Arial" w:hAnsi="Arial" w:eastAsia="黑体"/>
                <w:b/>
                <w:color w:val="FFFFFF"/>
                <w:sz w:val="20"/>
              </w:rPr>
              <w:t>项目</w:t>
            </w:r>
          </w:p>
        </w:tc>
        <w:tc>
          <w:tcPr>
            <w:tcW w:type="dxa" w:w="7087"/>
            <w:vAlign w:val="center"/>
            <w:shd w:val="clear" w:color="auto" w:fill="1E3A8A"/>
          </w:tcPr>
          <w:p>
            <w:pPr>
              <w:spacing w:before="60" w:after="60"/>
              <w:jc w:val="left"/>
            </w:pPr>
            <w:r>
              <w:rPr>
                <w:rFonts w:ascii="Arial" w:hAnsi="Arial" w:eastAsia="黑体"/>
                <w:b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2551"/>
            <w:vAlign w:val="center"/>
            <w:shd w:val="clear" w:color="auto" w:fill="F8F9FF"/>
          </w:tcPr>
          <w:p>
            <w:pPr>
              <w:spacing w:before="60" w:after="60"/>
              <w:jc w:val="left"/>
            </w:pPr>
            <w:r>
              <w:rPr>
                <w:rFonts w:ascii="Arial" w:hAnsi="Arial" w:eastAsia="黑体"/>
                <w:b/>
                <w:color w:val="1E1E1E"/>
                <w:sz w:val="20"/>
              </w:rPr>
              <w:t>用途</w:t>
            </w:r>
          </w:p>
        </w:tc>
        <w:tc>
          <w:tcPr>
            <w:tcW w:type="dxa" w:w="7087"/>
            <w:vAlign w:val="center"/>
            <w:shd w:val="clear" w:color="auto" w:fill="F8F9FF"/>
          </w:tcPr>
          <w:p>
            <w:pPr>
              <w:spacing w:before="60" w:after="60"/>
              <w:jc w:val="left"/>
            </w:pPr>
            <w:r>
              <w:rPr>
                <w:rFonts w:ascii="Times New Roman" w:hAnsi="Times New Roman" w:eastAsia="宋体"/>
                <w:b w:val="0"/>
                <w:color w:val="1E1E1E"/>
                <w:sz w:val="20"/>
              </w:rPr>
              <w:t>仅用于内部产品分析、市场洞察、内容策略制定</w:t>
            </w:r>
          </w:p>
        </w:tc>
      </w:tr>
      <w:tr>
        <w:tc>
          <w:tcPr>
            <w:tcW w:type="dxa" w:w="2551"/>
            <w:vAlign w:val="center"/>
            <w:shd w:val="clear" w:color="auto" w:fill="FFFFFF"/>
          </w:tcPr>
          <w:p>
            <w:pPr>
              <w:spacing w:before="60" w:after="60"/>
              <w:jc w:val="left"/>
            </w:pPr>
            <w:r>
              <w:rPr>
                <w:rFonts w:ascii="Arial" w:hAnsi="Arial" w:eastAsia="黑体"/>
                <w:b/>
                <w:color w:val="1E1E1E"/>
                <w:sz w:val="20"/>
              </w:rPr>
              <w:t>禁止用途</w:t>
            </w:r>
          </w:p>
        </w:tc>
        <w:tc>
          <w:tcPr>
            <w:tcW w:type="dxa" w:w="7087"/>
            <w:vAlign w:val="center"/>
            <w:shd w:val="clear" w:color="auto" w:fill="FFFFFF"/>
          </w:tcPr>
          <w:p>
            <w:pPr>
              <w:spacing w:before="60" w:after="60"/>
              <w:jc w:val="left"/>
            </w:pPr>
            <w:r>
              <w:rPr>
                <w:rFonts w:ascii="Times New Roman" w:hAnsi="Times New Roman" w:eastAsia="宋体"/>
                <w:b w:val="0"/>
                <w:color w:val="1E1E1E"/>
                <w:sz w:val="20"/>
              </w:rPr>
              <w:t>不可对外销售、不可公开发布、不可用于训练 AI 模型（未经平台授权）</w:t>
            </w:r>
          </w:p>
        </w:tc>
      </w:tr>
      <w:tr>
        <w:tc>
          <w:tcPr>
            <w:tcW w:type="dxa" w:w="2551"/>
            <w:vAlign w:val="center"/>
            <w:shd w:val="clear" w:color="auto" w:fill="F8F9FF"/>
          </w:tcPr>
          <w:p>
            <w:pPr>
              <w:spacing w:before="60" w:after="60"/>
              <w:jc w:val="left"/>
            </w:pPr>
            <w:r>
              <w:rPr>
                <w:rFonts w:ascii="Arial" w:hAnsi="Arial" w:eastAsia="黑体"/>
                <w:b/>
                <w:color w:val="1E1E1E"/>
                <w:sz w:val="20"/>
              </w:rPr>
              <w:t>数据共享</w:t>
            </w:r>
          </w:p>
        </w:tc>
        <w:tc>
          <w:tcPr>
            <w:tcW w:type="dxa" w:w="7087"/>
            <w:vAlign w:val="center"/>
            <w:shd w:val="clear" w:color="auto" w:fill="F8F9FF"/>
          </w:tcPr>
          <w:p>
            <w:pPr>
              <w:spacing w:before="60" w:after="60"/>
              <w:jc w:val="left"/>
            </w:pPr>
            <w:r>
              <w:rPr>
                <w:rFonts w:ascii="Times New Roman" w:hAnsi="Times New Roman" w:eastAsia="宋体"/>
                <w:b w:val="0"/>
                <w:color w:val="1E1E1E"/>
                <w:sz w:val="20"/>
              </w:rPr>
              <w:t>不与任何第三方共享原始采集数据</w:t>
            </w:r>
          </w:p>
        </w:tc>
      </w:tr>
      <w:tr>
        <w:tc>
          <w:tcPr>
            <w:tcW w:type="dxa" w:w="2551"/>
            <w:vAlign w:val="center"/>
            <w:shd w:val="clear" w:color="auto" w:fill="FFFFFF"/>
          </w:tcPr>
          <w:p>
            <w:pPr>
              <w:spacing w:before="60" w:after="60"/>
              <w:jc w:val="left"/>
            </w:pPr>
            <w:r>
              <w:rPr>
                <w:rFonts w:ascii="Arial" w:hAnsi="Arial" w:eastAsia="黑体"/>
                <w:b/>
                <w:color w:val="1E1E1E"/>
                <w:sz w:val="20"/>
              </w:rPr>
              <w:t>报告输出</w:t>
            </w:r>
          </w:p>
        </w:tc>
        <w:tc>
          <w:tcPr>
            <w:tcW w:type="dxa" w:w="7087"/>
            <w:vAlign w:val="center"/>
            <w:shd w:val="clear" w:color="auto" w:fill="FFFFFF"/>
          </w:tcPr>
          <w:p>
            <w:pPr>
              <w:spacing w:before="60" w:after="60"/>
              <w:jc w:val="left"/>
            </w:pPr>
            <w:r>
              <w:rPr>
                <w:rFonts w:ascii="Times New Roman" w:hAnsi="Times New Roman" w:eastAsia="宋体"/>
                <w:b w:val="0"/>
                <w:color w:val="1E1E1E"/>
                <w:sz w:val="20"/>
              </w:rPr>
              <w:t>对外仅分享分析报告，不含原始数据</w:t>
            </w:r>
          </w:p>
        </w:tc>
      </w:tr>
    </w:tbl>
    <w:p/>
    <w:p>
      <w:pPr>
        <w:spacing w:before="240" w:after="120"/>
      </w:pPr>
      <w:r>
        <w:rPr>
          <w:rFonts w:ascii="Arial" w:hAnsi="Arial" w:eastAsia="黑体"/>
          <w:b/>
          <w:color w:val="142864"/>
          <w:sz w:val="24"/>
        </w:rPr>
        <w:t>5. 数据流向示意</w:t>
      </w:r>
    </w:p>
    <w:p>
      <w:pPr>
        <w:spacing w:before="0" w:after="80" w:line="400" w:lineRule="exact"/>
        <w:ind w:left="0" w:firstLine="0"/>
      </w:pPr>
      <w:r>
        <w:rPr>
          <w:rFonts w:ascii="Times New Roman" w:hAnsi="Times New Roman" w:eastAsia="宋体"/>
          <w:b w:val="0"/>
          <w:color w:val="323232"/>
          <w:sz w:val="22"/>
        </w:rPr>
        <w:t>数据流向全程如下，数据在任何环节均不流出企业内网：</w:t>
      </w:r>
    </w:p>
    <w:p>
      <w:pPr>
        <w:spacing w:before="120" w:after="120"/>
        <w:jc w:val="center"/>
      </w:pPr>
      <w:r>
        <w:rPr>
          <w:rFonts w:ascii="Times New Roman" w:hAnsi="Times New Roman" w:eastAsia="宋体"/>
          <w:b w:val="0"/>
          <w:color w:val="1E1E1E"/>
          <w:sz w:val="22"/>
        </w:rPr>
        <w:t>平台公开页面  →  Chrome 浏览器（内网设备）  →  数据清洗程序（内网服务器）  →  内部数据库  →  分析人员（内网访问）</w:t>
      </w:r>
    </w:p>
    <w:p>
      <w:pPr>
        <w:spacing w:before="0" w:after="80" w:line="400" w:lineRule="exact"/>
        <w:ind w:left="0" w:firstLine="0"/>
      </w:pPr>
      <w:r>
        <w:rPr>
          <w:rFonts w:ascii="Times New Roman" w:hAnsi="Times New Roman" w:eastAsia="宋体"/>
          <w:b w:val="0"/>
          <w:color w:val="323232"/>
          <w:sz w:val="22"/>
        </w:rPr>
        <w:t>✦  数据不经过任何外部服务器、第三方 API 或公共云存储。</w:t>
      </w:r>
    </w:p>
    <w:p>
      <w:pPr>
        <w:spacing w:before="0" w:after="80" w:line="400" w:lineRule="exact"/>
        <w:ind w:left="0" w:firstLine="0"/>
      </w:pPr>
      <w:r>
        <w:rPr>
          <w:rFonts w:ascii="Times New Roman" w:hAnsi="Times New Roman" w:eastAsia="宋体"/>
          <w:b w:val="0"/>
          <w:color w:val="323232"/>
          <w:sz w:val="22"/>
        </w:rPr>
        <w:t>✦  采集登录账号的 Cookie 信息仅保存在本地设备，不上传至任何外部系统。</w:t>
      </w:r>
    </w:p>
    <w:sectPr w:rsidR="00FC693F" w:rsidRPr="0006063C" w:rsidSect="00034616">
      <w:headerReference w:type="default" r:id="rId9"/>
      <w:pgSz w:w="12240" w:h="15840"/>
      <w:pgMar w:top="1440" w:right="1417" w:bottom="1440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Times New Roman" w:hAnsi="Times New Roman" w:eastAsia="宋体"/>
        <w:b w:val="0"/>
        <w:color w:val="969696"/>
        <w:sz w:val="18"/>
      </w:rPr>
      <w:t>附件二：数据安全与存储说明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